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1D04A" w14:textId="0F5C5892" w:rsidR="003F3FAF" w:rsidRPr="00647DB0" w:rsidRDefault="00647DB0" w:rsidP="00647DB0">
      <w:pPr>
        <w:spacing w:before="240" w:line="276" w:lineRule="auto"/>
        <w:ind w:right="49"/>
        <w:jc w:val="right"/>
        <w:rPr>
          <w:rFonts w:ascii="Times New Roman" w:eastAsia="Times New Roman" w:hAnsi="Times New Roman" w:cs="Times New Roman"/>
          <w:b/>
          <w:i/>
          <w:sz w:val="24"/>
          <w:szCs w:val="20"/>
          <w:lang w:eastAsia="es-MX"/>
        </w:rPr>
      </w:pPr>
      <w:r w:rsidRPr="00647DB0">
        <w:rPr>
          <w:rFonts w:ascii="Times New Roman" w:eastAsia="Times New Roman" w:hAnsi="Times New Roman" w:cs="Times New Roman"/>
          <w:b/>
          <w:i/>
          <w:sz w:val="24"/>
          <w:szCs w:val="20"/>
          <w:lang w:eastAsia="es-MX"/>
        </w:rPr>
        <w:t>https://doi.org/10.23913/rics.v8i16.80</w:t>
      </w:r>
    </w:p>
    <w:p w14:paraId="74809ED7" w14:textId="739138B9" w:rsidR="003F3FAF" w:rsidRDefault="003F3FAF" w:rsidP="003F3FAF">
      <w:pPr>
        <w:spacing w:line="276" w:lineRule="auto"/>
        <w:ind w:right="49"/>
        <w:jc w:val="right"/>
        <w:rPr>
          <w:rFonts w:ascii="Calibri" w:eastAsia="Times New Roman" w:hAnsi="Calibri" w:cs="Calibri"/>
          <w:b/>
          <w:color w:val="000000" w:themeColor="text1"/>
          <w:sz w:val="36"/>
          <w:szCs w:val="36"/>
          <w:shd w:val="solid" w:color="FFFFFF" w:fill="auto"/>
          <w:lang w:eastAsia="ru-RU"/>
        </w:rPr>
      </w:pPr>
      <w:r w:rsidRPr="0098604C">
        <w:rPr>
          <w:rFonts w:ascii="Times New Roman" w:eastAsia="Times New Roman" w:hAnsi="Times New Roman" w:cs="Times New Roman"/>
          <w:b/>
          <w:i/>
          <w:sz w:val="24"/>
          <w:szCs w:val="20"/>
          <w:lang w:eastAsia="es-MX"/>
        </w:rPr>
        <w:t>Artículos Científicos</w:t>
      </w:r>
    </w:p>
    <w:p w14:paraId="7C867413" w14:textId="1BD59759" w:rsidR="003E2CF9" w:rsidRPr="003F3FAF" w:rsidRDefault="00DF35CA" w:rsidP="003F3FAF">
      <w:pPr>
        <w:spacing w:after="0" w:line="276" w:lineRule="auto"/>
        <w:ind w:right="49"/>
        <w:jc w:val="right"/>
        <w:rPr>
          <w:rFonts w:ascii="Calibri" w:eastAsia="Times New Roman" w:hAnsi="Calibri" w:cs="Calibri"/>
          <w:b/>
          <w:color w:val="000000" w:themeColor="text1"/>
          <w:sz w:val="36"/>
          <w:szCs w:val="36"/>
          <w:shd w:val="solid" w:color="FFFFFF" w:fill="auto"/>
          <w:lang w:eastAsia="ru-RU"/>
        </w:rPr>
      </w:pPr>
      <w:r w:rsidRPr="003F3FAF">
        <w:rPr>
          <w:rFonts w:ascii="Calibri" w:eastAsia="Times New Roman" w:hAnsi="Calibri" w:cs="Calibri"/>
          <w:b/>
          <w:color w:val="000000" w:themeColor="text1"/>
          <w:sz w:val="36"/>
          <w:szCs w:val="36"/>
          <w:shd w:val="solid" w:color="FFFFFF" w:fill="auto"/>
          <w:lang w:eastAsia="ru-RU"/>
        </w:rPr>
        <w:t>N</w:t>
      </w:r>
      <w:r w:rsidR="00092B9A" w:rsidRPr="003F3FAF">
        <w:rPr>
          <w:rFonts w:ascii="Calibri" w:eastAsia="Times New Roman" w:hAnsi="Calibri" w:cs="Calibri"/>
          <w:b/>
          <w:color w:val="000000" w:themeColor="text1"/>
          <w:sz w:val="36"/>
          <w:szCs w:val="36"/>
          <w:shd w:val="solid" w:color="FFFFFF" w:fill="auto"/>
          <w:lang w:eastAsia="ru-RU"/>
        </w:rPr>
        <w:t xml:space="preserve">utrición enteral temprana con </w:t>
      </w:r>
      <w:proofErr w:type="spellStart"/>
      <w:r w:rsidR="00092B9A" w:rsidRPr="003F3FAF">
        <w:rPr>
          <w:rFonts w:ascii="Calibri" w:eastAsia="Times New Roman" w:hAnsi="Calibri" w:cs="Calibri"/>
          <w:b/>
          <w:color w:val="000000" w:themeColor="text1"/>
          <w:sz w:val="36"/>
          <w:szCs w:val="36"/>
          <w:shd w:val="solid" w:color="FFFFFF" w:fill="auto"/>
          <w:lang w:eastAsia="ru-RU"/>
        </w:rPr>
        <w:t>inmunonutrientes</w:t>
      </w:r>
      <w:proofErr w:type="spellEnd"/>
      <w:r w:rsidR="00092B9A" w:rsidRPr="003F3FAF">
        <w:rPr>
          <w:rFonts w:ascii="Calibri" w:eastAsia="Times New Roman" w:hAnsi="Calibri" w:cs="Calibri"/>
          <w:b/>
          <w:color w:val="000000" w:themeColor="text1"/>
          <w:sz w:val="36"/>
          <w:szCs w:val="36"/>
          <w:shd w:val="solid" w:color="FFFFFF" w:fill="auto"/>
          <w:lang w:eastAsia="ru-RU"/>
        </w:rPr>
        <w:t xml:space="preserve"> en pacientes con traumatismo cr</w:t>
      </w:r>
      <w:r w:rsidR="00C71336" w:rsidRPr="003F3FAF">
        <w:rPr>
          <w:rFonts w:ascii="Calibri" w:eastAsia="Times New Roman" w:hAnsi="Calibri" w:cs="Calibri"/>
          <w:b/>
          <w:color w:val="000000" w:themeColor="text1"/>
          <w:sz w:val="36"/>
          <w:szCs w:val="36"/>
          <w:shd w:val="solid" w:color="FFFFFF" w:fill="auto"/>
          <w:lang w:eastAsia="ru-RU"/>
        </w:rPr>
        <w:t>a</w:t>
      </w:r>
      <w:r w:rsidR="00092B9A" w:rsidRPr="003F3FAF">
        <w:rPr>
          <w:rFonts w:ascii="Calibri" w:eastAsia="Times New Roman" w:hAnsi="Calibri" w:cs="Calibri"/>
          <w:b/>
          <w:color w:val="000000" w:themeColor="text1"/>
          <w:sz w:val="36"/>
          <w:szCs w:val="36"/>
          <w:shd w:val="solid" w:color="FFFFFF" w:fill="auto"/>
          <w:lang w:eastAsia="ru-RU"/>
        </w:rPr>
        <w:t>neoencefálico en la unidad de cuidados intensivos</w:t>
      </w:r>
    </w:p>
    <w:p w14:paraId="4D1FE773" w14:textId="546C2B36" w:rsidR="0010277A" w:rsidRPr="00865610" w:rsidRDefault="003F3FAF" w:rsidP="003F3FAF">
      <w:pPr>
        <w:autoSpaceDE w:val="0"/>
        <w:autoSpaceDN w:val="0"/>
        <w:adjustRightInd w:val="0"/>
        <w:spacing w:after="0" w:line="276" w:lineRule="auto"/>
        <w:ind w:right="49"/>
        <w:jc w:val="right"/>
        <w:rPr>
          <w:rFonts w:ascii="Calibri" w:eastAsia="Times New Roman" w:hAnsi="Calibri" w:cs="Calibri"/>
          <w:b/>
          <w:i/>
          <w:color w:val="000000" w:themeColor="text1"/>
          <w:sz w:val="28"/>
          <w:szCs w:val="36"/>
          <w:shd w:val="solid" w:color="FFFFFF" w:fill="auto"/>
          <w:lang w:val="en-US" w:eastAsia="ru-RU"/>
        </w:rPr>
      </w:pPr>
      <w:r w:rsidRPr="00D509CD">
        <w:rPr>
          <w:rFonts w:ascii="Calibri" w:eastAsia="Times New Roman" w:hAnsi="Calibri" w:cs="Calibri"/>
          <w:b/>
          <w:color w:val="000000" w:themeColor="text1"/>
          <w:sz w:val="36"/>
          <w:szCs w:val="36"/>
          <w:shd w:val="solid" w:color="FFFFFF" w:fill="auto"/>
          <w:lang w:val="en-US" w:eastAsia="ru-RU"/>
        </w:rPr>
        <w:br/>
      </w:r>
      <w:r w:rsidR="00DF35CA" w:rsidRPr="00865610">
        <w:rPr>
          <w:rFonts w:ascii="Calibri" w:eastAsia="Times New Roman" w:hAnsi="Calibri" w:cs="Calibri"/>
          <w:b/>
          <w:i/>
          <w:color w:val="000000" w:themeColor="text1"/>
          <w:sz w:val="28"/>
          <w:szCs w:val="36"/>
          <w:shd w:val="solid" w:color="FFFFFF" w:fill="auto"/>
          <w:lang w:val="en-US" w:eastAsia="ru-RU"/>
        </w:rPr>
        <w:t>E</w:t>
      </w:r>
      <w:r w:rsidR="0010277A" w:rsidRPr="00865610">
        <w:rPr>
          <w:rFonts w:ascii="Calibri" w:eastAsia="Times New Roman" w:hAnsi="Calibri" w:cs="Calibri"/>
          <w:b/>
          <w:i/>
          <w:color w:val="000000" w:themeColor="text1"/>
          <w:sz w:val="28"/>
          <w:szCs w:val="36"/>
          <w:shd w:val="solid" w:color="FFFFFF" w:fill="auto"/>
          <w:lang w:val="en-US" w:eastAsia="ru-RU"/>
        </w:rPr>
        <w:t xml:space="preserve">arly </w:t>
      </w:r>
      <w:r w:rsidR="00DA7025" w:rsidRPr="00865610">
        <w:rPr>
          <w:rFonts w:ascii="Calibri" w:eastAsia="Times New Roman" w:hAnsi="Calibri" w:cs="Calibri"/>
          <w:b/>
          <w:i/>
          <w:color w:val="000000" w:themeColor="text1"/>
          <w:sz w:val="28"/>
          <w:szCs w:val="36"/>
          <w:shd w:val="solid" w:color="FFFFFF" w:fill="auto"/>
          <w:lang w:val="en-US" w:eastAsia="ru-RU"/>
        </w:rPr>
        <w:t xml:space="preserve">Enteral Nutrition with </w:t>
      </w:r>
      <w:proofErr w:type="spellStart"/>
      <w:r w:rsidR="00DA7025" w:rsidRPr="00865610">
        <w:rPr>
          <w:rFonts w:ascii="Calibri" w:eastAsia="Times New Roman" w:hAnsi="Calibri" w:cs="Calibri"/>
          <w:b/>
          <w:i/>
          <w:color w:val="000000" w:themeColor="text1"/>
          <w:sz w:val="28"/>
          <w:szCs w:val="36"/>
          <w:shd w:val="solid" w:color="FFFFFF" w:fill="auto"/>
          <w:lang w:val="en-US" w:eastAsia="ru-RU"/>
        </w:rPr>
        <w:t>Immunonutrients</w:t>
      </w:r>
      <w:proofErr w:type="spellEnd"/>
      <w:r w:rsidR="00DA7025" w:rsidRPr="00865610">
        <w:rPr>
          <w:rFonts w:ascii="Calibri" w:eastAsia="Times New Roman" w:hAnsi="Calibri" w:cs="Calibri"/>
          <w:b/>
          <w:i/>
          <w:color w:val="000000" w:themeColor="text1"/>
          <w:sz w:val="28"/>
          <w:szCs w:val="36"/>
          <w:shd w:val="solid" w:color="FFFFFF" w:fill="auto"/>
          <w:lang w:val="en-US" w:eastAsia="ru-RU"/>
        </w:rPr>
        <w:t xml:space="preserve"> in Patients with Traumatic Brain Injury in the Intensive Care Unit</w:t>
      </w:r>
    </w:p>
    <w:p w14:paraId="4BA3D8CC" w14:textId="77777777" w:rsidR="003F3FAF" w:rsidRPr="00865610" w:rsidRDefault="003F3FAF" w:rsidP="003F3FAF">
      <w:pPr>
        <w:autoSpaceDE w:val="0"/>
        <w:autoSpaceDN w:val="0"/>
        <w:adjustRightInd w:val="0"/>
        <w:spacing w:after="0" w:line="276" w:lineRule="auto"/>
        <w:ind w:right="49"/>
        <w:jc w:val="right"/>
        <w:rPr>
          <w:rFonts w:ascii="Calibri" w:eastAsia="Times New Roman" w:hAnsi="Calibri" w:cs="Calibri"/>
          <w:b/>
          <w:i/>
          <w:color w:val="000000" w:themeColor="text1"/>
          <w:sz w:val="28"/>
          <w:szCs w:val="36"/>
          <w:shd w:val="solid" w:color="FFFFFF" w:fill="auto"/>
          <w:lang w:val="en-US" w:eastAsia="ru-RU"/>
        </w:rPr>
      </w:pPr>
    </w:p>
    <w:p w14:paraId="67C0F0FC" w14:textId="79BAE6A4" w:rsidR="003F3FAF" w:rsidRPr="003F3FAF" w:rsidRDefault="003F3FAF" w:rsidP="003F3FAF">
      <w:pPr>
        <w:autoSpaceDE w:val="0"/>
        <w:autoSpaceDN w:val="0"/>
        <w:adjustRightInd w:val="0"/>
        <w:spacing w:after="0" w:line="276" w:lineRule="auto"/>
        <w:ind w:right="49"/>
        <w:jc w:val="right"/>
        <w:rPr>
          <w:rFonts w:ascii="Calibri" w:eastAsia="Times New Roman" w:hAnsi="Calibri" w:cs="Calibri"/>
          <w:b/>
          <w:i/>
          <w:color w:val="000000" w:themeColor="text1"/>
          <w:sz w:val="28"/>
          <w:szCs w:val="36"/>
          <w:shd w:val="solid" w:color="FFFFFF" w:fill="auto"/>
          <w:lang w:eastAsia="ru-RU"/>
        </w:rPr>
      </w:pPr>
      <w:proofErr w:type="spellStart"/>
      <w:r w:rsidRPr="003F3FAF">
        <w:rPr>
          <w:rFonts w:ascii="Calibri" w:eastAsia="Times New Roman" w:hAnsi="Calibri" w:cs="Calibri"/>
          <w:b/>
          <w:i/>
          <w:color w:val="000000" w:themeColor="text1"/>
          <w:sz w:val="28"/>
          <w:szCs w:val="36"/>
          <w:shd w:val="solid" w:color="FFFFFF" w:fill="auto"/>
          <w:lang w:eastAsia="ru-RU"/>
        </w:rPr>
        <w:t>Nutrição</w:t>
      </w:r>
      <w:proofErr w:type="spellEnd"/>
      <w:r w:rsidRPr="003F3FAF">
        <w:rPr>
          <w:rFonts w:ascii="Calibri" w:eastAsia="Times New Roman" w:hAnsi="Calibri" w:cs="Calibri"/>
          <w:b/>
          <w:i/>
          <w:color w:val="000000" w:themeColor="text1"/>
          <w:sz w:val="28"/>
          <w:szCs w:val="36"/>
          <w:shd w:val="solid" w:color="FFFFFF" w:fill="auto"/>
          <w:lang w:eastAsia="ru-RU"/>
        </w:rPr>
        <w:t xml:space="preserve"> enteral </w:t>
      </w:r>
      <w:proofErr w:type="spellStart"/>
      <w:r w:rsidRPr="003F3FAF">
        <w:rPr>
          <w:rFonts w:ascii="Calibri" w:eastAsia="Times New Roman" w:hAnsi="Calibri" w:cs="Calibri"/>
          <w:b/>
          <w:i/>
          <w:color w:val="000000" w:themeColor="text1"/>
          <w:sz w:val="28"/>
          <w:szCs w:val="36"/>
          <w:shd w:val="solid" w:color="FFFFFF" w:fill="auto"/>
          <w:lang w:eastAsia="ru-RU"/>
        </w:rPr>
        <w:t>precoce</w:t>
      </w:r>
      <w:proofErr w:type="spellEnd"/>
      <w:r w:rsidRPr="003F3FAF">
        <w:rPr>
          <w:rFonts w:ascii="Calibri" w:eastAsia="Times New Roman" w:hAnsi="Calibri" w:cs="Calibri"/>
          <w:b/>
          <w:i/>
          <w:color w:val="000000" w:themeColor="text1"/>
          <w:sz w:val="28"/>
          <w:szCs w:val="36"/>
          <w:shd w:val="solid" w:color="FFFFFF" w:fill="auto"/>
          <w:lang w:eastAsia="ru-RU"/>
        </w:rPr>
        <w:t xml:space="preserve"> </w:t>
      </w:r>
      <w:proofErr w:type="spellStart"/>
      <w:r w:rsidRPr="003F3FAF">
        <w:rPr>
          <w:rFonts w:ascii="Calibri" w:eastAsia="Times New Roman" w:hAnsi="Calibri" w:cs="Calibri"/>
          <w:b/>
          <w:i/>
          <w:color w:val="000000" w:themeColor="text1"/>
          <w:sz w:val="28"/>
          <w:szCs w:val="36"/>
          <w:shd w:val="solid" w:color="FFFFFF" w:fill="auto"/>
          <w:lang w:eastAsia="ru-RU"/>
        </w:rPr>
        <w:t>com</w:t>
      </w:r>
      <w:proofErr w:type="spellEnd"/>
      <w:r w:rsidRPr="003F3FAF">
        <w:rPr>
          <w:rFonts w:ascii="Calibri" w:eastAsia="Times New Roman" w:hAnsi="Calibri" w:cs="Calibri"/>
          <w:b/>
          <w:i/>
          <w:color w:val="000000" w:themeColor="text1"/>
          <w:sz w:val="28"/>
          <w:szCs w:val="36"/>
          <w:shd w:val="solid" w:color="FFFFFF" w:fill="auto"/>
          <w:lang w:eastAsia="ru-RU"/>
        </w:rPr>
        <w:t xml:space="preserve"> </w:t>
      </w:r>
      <w:proofErr w:type="spellStart"/>
      <w:r w:rsidRPr="003F3FAF">
        <w:rPr>
          <w:rFonts w:ascii="Calibri" w:eastAsia="Times New Roman" w:hAnsi="Calibri" w:cs="Calibri"/>
          <w:b/>
          <w:i/>
          <w:color w:val="000000" w:themeColor="text1"/>
          <w:sz w:val="28"/>
          <w:szCs w:val="36"/>
          <w:shd w:val="solid" w:color="FFFFFF" w:fill="auto"/>
          <w:lang w:eastAsia="ru-RU"/>
        </w:rPr>
        <w:t>imunonutrientes</w:t>
      </w:r>
      <w:proofErr w:type="spellEnd"/>
      <w:r w:rsidRPr="003F3FAF">
        <w:rPr>
          <w:rFonts w:ascii="Calibri" w:eastAsia="Times New Roman" w:hAnsi="Calibri" w:cs="Calibri"/>
          <w:b/>
          <w:i/>
          <w:color w:val="000000" w:themeColor="text1"/>
          <w:sz w:val="28"/>
          <w:szCs w:val="36"/>
          <w:shd w:val="solid" w:color="FFFFFF" w:fill="auto"/>
          <w:lang w:eastAsia="ru-RU"/>
        </w:rPr>
        <w:t xml:space="preserve"> </w:t>
      </w:r>
      <w:proofErr w:type="spellStart"/>
      <w:r w:rsidRPr="003F3FAF">
        <w:rPr>
          <w:rFonts w:ascii="Calibri" w:eastAsia="Times New Roman" w:hAnsi="Calibri" w:cs="Calibri"/>
          <w:b/>
          <w:i/>
          <w:color w:val="000000" w:themeColor="text1"/>
          <w:sz w:val="28"/>
          <w:szCs w:val="36"/>
          <w:shd w:val="solid" w:color="FFFFFF" w:fill="auto"/>
          <w:lang w:eastAsia="ru-RU"/>
        </w:rPr>
        <w:t>em</w:t>
      </w:r>
      <w:proofErr w:type="spellEnd"/>
      <w:r w:rsidRPr="003F3FAF">
        <w:rPr>
          <w:rFonts w:ascii="Calibri" w:eastAsia="Times New Roman" w:hAnsi="Calibri" w:cs="Calibri"/>
          <w:b/>
          <w:i/>
          <w:color w:val="000000" w:themeColor="text1"/>
          <w:sz w:val="28"/>
          <w:szCs w:val="36"/>
          <w:shd w:val="solid" w:color="FFFFFF" w:fill="auto"/>
          <w:lang w:eastAsia="ru-RU"/>
        </w:rPr>
        <w:t xml:space="preserve"> pacientes </w:t>
      </w:r>
      <w:proofErr w:type="spellStart"/>
      <w:r w:rsidRPr="003F3FAF">
        <w:rPr>
          <w:rFonts w:ascii="Calibri" w:eastAsia="Times New Roman" w:hAnsi="Calibri" w:cs="Calibri"/>
          <w:b/>
          <w:i/>
          <w:color w:val="000000" w:themeColor="text1"/>
          <w:sz w:val="28"/>
          <w:szCs w:val="36"/>
          <w:shd w:val="solid" w:color="FFFFFF" w:fill="auto"/>
          <w:lang w:eastAsia="ru-RU"/>
        </w:rPr>
        <w:t>com</w:t>
      </w:r>
      <w:proofErr w:type="spellEnd"/>
      <w:r w:rsidRPr="003F3FAF">
        <w:rPr>
          <w:rFonts w:ascii="Calibri" w:eastAsia="Times New Roman" w:hAnsi="Calibri" w:cs="Calibri"/>
          <w:b/>
          <w:i/>
          <w:color w:val="000000" w:themeColor="text1"/>
          <w:sz w:val="28"/>
          <w:szCs w:val="36"/>
          <w:shd w:val="solid" w:color="FFFFFF" w:fill="auto"/>
          <w:lang w:eastAsia="ru-RU"/>
        </w:rPr>
        <w:t xml:space="preserve"> trauma </w:t>
      </w:r>
      <w:proofErr w:type="spellStart"/>
      <w:r w:rsidRPr="003F3FAF">
        <w:rPr>
          <w:rFonts w:ascii="Calibri" w:eastAsia="Times New Roman" w:hAnsi="Calibri" w:cs="Calibri"/>
          <w:b/>
          <w:i/>
          <w:color w:val="000000" w:themeColor="text1"/>
          <w:sz w:val="28"/>
          <w:szCs w:val="36"/>
          <w:shd w:val="solid" w:color="FFFFFF" w:fill="auto"/>
          <w:lang w:eastAsia="ru-RU"/>
        </w:rPr>
        <w:t>cranioencefálico</w:t>
      </w:r>
      <w:proofErr w:type="spellEnd"/>
      <w:r w:rsidRPr="003F3FAF">
        <w:rPr>
          <w:rFonts w:ascii="Calibri" w:eastAsia="Times New Roman" w:hAnsi="Calibri" w:cs="Calibri"/>
          <w:b/>
          <w:i/>
          <w:color w:val="000000" w:themeColor="text1"/>
          <w:sz w:val="28"/>
          <w:szCs w:val="36"/>
          <w:shd w:val="solid" w:color="FFFFFF" w:fill="auto"/>
          <w:lang w:eastAsia="ru-RU"/>
        </w:rPr>
        <w:t xml:space="preserve"> </w:t>
      </w:r>
      <w:proofErr w:type="spellStart"/>
      <w:r w:rsidRPr="003F3FAF">
        <w:rPr>
          <w:rFonts w:ascii="Calibri" w:eastAsia="Times New Roman" w:hAnsi="Calibri" w:cs="Calibri"/>
          <w:b/>
          <w:i/>
          <w:color w:val="000000" w:themeColor="text1"/>
          <w:sz w:val="28"/>
          <w:szCs w:val="36"/>
          <w:shd w:val="solid" w:color="FFFFFF" w:fill="auto"/>
          <w:lang w:eastAsia="ru-RU"/>
        </w:rPr>
        <w:t>em</w:t>
      </w:r>
      <w:proofErr w:type="spellEnd"/>
      <w:r w:rsidRPr="003F3FAF">
        <w:rPr>
          <w:rFonts w:ascii="Calibri" w:eastAsia="Times New Roman" w:hAnsi="Calibri" w:cs="Calibri"/>
          <w:b/>
          <w:i/>
          <w:color w:val="000000" w:themeColor="text1"/>
          <w:sz w:val="28"/>
          <w:szCs w:val="36"/>
          <w:shd w:val="solid" w:color="FFFFFF" w:fill="auto"/>
          <w:lang w:eastAsia="ru-RU"/>
        </w:rPr>
        <w:t xml:space="preserve"> </w:t>
      </w:r>
      <w:proofErr w:type="spellStart"/>
      <w:r w:rsidRPr="003F3FAF">
        <w:rPr>
          <w:rFonts w:ascii="Calibri" w:eastAsia="Times New Roman" w:hAnsi="Calibri" w:cs="Calibri"/>
          <w:b/>
          <w:i/>
          <w:color w:val="000000" w:themeColor="text1"/>
          <w:sz w:val="28"/>
          <w:szCs w:val="36"/>
          <w:shd w:val="solid" w:color="FFFFFF" w:fill="auto"/>
          <w:lang w:eastAsia="ru-RU"/>
        </w:rPr>
        <w:t>unidade</w:t>
      </w:r>
      <w:proofErr w:type="spellEnd"/>
      <w:r w:rsidRPr="003F3FAF">
        <w:rPr>
          <w:rFonts w:ascii="Calibri" w:eastAsia="Times New Roman" w:hAnsi="Calibri" w:cs="Calibri"/>
          <w:b/>
          <w:i/>
          <w:color w:val="000000" w:themeColor="text1"/>
          <w:sz w:val="28"/>
          <w:szCs w:val="36"/>
          <w:shd w:val="solid" w:color="FFFFFF" w:fill="auto"/>
          <w:lang w:eastAsia="ru-RU"/>
        </w:rPr>
        <w:t xml:space="preserve"> de terapia intensiva</w:t>
      </w:r>
    </w:p>
    <w:p w14:paraId="5BFF0C01" w14:textId="77777777" w:rsidR="000C22C5" w:rsidRPr="00865610" w:rsidRDefault="000C22C5" w:rsidP="003F3FAF">
      <w:pPr>
        <w:spacing w:after="0" w:line="360" w:lineRule="auto"/>
        <w:ind w:right="49"/>
        <w:jc w:val="both"/>
        <w:rPr>
          <w:rFonts w:ascii="Times New Roman" w:hAnsi="Times New Roman" w:cs="Times New Roman"/>
          <w:b/>
          <w:sz w:val="24"/>
          <w:szCs w:val="24"/>
        </w:rPr>
      </w:pPr>
    </w:p>
    <w:p w14:paraId="13324966" w14:textId="2BCB9EC3" w:rsidR="00DA7025" w:rsidRPr="003F3FAF" w:rsidRDefault="00BD1E3E" w:rsidP="003F3FAF">
      <w:pPr>
        <w:spacing w:after="0" w:line="276" w:lineRule="auto"/>
        <w:ind w:right="49"/>
        <w:jc w:val="right"/>
        <w:rPr>
          <w:rFonts w:ascii="Calibri" w:eastAsiaTheme="minorEastAsia" w:hAnsi="Calibri" w:cs="Calibri"/>
          <w:b/>
          <w:sz w:val="24"/>
          <w:szCs w:val="24"/>
          <w:lang w:val="es-ES_tradnl" w:eastAsia="es-ES"/>
        </w:rPr>
      </w:pPr>
      <w:r w:rsidRPr="003F3FAF">
        <w:rPr>
          <w:rFonts w:ascii="Calibri" w:eastAsiaTheme="minorEastAsia" w:hAnsi="Calibri" w:cs="Calibri"/>
          <w:b/>
          <w:sz w:val="24"/>
          <w:szCs w:val="24"/>
          <w:lang w:val="es-ES_tradnl" w:eastAsia="es-ES"/>
        </w:rPr>
        <w:t xml:space="preserve">Gisela </w:t>
      </w:r>
      <w:r w:rsidR="000C22C5" w:rsidRPr="003F3FAF">
        <w:rPr>
          <w:rFonts w:ascii="Calibri" w:eastAsiaTheme="minorEastAsia" w:hAnsi="Calibri" w:cs="Calibri"/>
          <w:b/>
          <w:sz w:val="24"/>
          <w:szCs w:val="24"/>
          <w:lang w:val="es-ES_tradnl" w:eastAsia="es-ES"/>
        </w:rPr>
        <w:t>Ponce y Ponce de León</w:t>
      </w:r>
    </w:p>
    <w:p w14:paraId="38028190" w14:textId="17DD9DB8" w:rsidR="00865610" w:rsidRPr="00D502DA" w:rsidRDefault="003F3FAF" w:rsidP="00D502DA">
      <w:pPr>
        <w:spacing w:after="0" w:line="276" w:lineRule="auto"/>
        <w:ind w:right="49"/>
        <w:jc w:val="right"/>
        <w:rPr>
          <w:rFonts w:ascii="Calibri" w:eastAsia="Calibri" w:hAnsi="Calibri" w:cs="Calibri"/>
          <w:color w:val="FF0000"/>
          <w:sz w:val="24"/>
          <w:szCs w:val="24"/>
        </w:rPr>
      </w:pPr>
      <w:r w:rsidRPr="003F3FAF">
        <w:rPr>
          <w:rFonts w:ascii="Times New Roman" w:hAnsi="Times New Roman" w:cs="Times New Roman"/>
          <w:sz w:val="24"/>
        </w:rPr>
        <w:t>Universidad Autónoma de Baja California, Baja California, México</w:t>
      </w:r>
      <w:r w:rsidR="00D502DA">
        <w:rPr>
          <w:rFonts w:ascii="Times New Roman" w:hAnsi="Times New Roman" w:cs="Times New Roman"/>
          <w:sz w:val="24"/>
        </w:rPr>
        <w:br/>
      </w:r>
      <w:r w:rsidR="00865610" w:rsidRPr="00D502DA">
        <w:rPr>
          <w:rFonts w:ascii="Calibri" w:eastAsia="Calibri" w:hAnsi="Calibri" w:cs="Calibri"/>
          <w:color w:val="FF0000"/>
          <w:sz w:val="24"/>
          <w:szCs w:val="24"/>
        </w:rPr>
        <w:t>giselaponce@uabc.edu.mx</w:t>
      </w:r>
    </w:p>
    <w:p w14:paraId="5331350C" w14:textId="77777777" w:rsidR="00865610" w:rsidRPr="00D502DA" w:rsidRDefault="00865610" w:rsidP="00D502DA">
      <w:pPr>
        <w:spacing w:after="0"/>
        <w:ind w:right="49"/>
        <w:jc w:val="right"/>
        <w:rPr>
          <w:rFonts w:ascii="Times New Roman" w:hAnsi="Times New Roman" w:cs="Times New Roman"/>
          <w:sz w:val="24"/>
        </w:rPr>
      </w:pPr>
      <w:r w:rsidRPr="00D502DA">
        <w:rPr>
          <w:rFonts w:ascii="Times New Roman" w:hAnsi="Times New Roman" w:cs="Times New Roman"/>
          <w:sz w:val="24"/>
        </w:rPr>
        <w:t>https://orcid.org/0000-0001-9708-3102</w:t>
      </w:r>
    </w:p>
    <w:p w14:paraId="469AFE7D" w14:textId="75E79D9D" w:rsidR="00DA7025" w:rsidRDefault="003F3FAF" w:rsidP="003F3FAF">
      <w:pPr>
        <w:spacing w:after="0" w:line="276" w:lineRule="auto"/>
        <w:ind w:right="49"/>
        <w:jc w:val="right"/>
        <w:rPr>
          <w:rFonts w:ascii="Times New Roman" w:hAnsi="Times New Roman" w:cs="Times New Roman"/>
          <w:sz w:val="24"/>
          <w:szCs w:val="24"/>
        </w:rPr>
      </w:pPr>
      <w:r>
        <w:rPr>
          <w:rFonts w:ascii="Times New Roman" w:hAnsi="Times New Roman" w:cs="Times New Roman"/>
          <w:sz w:val="24"/>
          <w:szCs w:val="24"/>
        </w:rPr>
        <w:br/>
      </w:r>
      <w:r w:rsidR="00A16B05" w:rsidRPr="003F3FAF">
        <w:rPr>
          <w:rFonts w:ascii="Calibri" w:eastAsiaTheme="minorEastAsia" w:hAnsi="Calibri" w:cs="Calibri"/>
          <w:b/>
          <w:sz w:val="24"/>
          <w:szCs w:val="24"/>
          <w:lang w:val="es-ES_tradnl" w:eastAsia="es-ES"/>
        </w:rPr>
        <w:t>José de Jesús</w:t>
      </w:r>
      <w:r w:rsidR="00FF3EBE" w:rsidRPr="003F3FAF">
        <w:rPr>
          <w:rFonts w:ascii="Calibri" w:eastAsiaTheme="minorEastAsia" w:hAnsi="Calibri" w:cs="Calibri"/>
          <w:b/>
          <w:sz w:val="24"/>
          <w:szCs w:val="24"/>
          <w:lang w:val="es-ES_tradnl" w:eastAsia="es-ES"/>
        </w:rPr>
        <w:t xml:space="preserve"> </w:t>
      </w:r>
      <w:proofErr w:type="spellStart"/>
      <w:r w:rsidR="000C22C5" w:rsidRPr="003F3FAF">
        <w:rPr>
          <w:rFonts w:ascii="Calibri" w:eastAsiaTheme="minorEastAsia" w:hAnsi="Calibri" w:cs="Calibri"/>
          <w:b/>
          <w:sz w:val="24"/>
          <w:szCs w:val="24"/>
          <w:lang w:val="es-ES_tradnl" w:eastAsia="es-ES"/>
        </w:rPr>
        <w:t>Mayagoitia</w:t>
      </w:r>
      <w:proofErr w:type="spellEnd"/>
      <w:r w:rsidR="000C22C5" w:rsidRPr="003F3FAF">
        <w:rPr>
          <w:rFonts w:ascii="Calibri" w:eastAsiaTheme="minorEastAsia" w:hAnsi="Calibri" w:cs="Calibri"/>
          <w:b/>
          <w:sz w:val="24"/>
          <w:szCs w:val="24"/>
          <w:lang w:val="es-ES_tradnl" w:eastAsia="es-ES"/>
        </w:rPr>
        <w:t xml:space="preserve"> </w:t>
      </w:r>
      <w:proofErr w:type="spellStart"/>
      <w:r w:rsidR="000C22C5" w:rsidRPr="003F3FAF">
        <w:rPr>
          <w:rFonts w:ascii="Calibri" w:eastAsiaTheme="minorEastAsia" w:hAnsi="Calibri" w:cs="Calibri"/>
          <w:b/>
          <w:sz w:val="24"/>
          <w:szCs w:val="24"/>
          <w:lang w:val="es-ES_tradnl" w:eastAsia="es-ES"/>
        </w:rPr>
        <w:t>Witrón</w:t>
      </w:r>
      <w:proofErr w:type="spellEnd"/>
      <w:r w:rsidR="000C22C5" w:rsidRPr="00DB3115">
        <w:rPr>
          <w:rFonts w:ascii="Times New Roman" w:hAnsi="Times New Roman" w:cs="Times New Roman"/>
          <w:sz w:val="24"/>
          <w:szCs w:val="24"/>
        </w:rPr>
        <w:t xml:space="preserve"> </w:t>
      </w:r>
    </w:p>
    <w:p w14:paraId="167C149A" w14:textId="312F1311" w:rsidR="003F3FAF" w:rsidRPr="003F3FAF" w:rsidRDefault="003F3FAF" w:rsidP="003F3FAF">
      <w:pPr>
        <w:spacing w:after="0" w:line="276" w:lineRule="auto"/>
        <w:ind w:right="49"/>
        <w:jc w:val="right"/>
        <w:rPr>
          <w:rFonts w:ascii="Times New Roman" w:hAnsi="Times New Roman" w:cs="Times New Roman"/>
          <w:sz w:val="28"/>
          <w:szCs w:val="24"/>
        </w:rPr>
      </w:pPr>
      <w:r w:rsidRPr="003F3FAF">
        <w:rPr>
          <w:rFonts w:ascii="Times New Roman" w:hAnsi="Times New Roman" w:cs="Times New Roman"/>
          <w:sz w:val="24"/>
        </w:rPr>
        <w:t>Universidad Autónoma de Baja California, Baja California, México</w:t>
      </w:r>
    </w:p>
    <w:p w14:paraId="7BA1D1CE" w14:textId="282A5D76" w:rsidR="00542B32" w:rsidRPr="00C2461C" w:rsidRDefault="00542B32" w:rsidP="003F3FAF">
      <w:pPr>
        <w:spacing w:after="0" w:line="276" w:lineRule="auto"/>
        <w:ind w:right="49"/>
        <w:jc w:val="right"/>
        <w:rPr>
          <w:rFonts w:ascii="Calibri" w:eastAsia="Calibri" w:hAnsi="Calibri" w:cs="Calibri"/>
          <w:color w:val="FF0000"/>
          <w:sz w:val="24"/>
          <w:szCs w:val="24"/>
        </w:rPr>
      </w:pPr>
      <w:r w:rsidRPr="00C2461C">
        <w:rPr>
          <w:rFonts w:ascii="Calibri" w:eastAsia="Calibri" w:hAnsi="Calibri" w:cs="Calibri"/>
          <w:color w:val="FF0000"/>
          <w:sz w:val="24"/>
          <w:szCs w:val="24"/>
        </w:rPr>
        <w:t>josemaya01@prodigy.net.mx</w:t>
      </w:r>
    </w:p>
    <w:p w14:paraId="7C3519DF" w14:textId="3C6A2D37" w:rsidR="00542B32" w:rsidRPr="00542B32" w:rsidRDefault="00542B32" w:rsidP="00542B32">
      <w:pPr>
        <w:spacing w:after="0" w:line="276" w:lineRule="auto"/>
        <w:ind w:right="49"/>
        <w:jc w:val="right"/>
        <w:rPr>
          <w:rFonts w:ascii="Times New Roman" w:hAnsi="Times New Roman" w:cs="Times New Roman"/>
          <w:sz w:val="24"/>
          <w:szCs w:val="24"/>
        </w:rPr>
      </w:pPr>
      <w:r w:rsidRPr="00542B32">
        <w:rPr>
          <w:rFonts w:ascii="Times New Roman" w:hAnsi="Times New Roman" w:cs="Times New Roman"/>
          <w:sz w:val="24"/>
          <w:szCs w:val="24"/>
        </w:rPr>
        <w:t>https://orcid.org/0000-0002-7388-157X</w:t>
      </w:r>
    </w:p>
    <w:p w14:paraId="07129ED6" w14:textId="12F5D2B9" w:rsidR="00DA7025" w:rsidRPr="003F3FAF" w:rsidRDefault="003F3FAF" w:rsidP="003F3FAF">
      <w:pPr>
        <w:spacing w:after="0" w:line="276" w:lineRule="auto"/>
        <w:ind w:right="49"/>
        <w:jc w:val="right"/>
        <w:rPr>
          <w:rFonts w:ascii="Calibri" w:eastAsiaTheme="minorEastAsia" w:hAnsi="Calibri" w:cs="Calibri"/>
          <w:b/>
          <w:sz w:val="24"/>
          <w:szCs w:val="24"/>
          <w:lang w:val="es-ES_tradnl" w:eastAsia="es-ES"/>
        </w:rPr>
      </w:pPr>
      <w:r>
        <w:rPr>
          <w:rFonts w:ascii="Times New Roman" w:hAnsi="Times New Roman" w:cs="Times New Roman"/>
          <w:sz w:val="24"/>
          <w:szCs w:val="24"/>
        </w:rPr>
        <w:br/>
      </w:r>
      <w:r w:rsidR="00A16B05" w:rsidRPr="003F3FAF">
        <w:rPr>
          <w:rFonts w:ascii="Calibri" w:eastAsiaTheme="minorEastAsia" w:hAnsi="Calibri" w:cs="Calibri"/>
          <w:b/>
          <w:sz w:val="24"/>
          <w:szCs w:val="24"/>
          <w:lang w:val="es-ES_tradnl" w:eastAsia="es-ES"/>
        </w:rPr>
        <w:t>José Manuel</w:t>
      </w:r>
      <w:r w:rsidR="00A96056" w:rsidRPr="003F3FAF">
        <w:rPr>
          <w:rFonts w:ascii="Calibri" w:eastAsiaTheme="minorEastAsia" w:hAnsi="Calibri" w:cs="Calibri"/>
          <w:b/>
          <w:sz w:val="24"/>
          <w:szCs w:val="24"/>
          <w:lang w:val="es-ES_tradnl" w:eastAsia="es-ES"/>
        </w:rPr>
        <w:t xml:space="preserve"> </w:t>
      </w:r>
      <w:r w:rsidR="000C22C5" w:rsidRPr="003F3FAF">
        <w:rPr>
          <w:rFonts w:ascii="Calibri" w:eastAsiaTheme="minorEastAsia" w:hAnsi="Calibri" w:cs="Calibri"/>
          <w:b/>
          <w:sz w:val="24"/>
          <w:szCs w:val="24"/>
          <w:lang w:val="es-ES_tradnl" w:eastAsia="es-ES"/>
        </w:rPr>
        <w:t>Cornejo Bravo</w:t>
      </w:r>
    </w:p>
    <w:p w14:paraId="75FB32B6" w14:textId="3CD534A6" w:rsidR="003F3FAF" w:rsidRDefault="003F3FAF" w:rsidP="003F3FAF">
      <w:pPr>
        <w:spacing w:after="0" w:line="276" w:lineRule="auto"/>
        <w:ind w:right="49"/>
        <w:jc w:val="right"/>
        <w:rPr>
          <w:rFonts w:ascii="Times New Roman" w:hAnsi="Times New Roman" w:cs="Times New Roman"/>
          <w:sz w:val="24"/>
        </w:rPr>
      </w:pPr>
      <w:r w:rsidRPr="003F3FAF">
        <w:rPr>
          <w:rFonts w:ascii="Times New Roman" w:hAnsi="Times New Roman" w:cs="Times New Roman"/>
          <w:sz w:val="24"/>
        </w:rPr>
        <w:t>Universidad Autónoma de Baja California, Baja California, México</w:t>
      </w:r>
    </w:p>
    <w:p w14:paraId="5A519DD8" w14:textId="2D37DA81" w:rsidR="00C7090C" w:rsidRPr="00C2461C" w:rsidRDefault="00C7090C" w:rsidP="003F3FAF">
      <w:pPr>
        <w:spacing w:after="0" w:line="276" w:lineRule="auto"/>
        <w:ind w:right="49"/>
        <w:jc w:val="right"/>
        <w:rPr>
          <w:rFonts w:ascii="Calibri" w:eastAsia="Calibri" w:hAnsi="Calibri" w:cs="Calibri"/>
          <w:color w:val="FF0000"/>
          <w:sz w:val="28"/>
          <w:szCs w:val="24"/>
        </w:rPr>
      </w:pPr>
      <w:r w:rsidRPr="00C2461C">
        <w:rPr>
          <w:rFonts w:ascii="Calibri" w:eastAsia="Calibri" w:hAnsi="Calibri" w:cs="Calibri"/>
          <w:color w:val="FF0000"/>
          <w:sz w:val="24"/>
        </w:rPr>
        <w:t>jmcornejo@uabc.edu.mx</w:t>
      </w:r>
    </w:p>
    <w:p w14:paraId="310F5FD5" w14:textId="20CE4554" w:rsidR="00C7090C" w:rsidRPr="003F3FAF" w:rsidRDefault="00C7090C" w:rsidP="003F3FAF">
      <w:pPr>
        <w:spacing w:after="0" w:line="276" w:lineRule="auto"/>
        <w:ind w:right="49"/>
        <w:jc w:val="right"/>
        <w:rPr>
          <w:rFonts w:ascii="Times New Roman" w:hAnsi="Times New Roman" w:cs="Times New Roman"/>
          <w:sz w:val="28"/>
          <w:szCs w:val="24"/>
        </w:rPr>
      </w:pPr>
      <w:r>
        <w:rPr>
          <w:rFonts w:ascii="Times New Roman" w:hAnsi="Times New Roman" w:cs="Times New Roman"/>
          <w:sz w:val="24"/>
        </w:rPr>
        <w:t>https://orcid.org/0000-0002-0013-8937</w:t>
      </w:r>
    </w:p>
    <w:p w14:paraId="4EB54B30" w14:textId="195BD826" w:rsidR="00DA7025" w:rsidRPr="003F3FAF" w:rsidRDefault="003F3FAF" w:rsidP="003F3FAF">
      <w:pPr>
        <w:spacing w:after="0" w:line="276" w:lineRule="auto"/>
        <w:ind w:right="49"/>
        <w:jc w:val="right"/>
        <w:rPr>
          <w:rFonts w:ascii="Calibri" w:eastAsiaTheme="minorEastAsia" w:hAnsi="Calibri" w:cs="Calibri"/>
          <w:b/>
          <w:sz w:val="24"/>
          <w:szCs w:val="24"/>
          <w:lang w:val="es-ES_tradnl" w:eastAsia="es-ES"/>
        </w:rPr>
      </w:pPr>
      <w:r>
        <w:rPr>
          <w:rFonts w:ascii="Times New Roman" w:hAnsi="Times New Roman" w:cs="Times New Roman"/>
          <w:sz w:val="24"/>
          <w:szCs w:val="24"/>
        </w:rPr>
        <w:br/>
      </w:r>
      <w:r w:rsidR="000C22C5" w:rsidRPr="003F3FAF">
        <w:rPr>
          <w:rFonts w:ascii="Calibri" w:eastAsiaTheme="minorEastAsia" w:hAnsi="Calibri" w:cs="Calibri"/>
          <w:b/>
          <w:sz w:val="24"/>
          <w:szCs w:val="24"/>
          <w:lang w:val="es-ES_tradnl" w:eastAsia="es-ES"/>
        </w:rPr>
        <w:t xml:space="preserve">María Eugenia Pérez Morales </w:t>
      </w:r>
    </w:p>
    <w:p w14:paraId="5770C977" w14:textId="0BD57586" w:rsidR="003F3FAF" w:rsidRDefault="003F3FAF" w:rsidP="003F3FAF">
      <w:pPr>
        <w:spacing w:after="0" w:line="276" w:lineRule="auto"/>
        <w:ind w:right="49"/>
        <w:jc w:val="right"/>
        <w:rPr>
          <w:rFonts w:ascii="Times New Roman" w:hAnsi="Times New Roman" w:cs="Times New Roman"/>
          <w:sz w:val="24"/>
        </w:rPr>
      </w:pPr>
      <w:r w:rsidRPr="003F3FAF">
        <w:rPr>
          <w:rFonts w:ascii="Times New Roman" w:hAnsi="Times New Roman" w:cs="Times New Roman"/>
          <w:sz w:val="24"/>
        </w:rPr>
        <w:t>Universidad Autónoma de Baja California, Baja California, México</w:t>
      </w:r>
    </w:p>
    <w:p w14:paraId="170A55D2" w14:textId="2C7E8AEA" w:rsidR="00D509CD" w:rsidRPr="00C2461C" w:rsidRDefault="00D509CD" w:rsidP="003F3FAF">
      <w:pPr>
        <w:spacing w:after="0" w:line="276" w:lineRule="auto"/>
        <w:ind w:right="49"/>
        <w:jc w:val="right"/>
        <w:rPr>
          <w:rFonts w:ascii="Calibri" w:eastAsia="Calibri" w:hAnsi="Calibri" w:cs="Calibri"/>
          <w:color w:val="FF0000"/>
        </w:rPr>
      </w:pPr>
      <w:r w:rsidRPr="00C2461C">
        <w:rPr>
          <w:rFonts w:ascii="Calibri" w:eastAsia="Calibri" w:hAnsi="Calibri" w:cs="Calibri"/>
          <w:color w:val="FF0000"/>
          <w:sz w:val="24"/>
        </w:rPr>
        <w:t>eugenia@uabc.edu.mx</w:t>
      </w:r>
    </w:p>
    <w:p w14:paraId="26433834" w14:textId="0949F724" w:rsidR="00D509CD" w:rsidRPr="00D509CD" w:rsidRDefault="00D509CD" w:rsidP="003F3FAF">
      <w:pPr>
        <w:spacing w:after="0" w:line="276" w:lineRule="auto"/>
        <w:ind w:right="49"/>
        <w:jc w:val="right"/>
        <w:rPr>
          <w:rStyle w:val="Hipervnculo"/>
          <w:szCs w:val="24"/>
        </w:rPr>
      </w:pPr>
      <w:r>
        <w:rPr>
          <w:rFonts w:ascii="Times New Roman" w:hAnsi="Times New Roman" w:cs="Times New Roman"/>
          <w:sz w:val="24"/>
        </w:rPr>
        <w:t>https://orcid.org/</w:t>
      </w:r>
      <w:r w:rsidRPr="00D509CD">
        <w:rPr>
          <w:rFonts w:ascii="Times New Roman" w:hAnsi="Times New Roman" w:cs="Times New Roman"/>
          <w:sz w:val="24"/>
        </w:rPr>
        <w:t>0000-0001-5810-0694</w:t>
      </w:r>
    </w:p>
    <w:p w14:paraId="5DD72CAF" w14:textId="78812E4A" w:rsidR="00865610" w:rsidRDefault="00865610" w:rsidP="003F3FAF">
      <w:pPr>
        <w:spacing w:after="0" w:line="276" w:lineRule="auto"/>
        <w:ind w:right="49"/>
        <w:jc w:val="right"/>
        <w:rPr>
          <w:rFonts w:ascii="Calibri" w:eastAsiaTheme="minorEastAsia" w:hAnsi="Calibri" w:cs="Calibri"/>
          <w:b/>
          <w:sz w:val="24"/>
          <w:szCs w:val="24"/>
          <w:lang w:val="es-ES_tradnl" w:eastAsia="es-ES"/>
        </w:rPr>
      </w:pPr>
      <w:r w:rsidRPr="00865610">
        <w:rPr>
          <w:rFonts w:ascii="Calibri" w:eastAsiaTheme="minorEastAsia" w:hAnsi="Calibri" w:cs="Calibri"/>
          <w:b/>
          <w:sz w:val="24"/>
          <w:szCs w:val="24"/>
          <w:lang w:val="es-ES_tradnl" w:eastAsia="es-ES"/>
        </w:rPr>
        <w:lastRenderedPageBreak/>
        <w:t xml:space="preserve">Ulises </w:t>
      </w:r>
      <w:proofErr w:type="spellStart"/>
      <w:r w:rsidRPr="00865610">
        <w:rPr>
          <w:rFonts w:ascii="Calibri" w:eastAsiaTheme="minorEastAsia" w:hAnsi="Calibri" w:cs="Calibri"/>
          <w:b/>
          <w:sz w:val="24"/>
          <w:szCs w:val="24"/>
          <w:lang w:val="es-ES_tradnl" w:eastAsia="es-ES"/>
        </w:rPr>
        <w:t>Rieke</w:t>
      </w:r>
      <w:proofErr w:type="spellEnd"/>
      <w:r w:rsidRPr="00865610">
        <w:rPr>
          <w:rFonts w:ascii="Calibri" w:eastAsiaTheme="minorEastAsia" w:hAnsi="Calibri" w:cs="Calibri"/>
          <w:b/>
          <w:sz w:val="24"/>
          <w:szCs w:val="24"/>
          <w:lang w:val="es-ES_tradnl" w:eastAsia="es-ES"/>
        </w:rPr>
        <w:t xml:space="preserve"> Campoy</w:t>
      </w:r>
    </w:p>
    <w:p w14:paraId="0ED9C12D" w14:textId="5A3A4875" w:rsidR="00865610" w:rsidRDefault="00865610" w:rsidP="00865610">
      <w:pPr>
        <w:spacing w:after="0" w:line="276" w:lineRule="auto"/>
        <w:ind w:right="49"/>
        <w:jc w:val="right"/>
        <w:rPr>
          <w:rFonts w:ascii="Times New Roman" w:hAnsi="Times New Roman" w:cs="Times New Roman"/>
          <w:sz w:val="24"/>
        </w:rPr>
      </w:pPr>
      <w:r w:rsidRPr="003F3FAF">
        <w:rPr>
          <w:rFonts w:ascii="Times New Roman" w:hAnsi="Times New Roman" w:cs="Times New Roman"/>
          <w:sz w:val="24"/>
        </w:rPr>
        <w:t>Universidad Autónoma de Baja California, Baja California, México</w:t>
      </w:r>
    </w:p>
    <w:p w14:paraId="08FAA459" w14:textId="693D361F" w:rsidR="00542B32" w:rsidRPr="00C2461C" w:rsidRDefault="00542B32" w:rsidP="00865610">
      <w:pPr>
        <w:spacing w:after="0" w:line="276" w:lineRule="auto"/>
        <w:ind w:right="49"/>
        <w:jc w:val="right"/>
        <w:rPr>
          <w:rFonts w:ascii="Calibri" w:eastAsia="Calibri" w:hAnsi="Calibri" w:cs="Calibri"/>
          <w:color w:val="FF0000"/>
        </w:rPr>
      </w:pPr>
      <w:r w:rsidRPr="00C2461C">
        <w:rPr>
          <w:rFonts w:ascii="Calibri" w:eastAsia="Calibri" w:hAnsi="Calibri" w:cs="Calibri"/>
          <w:color w:val="FF0000"/>
          <w:sz w:val="24"/>
        </w:rPr>
        <w:t>rieke@uabc.edu.mx</w:t>
      </w:r>
    </w:p>
    <w:p w14:paraId="2A7740FF" w14:textId="62E1F046" w:rsidR="00FA03EF" w:rsidRDefault="00FA03EF" w:rsidP="00865610">
      <w:pPr>
        <w:spacing w:after="0" w:line="276" w:lineRule="auto"/>
        <w:ind w:right="49"/>
        <w:jc w:val="right"/>
        <w:rPr>
          <w:rFonts w:ascii="Times New Roman" w:hAnsi="Times New Roman" w:cs="Times New Roman"/>
          <w:sz w:val="24"/>
          <w:szCs w:val="24"/>
        </w:rPr>
      </w:pPr>
      <w:r w:rsidRPr="00D502DA">
        <w:rPr>
          <w:rFonts w:ascii="Times New Roman" w:hAnsi="Times New Roman" w:cs="Times New Roman"/>
          <w:sz w:val="24"/>
        </w:rPr>
        <w:t>https://orcid.org/0000-</w:t>
      </w:r>
      <w:r>
        <w:rPr>
          <w:rFonts w:ascii="Times New Roman" w:hAnsi="Times New Roman" w:cs="Times New Roman"/>
          <w:sz w:val="24"/>
        </w:rPr>
        <w:t>001-5087-7933</w:t>
      </w:r>
    </w:p>
    <w:p w14:paraId="5FC6033B" w14:textId="737FD7CF" w:rsidR="00DF35CA" w:rsidRDefault="003F3FAF" w:rsidP="00D509CD">
      <w:pPr>
        <w:spacing w:after="0" w:line="276" w:lineRule="auto"/>
        <w:ind w:right="49"/>
        <w:jc w:val="right"/>
        <w:rPr>
          <w:rFonts w:ascii="Times New Roman" w:hAnsi="Times New Roman" w:cs="Times New Roman"/>
          <w:sz w:val="24"/>
          <w:szCs w:val="24"/>
        </w:rPr>
      </w:pPr>
      <w:r>
        <w:rPr>
          <w:rFonts w:ascii="Times New Roman" w:hAnsi="Times New Roman" w:cs="Times New Roman"/>
          <w:sz w:val="24"/>
          <w:szCs w:val="24"/>
        </w:rPr>
        <w:br/>
      </w:r>
      <w:r w:rsidR="00F344CE" w:rsidRPr="003F3FAF">
        <w:rPr>
          <w:rFonts w:ascii="Calibri" w:eastAsiaTheme="minorEastAsia" w:hAnsi="Calibri" w:cs="Calibri"/>
          <w:b/>
          <w:sz w:val="24"/>
          <w:szCs w:val="24"/>
          <w:lang w:val="es-ES_tradnl" w:eastAsia="es-ES"/>
        </w:rPr>
        <w:t xml:space="preserve">Alejandro </w:t>
      </w:r>
      <w:proofErr w:type="spellStart"/>
      <w:r w:rsidR="00F344CE" w:rsidRPr="003F3FAF">
        <w:rPr>
          <w:rFonts w:ascii="Calibri" w:eastAsiaTheme="minorEastAsia" w:hAnsi="Calibri" w:cs="Calibri"/>
          <w:b/>
          <w:sz w:val="24"/>
          <w:szCs w:val="24"/>
          <w:lang w:val="es-ES_tradnl" w:eastAsia="es-ES"/>
        </w:rPr>
        <w:t>Mayagoitia</w:t>
      </w:r>
      <w:proofErr w:type="spellEnd"/>
      <w:r w:rsidR="00F344CE" w:rsidRPr="003F3FAF">
        <w:rPr>
          <w:rFonts w:ascii="Calibri" w:eastAsiaTheme="minorEastAsia" w:hAnsi="Calibri" w:cs="Calibri"/>
          <w:b/>
          <w:sz w:val="24"/>
          <w:szCs w:val="24"/>
          <w:lang w:val="es-ES_tradnl" w:eastAsia="es-ES"/>
        </w:rPr>
        <w:t xml:space="preserve"> Ponce</w:t>
      </w:r>
    </w:p>
    <w:p w14:paraId="4E873A9E" w14:textId="38F0A7B5" w:rsidR="00DB3115" w:rsidRDefault="003F3FAF" w:rsidP="00542B32">
      <w:pPr>
        <w:spacing w:after="0" w:line="276" w:lineRule="auto"/>
        <w:ind w:right="49"/>
        <w:jc w:val="right"/>
        <w:rPr>
          <w:rFonts w:ascii="Times New Roman" w:hAnsi="Times New Roman" w:cs="Times New Roman"/>
          <w:b/>
          <w:sz w:val="28"/>
          <w:szCs w:val="24"/>
        </w:rPr>
      </w:pPr>
      <w:r w:rsidRPr="003F3FAF">
        <w:rPr>
          <w:rFonts w:ascii="Times New Roman" w:hAnsi="Times New Roman" w:cs="Times New Roman"/>
          <w:sz w:val="24"/>
        </w:rPr>
        <w:t>Universidad Autónoma de Guadalajara. Escuela de Medicina, Jalisco, México</w:t>
      </w:r>
    </w:p>
    <w:p w14:paraId="035EA280" w14:textId="60F9E484" w:rsidR="00542B32" w:rsidRPr="005C3E29" w:rsidRDefault="00542B32" w:rsidP="00542B32">
      <w:pPr>
        <w:spacing w:after="0" w:line="276" w:lineRule="auto"/>
        <w:ind w:right="49"/>
        <w:jc w:val="right"/>
        <w:rPr>
          <w:rFonts w:ascii="Calibri" w:eastAsia="Calibri" w:hAnsi="Calibri" w:cs="Calibri"/>
          <w:color w:val="FF0000"/>
          <w:sz w:val="24"/>
        </w:rPr>
      </w:pPr>
      <w:r w:rsidRPr="005C3E29">
        <w:rPr>
          <w:rFonts w:ascii="Calibri" w:eastAsia="Calibri" w:hAnsi="Calibri" w:cs="Calibri"/>
          <w:color w:val="FF0000"/>
          <w:sz w:val="24"/>
        </w:rPr>
        <w:t>alejandromayagoitia026@gmail.com</w:t>
      </w:r>
    </w:p>
    <w:p w14:paraId="76E4B055" w14:textId="4F085D4E" w:rsidR="00542B32" w:rsidRDefault="00542B32" w:rsidP="00542B32">
      <w:pPr>
        <w:spacing w:after="0" w:line="276" w:lineRule="auto"/>
        <w:ind w:right="49"/>
        <w:jc w:val="right"/>
        <w:rPr>
          <w:rFonts w:ascii="Times New Roman" w:hAnsi="Times New Roman" w:cs="Times New Roman"/>
          <w:sz w:val="24"/>
          <w:szCs w:val="24"/>
        </w:rPr>
      </w:pPr>
      <w:r w:rsidRPr="00542B32">
        <w:rPr>
          <w:rFonts w:ascii="Times New Roman" w:hAnsi="Times New Roman" w:cs="Times New Roman"/>
          <w:sz w:val="24"/>
          <w:szCs w:val="24"/>
        </w:rPr>
        <w:t>https://orcid.org/0000-0001-9515-1618</w:t>
      </w:r>
    </w:p>
    <w:p w14:paraId="7EB52CC3" w14:textId="77777777" w:rsidR="00542B32" w:rsidRDefault="00542B32" w:rsidP="00542B32">
      <w:pPr>
        <w:spacing w:after="0" w:line="276" w:lineRule="auto"/>
        <w:ind w:right="49"/>
        <w:jc w:val="right"/>
        <w:rPr>
          <w:rFonts w:ascii="Times New Roman" w:hAnsi="Times New Roman" w:cs="Times New Roman"/>
          <w:b/>
          <w:sz w:val="24"/>
          <w:szCs w:val="24"/>
        </w:rPr>
      </w:pPr>
    </w:p>
    <w:p w14:paraId="785BE8C7" w14:textId="4E55C497" w:rsidR="000C22C5" w:rsidRPr="00903856" w:rsidRDefault="00505A5A" w:rsidP="003F3FAF">
      <w:pPr>
        <w:spacing w:after="0" w:line="360" w:lineRule="auto"/>
        <w:ind w:right="49"/>
        <w:jc w:val="both"/>
        <w:rPr>
          <w:rFonts w:ascii="Calibri" w:hAnsi="Calibri" w:cs="Calibri"/>
          <w:b/>
          <w:sz w:val="28"/>
          <w:szCs w:val="24"/>
          <w:lang w:val="es-ES"/>
        </w:rPr>
      </w:pPr>
      <w:r w:rsidRPr="00903856">
        <w:rPr>
          <w:rFonts w:ascii="Calibri" w:hAnsi="Calibri" w:cs="Calibri"/>
          <w:b/>
          <w:sz w:val="28"/>
          <w:szCs w:val="24"/>
          <w:lang w:val="es-ES"/>
        </w:rPr>
        <w:t>Resumen</w:t>
      </w:r>
    </w:p>
    <w:p w14:paraId="77A32A5D" w14:textId="5D843194" w:rsidR="0070396F" w:rsidRDefault="00057B85" w:rsidP="003F3FAF">
      <w:pPr>
        <w:spacing w:after="0" w:line="360" w:lineRule="auto"/>
        <w:ind w:right="49"/>
        <w:jc w:val="both"/>
        <w:rPr>
          <w:rFonts w:ascii="Times New Roman" w:hAnsi="Times New Roman" w:cs="Times New Roman"/>
          <w:sz w:val="24"/>
          <w:szCs w:val="24"/>
        </w:rPr>
      </w:pPr>
      <w:r w:rsidRPr="00DB3115">
        <w:rPr>
          <w:rFonts w:ascii="Times New Roman" w:hAnsi="Times New Roman" w:cs="Times New Roman"/>
          <w:sz w:val="24"/>
          <w:szCs w:val="24"/>
        </w:rPr>
        <w:t>E</w:t>
      </w:r>
      <w:r w:rsidRPr="00DB3115">
        <w:rPr>
          <w:rFonts w:ascii="Times New Roman" w:hAnsi="Times New Roman" w:cs="Times New Roman"/>
          <w:color w:val="000000"/>
          <w:sz w:val="24"/>
          <w:szCs w:val="24"/>
          <w:shd w:val="clear" w:color="auto" w:fill="FFFFFF"/>
        </w:rPr>
        <w:t xml:space="preserve">l traumatismo craneoencefálico (TCE) es la tercera causa de muerte en México </w:t>
      </w:r>
      <w:r w:rsidR="004A478F">
        <w:rPr>
          <w:rFonts w:ascii="Times New Roman" w:hAnsi="Times New Roman" w:cs="Times New Roman"/>
          <w:color w:val="000000"/>
          <w:sz w:val="24"/>
          <w:szCs w:val="24"/>
          <w:shd w:val="clear" w:color="auto" w:fill="FFFFFF"/>
        </w:rPr>
        <w:t>dentro de la categoría de</w:t>
      </w:r>
      <w:r w:rsidR="004A478F" w:rsidRPr="00DB3115">
        <w:rPr>
          <w:rFonts w:ascii="Times New Roman" w:hAnsi="Times New Roman" w:cs="Times New Roman"/>
          <w:color w:val="000000"/>
          <w:sz w:val="24"/>
          <w:szCs w:val="24"/>
          <w:shd w:val="clear" w:color="auto" w:fill="FFFFFF"/>
        </w:rPr>
        <w:t xml:space="preserve"> </w:t>
      </w:r>
      <w:r w:rsidRPr="00DB3115">
        <w:rPr>
          <w:rFonts w:ascii="Times New Roman" w:hAnsi="Times New Roman" w:cs="Times New Roman"/>
          <w:color w:val="000000"/>
          <w:sz w:val="24"/>
          <w:szCs w:val="24"/>
          <w:shd w:val="clear" w:color="auto" w:fill="FFFFFF"/>
        </w:rPr>
        <w:t>muertes violentas y accidentes, por lo que se considera un grave problema de salud pública.</w:t>
      </w:r>
      <w:r w:rsidRPr="004504BB">
        <w:rPr>
          <w:rFonts w:ascii="Times New Roman" w:hAnsi="Times New Roman" w:cs="Times New Roman"/>
          <w:sz w:val="24"/>
          <w:szCs w:val="24"/>
        </w:rPr>
        <w:t xml:space="preserve"> </w:t>
      </w:r>
      <w:r w:rsidR="0070396F">
        <w:rPr>
          <w:rFonts w:ascii="Times New Roman" w:hAnsi="Times New Roman" w:cs="Times New Roman"/>
          <w:sz w:val="24"/>
          <w:szCs w:val="24"/>
        </w:rPr>
        <w:t xml:space="preserve">Se ha observado un beneficio de la </w:t>
      </w:r>
      <w:proofErr w:type="spellStart"/>
      <w:r w:rsidR="00C4709A">
        <w:rPr>
          <w:rFonts w:ascii="Times New Roman" w:hAnsi="Times New Roman" w:cs="Times New Roman"/>
          <w:sz w:val="24"/>
          <w:szCs w:val="24"/>
        </w:rPr>
        <w:t>inmunonutrición</w:t>
      </w:r>
      <w:proofErr w:type="spellEnd"/>
      <w:r w:rsidR="00C4709A">
        <w:rPr>
          <w:rFonts w:ascii="Times New Roman" w:hAnsi="Times New Roman" w:cs="Times New Roman"/>
          <w:sz w:val="24"/>
          <w:szCs w:val="24"/>
        </w:rPr>
        <w:t xml:space="preserve"> </w:t>
      </w:r>
      <w:r w:rsidR="0070396F">
        <w:rPr>
          <w:rFonts w:ascii="Times New Roman" w:hAnsi="Times New Roman" w:cs="Times New Roman"/>
          <w:sz w:val="24"/>
          <w:szCs w:val="24"/>
        </w:rPr>
        <w:t>temprana en pacientes con TCE.</w:t>
      </w:r>
      <w:r w:rsidR="00136EDD">
        <w:rPr>
          <w:rFonts w:ascii="Times New Roman" w:hAnsi="Times New Roman" w:cs="Times New Roman"/>
          <w:sz w:val="24"/>
          <w:szCs w:val="24"/>
        </w:rPr>
        <w:t xml:space="preserve"> </w:t>
      </w:r>
      <w:r w:rsidR="004504BB" w:rsidRPr="004504BB">
        <w:rPr>
          <w:rFonts w:ascii="Times New Roman" w:hAnsi="Times New Roman" w:cs="Times New Roman"/>
          <w:sz w:val="24"/>
          <w:szCs w:val="24"/>
        </w:rPr>
        <w:t>El</w:t>
      </w:r>
      <w:r w:rsidR="004504BB">
        <w:rPr>
          <w:rFonts w:ascii="Times New Roman" w:hAnsi="Times New Roman" w:cs="Times New Roman"/>
          <w:sz w:val="24"/>
          <w:szCs w:val="24"/>
          <w:vertAlign w:val="superscript"/>
        </w:rPr>
        <w:t xml:space="preserve"> </w:t>
      </w:r>
      <w:r w:rsidR="004504BB">
        <w:rPr>
          <w:rFonts w:ascii="Times New Roman" w:hAnsi="Times New Roman" w:cs="Times New Roman"/>
          <w:sz w:val="24"/>
          <w:szCs w:val="24"/>
        </w:rPr>
        <w:t xml:space="preserve">objetivo </w:t>
      </w:r>
      <w:r w:rsidR="00922C4A">
        <w:rPr>
          <w:rFonts w:ascii="Times New Roman" w:hAnsi="Times New Roman" w:cs="Times New Roman"/>
          <w:sz w:val="24"/>
          <w:szCs w:val="24"/>
        </w:rPr>
        <w:t>de est</w:t>
      </w:r>
      <w:r w:rsidR="008163FC">
        <w:rPr>
          <w:rFonts w:ascii="Times New Roman" w:hAnsi="Times New Roman" w:cs="Times New Roman"/>
          <w:sz w:val="24"/>
          <w:szCs w:val="24"/>
        </w:rPr>
        <w:t>e</w:t>
      </w:r>
      <w:r w:rsidR="00922C4A">
        <w:rPr>
          <w:rFonts w:ascii="Times New Roman" w:hAnsi="Times New Roman" w:cs="Times New Roman"/>
          <w:sz w:val="24"/>
          <w:szCs w:val="24"/>
        </w:rPr>
        <w:t xml:space="preserve"> trabajo </w:t>
      </w:r>
      <w:r w:rsidR="004504BB">
        <w:rPr>
          <w:rFonts w:ascii="Times New Roman" w:hAnsi="Times New Roman" w:cs="Times New Roman"/>
          <w:sz w:val="24"/>
          <w:szCs w:val="24"/>
        </w:rPr>
        <w:t>fue d</w:t>
      </w:r>
      <w:r w:rsidRPr="00DB3115">
        <w:rPr>
          <w:rFonts w:ascii="Times New Roman" w:hAnsi="Times New Roman" w:cs="Times New Roman"/>
          <w:sz w:val="24"/>
          <w:szCs w:val="24"/>
        </w:rPr>
        <w:t xml:space="preserve">eterminar el impacto de la nutrición enteral temprana con </w:t>
      </w:r>
      <w:proofErr w:type="spellStart"/>
      <w:r w:rsidRPr="00DB3115">
        <w:rPr>
          <w:rFonts w:ascii="Times New Roman" w:hAnsi="Times New Roman" w:cs="Times New Roman"/>
          <w:sz w:val="24"/>
          <w:szCs w:val="24"/>
        </w:rPr>
        <w:t>inmu</w:t>
      </w:r>
      <w:r w:rsidR="006249F1" w:rsidRPr="00DB3115">
        <w:rPr>
          <w:rFonts w:ascii="Times New Roman" w:hAnsi="Times New Roman" w:cs="Times New Roman"/>
          <w:sz w:val="24"/>
          <w:szCs w:val="24"/>
        </w:rPr>
        <w:t>nonutrientes</w:t>
      </w:r>
      <w:proofErr w:type="spellEnd"/>
      <w:r w:rsidR="006249F1" w:rsidRPr="00DB3115">
        <w:rPr>
          <w:rFonts w:ascii="Times New Roman" w:hAnsi="Times New Roman" w:cs="Times New Roman"/>
          <w:sz w:val="24"/>
          <w:szCs w:val="24"/>
        </w:rPr>
        <w:t xml:space="preserve"> (NETI) en la morbi</w:t>
      </w:r>
      <w:r w:rsidRPr="00DB3115">
        <w:rPr>
          <w:rFonts w:ascii="Times New Roman" w:hAnsi="Times New Roman" w:cs="Times New Roman"/>
          <w:sz w:val="24"/>
          <w:szCs w:val="24"/>
        </w:rPr>
        <w:t xml:space="preserve">mortalidad </w:t>
      </w:r>
      <w:r w:rsidR="008163FC">
        <w:rPr>
          <w:rFonts w:ascii="Times New Roman" w:hAnsi="Times New Roman" w:cs="Times New Roman"/>
          <w:sz w:val="24"/>
          <w:szCs w:val="24"/>
        </w:rPr>
        <w:t>de</w:t>
      </w:r>
      <w:r w:rsidR="008163FC" w:rsidRPr="00DB3115">
        <w:rPr>
          <w:rFonts w:ascii="Times New Roman" w:hAnsi="Times New Roman" w:cs="Times New Roman"/>
          <w:sz w:val="24"/>
          <w:szCs w:val="24"/>
        </w:rPr>
        <w:t xml:space="preserve"> </w:t>
      </w:r>
      <w:r w:rsidRPr="00DB3115">
        <w:rPr>
          <w:rFonts w:ascii="Times New Roman" w:hAnsi="Times New Roman" w:cs="Times New Roman"/>
          <w:sz w:val="24"/>
          <w:szCs w:val="24"/>
        </w:rPr>
        <w:t xml:space="preserve">pacientes con TCE </w:t>
      </w:r>
      <w:r w:rsidR="00922C4A">
        <w:rPr>
          <w:rFonts w:ascii="Times New Roman" w:hAnsi="Times New Roman" w:cs="Times New Roman"/>
          <w:sz w:val="24"/>
          <w:szCs w:val="24"/>
        </w:rPr>
        <w:t>dentro de la</w:t>
      </w:r>
      <w:r w:rsidRPr="00DB3115">
        <w:rPr>
          <w:rFonts w:ascii="Times New Roman" w:hAnsi="Times New Roman" w:cs="Times New Roman"/>
          <w:sz w:val="24"/>
          <w:szCs w:val="24"/>
        </w:rPr>
        <w:t xml:space="preserve"> </w:t>
      </w:r>
      <w:r w:rsidR="00F321B1">
        <w:rPr>
          <w:rFonts w:ascii="Times New Roman" w:hAnsi="Times New Roman" w:cs="Times New Roman"/>
          <w:sz w:val="24"/>
          <w:szCs w:val="24"/>
        </w:rPr>
        <w:t>U</w:t>
      </w:r>
      <w:r w:rsidR="00922C4A" w:rsidRPr="00922C4A">
        <w:rPr>
          <w:rFonts w:ascii="Times New Roman" w:hAnsi="Times New Roman" w:cs="Times New Roman"/>
          <w:sz w:val="24"/>
          <w:szCs w:val="24"/>
        </w:rPr>
        <w:t xml:space="preserve">nidad de </w:t>
      </w:r>
      <w:r w:rsidR="00EE4A11">
        <w:rPr>
          <w:rFonts w:ascii="Times New Roman" w:hAnsi="Times New Roman" w:cs="Times New Roman"/>
          <w:sz w:val="24"/>
          <w:szCs w:val="24"/>
        </w:rPr>
        <w:t>C</w:t>
      </w:r>
      <w:r w:rsidR="00922C4A" w:rsidRPr="00922C4A">
        <w:rPr>
          <w:rFonts w:ascii="Times New Roman" w:hAnsi="Times New Roman" w:cs="Times New Roman"/>
          <w:sz w:val="24"/>
          <w:szCs w:val="24"/>
        </w:rPr>
        <w:t xml:space="preserve">uidados </w:t>
      </w:r>
      <w:r w:rsidR="00EE4A11">
        <w:rPr>
          <w:rFonts w:ascii="Times New Roman" w:hAnsi="Times New Roman" w:cs="Times New Roman"/>
          <w:sz w:val="24"/>
          <w:szCs w:val="24"/>
        </w:rPr>
        <w:t>I</w:t>
      </w:r>
      <w:r w:rsidR="00922C4A" w:rsidRPr="00922C4A">
        <w:rPr>
          <w:rFonts w:ascii="Times New Roman" w:hAnsi="Times New Roman" w:cs="Times New Roman"/>
          <w:sz w:val="24"/>
          <w:szCs w:val="24"/>
        </w:rPr>
        <w:t>ntensivos</w:t>
      </w:r>
      <w:r w:rsidR="00394F6E">
        <w:rPr>
          <w:rFonts w:ascii="Times New Roman" w:hAnsi="Times New Roman" w:cs="Times New Roman"/>
          <w:sz w:val="24"/>
          <w:szCs w:val="24"/>
        </w:rPr>
        <w:t xml:space="preserve"> (UCI)</w:t>
      </w:r>
      <w:r w:rsidR="003B2CAB">
        <w:rPr>
          <w:rFonts w:ascii="Times New Roman" w:hAnsi="Times New Roman" w:cs="Times New Roman"/>
          <w:sz w:val="24"/>
          <w:szCs w:val="24"/>
        </w:rPr>
        <w:t xml:space="preserve"> </w:t>
      </w:r>
      <w:r w:rsidRPr="00DB3115">
        <w:rPr>
          <w:rFonts w:ascii="Times New Roman" w:hAnsi="Times New Roman" w:cs="Times New Roman"/>
          <w:sz w:val="24"/>
          <w:szCs w:val="24"/>
        </w:rPr>
        <w:t>del Hospital General de Mexicali</w:t>
      </w:r>
      <w:r w:rsidR="006249F1" w:rsidRPr="00DB3115">
        <w:rPr>
          <w:rFonts w:ascii="Times New Roman" w:hAnsi="Times New Roman" w:cs="Times New Roman"/>
          <w:sz w:val="24"/>
          <w:szCs w:val="24"/>
        </w:rPr>
        <w:t>.</w:t>
      </w:r>
      <w:r w:rsidR="004504BB">
        <w:rPr>
          <w:rFonts w:ascii="Times New Roman" w:hAnsi="Times New Roman" w:cs="Times New Roman"/>
          <w:sz w:val="24"/>
          <w:szCs w:val="24"/>
          <w:vertAlign w:val="superscript"/>
        </w:rPr>
        <w:t xml:space="preserve"> </w:t>
      </w:r>
      <w:r w:rsidR="00F321B1">
        <w:rPr>
          <w:rFonts w:ascii="Times New Roman" w:hAnsi="Times New Roman" w:cs="Times New Roman"/>
          <w:sz w:val="24"/>
          <w:szCs w:val="24"/>
        </w:rPr>
        <w:t>Se trata de un e</w:t>
      </w:r>
      <w:r w:rsidR="00F321B1" w:rsidRPr="00DB3115">
        <w:rPr>
          <w:rFonts w:ascii="Times New Roman" w:hAnsi="Times New Roman" w:cs="Times New Roman"/>
          <w:sz w:val="24"/>
          <w:szCs w:val="24"/>
        </w:rPr>
        <w:t xml:space="preserve">nsayo </w:t>
      </w:r>
      <w:r w:rsidRPr="00DB3115">
        <w:rPr>
          <w:rFonts w:ascii="Times New Roman" w:hAnsi="Times New Roman" w:cs="Times New Roman"/>
          <w:sz w:val="24"/>
          <w:szCs w:val="24"/>
        </w:rPr>
        <w:t>clínico aleatorizado</w:t>
      </w:r>
      <w:r w:rsidR="00F321B1">
        <w:rPr>
          <w:rFonts w:ascii="Times New Roman" w:hAnsi="Times New Roman" w:cs="Times New Roman"/>
          <w:sz w:val="24"/>
          <w:szCs w:val="24"/>
        </w:rPr>
        <w:t xml:space="preserve"> en el que se</w:t>
      </w:r>
      <w:r w:rsidRPr="00DB3115">
        <w:rPr>
          <w:rFonts w:ascii="Times New Roman" w:hAnsi="Times New Roman" w:cs="Times New Roman"/>
          <w:sz w:val="24"/>
          <w:szCs w:val="24"/>
        </w:rPr>
        <w:t xml:space="preserve"> incluyeron </w:t>
      </w:r>
      <w:r w:rsidR="004504BB">
        <w:rPr>
          <w:rFonts w:ascii="Times New Roman" w:hAnsi="Times New Roman" w:cs="Times New Roman"/>
          <w:sz w:val="24"/>
          <w:szCs w:val="24"/>
        </w:rPr>
        <w:t xml:space="preserve">todos los </w:t>
      </w:r>
      <w:r w:rsidRPr="00DB3115">
        <w:rPr>
          <w:rFonts w:ascii="Times New Roman" w:hAnsi="Times New Roman" w:cs="Times New Roman"/>
          <w:sz w:val="24"/>
          <w:szCs w:val="24"/>
        </w:rPr>
        <w:t>pacientes</w:t>
      </w:r>
      <w:r w:rsidR="00F321B1" w:rsidRPr="00DB3115">
        <w:rPr>
          <w:rFonts w:ascii="Times New Roman" w:hAnsi="Times New Roman" w:cs="Times New Roman"/>
          <w:sz w:val="24"/>
          <w:szCs w:val="24"/>
        </w:rPr>
        <w:t xml:space="preserve"> </w:t>
      </w:r>
      <w:r w:rsidR="00F321B1">
        <w:rPr>
          <w:rFonts w:ascii="Times New Roman" w:hAnsi="Times New Roman" w:cs="Times New Roman"/>
          <w:sz w:val="24"/>
          <w:szCs w:val="24"/>
        </w:rPr>
        <w:t>con TCE</w:t>
      </w:r>
      <w:r w:rsidR="00F321B1" w:rsidRPr="00DB3115">
        <w:rPr>
          <w:rFonts w:ascii="Times New Roman" w:hAnsi="Times New Roman" w:cs="Times New Roman"/>
          <w:sz w:val="24"/>
          <w:szCs w:val="24"/>
        </w:rPr>
        <w:t xml:space="preserve"> </w:t>
      </w:r>
      <w:r w:rsidRPr="00DB3115">
        <w:rPr>
          <w:rFonts w:ascii="Times New Roman" w:hAnsi="Times New Roman" w:cs="Times New Roman"/>
          <w:sz w:val="24"/>
          <w:szCs w:val="24"/>
        </w:rPr>
        <w:t>que ingresaron a la UCI del 1 de agosto de 201</w:t>
      </w:r>
      <w:r w:rsidR="00F344CE" w:rsidRPr="00DB3115">
        <w:rPr>
          <w:rFonts w:ascii="Times New Roman" w:hAnsi="Times New Roman" w:cs="Times New Roman"/>
          <w:sz w:val="24"/>
          <w:szCs w:val="24"/>
        </w:rPr>
        <w:t>6</w:t>
      </w:r>
      <w:r w:rsidRPr="00DB3115">
        <w:rPr>
          <w:rFonts w:ascii="Times New Roman" w:hAnsi="Times New Roman" w:cs="Times New Roman"/>
          <w:sz w:val="24"/>
          <w:szCs w:val="24"/>
        </w:rPr>
        <w:t xml:space="preserve"> al 30 de junio de 201</w:t>
      </w:r>
      <w:r w:rsidR="00F344CE" w:rsidRPr="00DB3115">
        <w:rPr>
          <w:rFonts w:ascii="Times New Roman" w:hAnsi="Times New Roman" w:cs="Times New Roman"/>
          <w:sz w:val="24"/>
          <w:szCs w:val="24"/>
        </w:rPr>
        <w:t>7</w:t>
      </w:r>
      <w:r w:rsidR="00F321B1">
        <w:rPr>
          <w:rFonts w:ascii="Times New Roman" w:hAnsi="Times New Roman" w:cs="Times New Roman"/>
          <w:sz w:val="24"/>
          <w:szCs w:val="24"/>
        </w:rPr>
        <w:t>. S</w:t>
      </w:r>
      <w:r w:rsidR="00F321B1" w:rsidRPr="00DB3115">
        <w:rPr>
          <w:rFonts w:ascii="Times New Roman" w:hAnsi="Times New Roman" w:cs="Times New Roman"/>
          <w:sz w:val="24"/>
          <w:szCs w:val="24"/>
        </w:rPr>
        <w:t xml:space="preserve">e </w:t>
      </w:r>
      <w:r w:rsidRPr="00DB3115">
        <w:rPr>
          <w:rFonts w:ascii="Times New Roman" w:hAnsi="Times New Roman" w:cs="Times New Roman"/>
          <w:sz w:val="24"/>
          <w:szCs w:val="24"/>
        </w:rPr>
        <w:t xml:space="preserve">conformaron dos grupos: </w:t>
      </w:r>
      <w:r w:rsidR="00812D93">
        <w:rPr>
          <w:rFonts w:ascii="Times New Roman" w:hAnsi="Times New Roman" w:cs="Times New Roman"/>
          <w:sz w:val="24"/>
          <w:szCs w:val="24"/>
        </w:rPr>
        <w:t>el grupo de</w:t>
      </w:r>
      <w:r w:rsidR="00812D93" w:rsidRPr="00DB3115">
        <w:rPr>
          <w:rFonts w:ascii="Times New Roman" w:hAnsi="Times New Roman" w:cs="Times New Roman"/>
          <w:sz w:val="24"/>
          <w:szCs w:val="24"/>
        </w:rPr>
        <w:t xml:space="preserve"> estudio sometido a NETI </w:t>
      </w:r>
      <w:r w:rsidR="00812D93">
        <w:rPr>
          <w:rFonts w:ascii="Times New Roman" w:hAnsi="Times New Roman" w:cs="Times New Roman"/>
          <w:sz w:val="24"/>
          <w:szCs w:val="24"/>
        </w:rPr>
        <w:t xml:space="preserve">y </w:t>
      </w:r>
      <w:r w:rsidRPr="00DB3115">
        <w:rPr>
          <w:rFonts w:ascii="Times New Roman" w:hAnsi="Times New Roman" w:cs="Times New Roman"/>
          <w:sz w:val="24"/>
          <w:szCs w:val="24"/>
        </w:rPr>
        <w:t>un grupo control que fue sometido a nutrición enteral temprana licuada (NETL)</w:t>
      </w:r>
      <w:r w:rsidR="00812D93">
        <w:rPr>
          <w:rFonts w:ascii="Times New Roman" w:hAnsi="Times New Roman" w:cs="Times New Roman"/>
          <w:sz w:val="24"/>
          <w:szCs w:val="24"/>
        </w:rPr>
        <w:t xml:space="preserve">. </w:t>
      </w:r>
    </w:p>
    <w:p w14:paraId="592756C1" w14:textId="3014E611" w:rsidR="00136EDD" w:rsidRDefault="00360155" w:rsidP="003F3FAF">
      <w:pPr>
        <w:spacing w:after="0"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De</w:t>
      </w:r>
      <w:r w:rsidR="0051632A">
        <w:rPr>
          <w:rFonts w:ascii="Times New Roman" w:hAnsi="Times New Roman" w:cs="Times New Roman"/>
          <w:sz w:val="24"/>
          <w:szCs w:val="24"/>
        </w:rPr>
        <w:t>l</w:t>
      </w:r>
      <w:r>
        <w:rPr>
          <w:rFonts w:ascii="Times New Roman" w:hAnsi="Times New Roman" w:cs="Times New Roman"/>
          <w:sz w:val="24"/>
          <w:szCs w:val="24"/>
        </w:rPr>
        <w:t xml:space="preserve"> total de pacientes</w:t>
      </w:r>
      <w:r w:rsidR="0051632A">
        <w:rPr>
          <w:rFonts w:ascii="Times New Roman" w:hAnsi="Times New Roman" w:cs="Times New Roman"/>
          <w:sz w:val="24"/>
          <w:szCs w:val="24"/>
        </w:rPr>
        <w:t>,</w:t>
      </w:r>
      <w:r w:rsidR="00057B85" w:rsidRPr="00DB3115">
        <w:rPr>
          <w:rFonts w:ascii="Times New Roman" w:hAnsi="Times New Roman" w:cs="Times New Roman"/>
          <w:sz w:val="24"/>
          <w:szCs w:val="24"/>
        </w:rPr>
        <w:t xml:space="preserve"> 16</w:t>
      </w:r>
      <w:r>
        <w:rPr>
          <w:rFonts w:ascii="Times New Roman" w:hAnsi="Times New Roman" w:cs="Times New Roman"/>
          <w:sz w:val="24"/>
          <w:szCs w:val="24"/>
        </w:rPr>
        <w:t xml:space="preserve"> fueron</w:t>
      </w:r>
      <w:r w:rsidR="00057B85" w:rsidRPr="00DB3115">
        <w:rPr>
          <w:rFonts w:ascii="Times New Roman" w:hAnsi="Times New Roman" w:cs="Times New Roman"/>
          <w:sz w:val="24"/>
          <w:szCs w:val="24"/>
        </w:rPr>
        <w:t xml:space="preserve"> hombres</w:t>
      </w:r>
      <w:r>
        <w:rPr>
          <w:rFonts w:ascii="Times New Roman" w:hAnsi="Times New Roman" w:cs="Times New Roman"/>
          <w:sz w:val="24"/>
          <w:szCs w:val="24"/>
        </w:rPr>
        <w:t xml:space="preserve"> </w:t>
      </w:r>
      <w:r w:rsidRPr="00DB3115">
        <w:rPr>
          <w:rFonts w:ascii="Times New Roman" w:hAnsi="Times New Roman" w:cs="Times New Roman"/>
          <w:sz w:val="24"/>
          <w:szCs w:val="24"/>
        </w:rPr>
        <w:t>(72.7</w:t>
      </w:r>
      <w:r>
        <w:rPr>
          <w:rFonts w:ascii="Times New Roman" w:hAnsi="Times New Roman" w:cs="Times New Roman"/>
          <w:sz w:val="24"/>
          <w:szCs w:val="24"/>
        </w:rPr>
        <w:t xml:space="preserve"> </w:t>
      </w:r>
      <w:r w:rsidRPr="00DB3115">
        <w:rPr>
          <w:rFonts w:ascii="Times New Roman" w:hAnsi="Times New Roman" w:cs="Times New Roman"/>
          <w:sz w:val="24"/>
          <w:szCs w:val="24"/>
        </w:rPr>
        <w:t>%)</w:t>
      </w:r>
      <w:r w:rsidR="00057B85" w:rsidRPr="00DB3115">
        <w:rPr>
          <w:rFonts w:ascii="Times New Roman" w:hAnsi="Times New Roman" w:cs="Times New Roman"/>
          <w:sz w:val="24"/>
          <w:szCs w:val="24"/>
        </w:rPr>
        <w:t xml:space="preserve"> y 6 mujeres</w:t>
      </w:r>
      <w:r>
        <w:rPr>
          <w:rFonts w:ascii="Times New Roman" w:hAnsi="Times New Roman" w:cs="Times New Roman"/>
          <w:sz w:val="24"/>
          <w:szCs w:val="24"/>
        </w:rPr>
        <w:t xml:space="preserve"> </w:t>
      </w:r>
      <w:r w:rsidRPr="00DB3115">
        <w:rPr>
          <w:rFonts w:ascii="Times New Roman" w:hAnsi="Times New Roman" w:cs="Times New Roman"/>
          <w:sz w:val="24"/>
          <w:szCs w:val="24"/>
        </w:rPr>
        <w:t>(27.3</w:t>
      </w:r>
      <w:r>
        <w:rPr>
          <w:rFonts w:ascii="Times New Roman" w:hAnsi="Times New Roman" w:cs="Times New Roman"/>
          <w:sz w:val="24"/>
          <w:szCs w:val="24"/>
        </w:rPr>
        <w:t xml:space="preserve"> </w:t>
      </w:r>
      <w:r w:rsidRPr="00DB3115">
        <w:rPr>
          <w:rFonts w:ascii="Times New Roman" w:hAnsi="Times New Roman" w:cs="Times New Roman"/>
          <w:sz w:val="24"/>
          <w:szCs w:val="24"/>
        </w:rPr>
        <w:t>%)</w:t>
      </w:r>
      <w:r w:rsidR="00057B85" w:rsidRPr="00DB3115">
        <w:rPr>
          <w:rFonts w:ascii="Times New Roman" w:hAnsi="Times New Roman" w:cs="Times New Roman"/>
          <w:sz w:val="24"/>
          <w:szCs w:val="24"/>
        </w:rPr>
        <w:t xml:space="preserve">, con una media de edad de 34.7 años. Las principales causas del TCE fueron por atropellamiento y accidente de tránsito </w:t>
      </w:r>
      <w:r w:rsidR="00F321B1">
        <w:rPr>
          <w:rFonts w:ascii="Times New Roman" w:hAnsi="Times New Roman" w:cs="Times New Roman"/>
          <w:sz w:val="24"/>
          <w:szCs w:val="24"/>
        </w:rPr>
        <w:t>(</w:t>
      </w:r>
      <w:r w:rsidR="00057B85" w:rsidRPr="00DB3115">
        <w:rPr>
          <w:rFonts w:ascii="Times New Roman" w:hAnsi="Times New Roman" w:cs="Times New Roman"/>
          <w:sz w:val="24"/>
          <w:szCs w:val="24"/>
        </w:rPr>
        <w:t>54.6</w:t>
      </w:r>
      <w:r w:rsidR="00F321B1">
        <w:rPr>
          <w:rFonts w:ascii="Times New Roman" w:hAnsi="Times New Roman" w:cs="Times New Roman"/>
          <w:sz w:val="24"/>
          <w:szCs w:val="24"/>
        </w:rPr>
        <w:t xml:space="preserve"> </w:t>
      </w:r>
      <w:r w:rsidR="00057B85" w:rsidRPr="00DB3115">
        <w:rPr>
          <w:rFonts w:ascii="Times New Roman" w:hAnsi="Times New Roman" w:cs="Times New Roman"/>
          <w:sz w:val="24"/>
          <w:szCs w:val="24"/>
        </w:rPr>
        <w:t>%</w:t>
      </w:r>
      <w:r w:rsidR="00F321B1">
        <w:rPr>
          <w:rFonts w:ascii="Times New Roman" w:hAnsi="Times New Roman" w:cs="Times New Roman"/>
          <w:sz w:val="24"/>
          <w:szCs w:val="24"/>
        </w:rPr>
        <w:t>)</w:t>
      </w:r>
      <w:r w:rsidR="00057B85" w:rsidRPr="00DB3115">
        <w:rPr>
          <w:rFonts w:ascii="Times New Roman" w:hAnsi="Times New Roman" w:cs="Times New Roman"/>
          <w:sz w:val="24"/>
          <w:szCs w:val="24"/>
        </w:rPr>
        <w:t>. El grupo con NETI, en relación con el grupo control</w:t>
      </w:r>
      <w:r w:rsidR="00F321B1">
        <w:rPr>
          <w:rFonts w:ascii="Times New Roman" w:hAnsi="Times New Roman" w:cs="Times New Roman"/>
          <w:sz w:val="24"/>
          <w:szCs w:val="24"/>
        </w:rPr>
        <w:t>,</w:t>
      </w:r>
      <w:r w:rsidR="00057B85" w:rsidRPr="00DB3115">
        <w:rPr>
          <w:rFonts w:ascii="Times New Roman" w:hAnsi="Times New Roman" w:cs="Times New Roman"/>
          <w:sz w:val="24"/>
          <w:szCs w:val="24"/>
        </w:rPr>
        <w:t xml:space="preserve"> presentó aumento de peso (t de </w:t>
      </w:r>
      <w:proofErr w:type="spellStart"/>
      <w:r w:rsidR="00FD2446">
        <w:rPr>
          <w:rFonts w:ascii="Times New Roman" w:hAnsi="Times New Roman" w:cs="Times New Roman"/>
          <w:sz w:val="24"/>
          <w:szCs w:val="24"/>
        </w:rPr>
        <w:t>S</w:t>
      </w:r>
      <w:r w:rsidR="00321D13" w:rsidRPr="00DB3115">
        <w:rPr>
          <w:rFonts w:ascii="Times New Roman" w:hAnsi="Times New Roman" w:cs="Times New Roman"/>
          <w:sz w:val="24"/>
          <w:szCs w:val="24"/>
        </w:rPr>
        <w:t>tudent</w:t>
      </w:r>
      <w:proofErr w:type="spellEnd"/>
      <w:r w:rsidR="00321D13" w:rsidRPr="00DB3115">
        <w:rPr>
          <w:rFonts w:ascii="Times New Roman" w:hAnsi="Times New Roman" w:cs="Times New Roman"/>
          <w:sz w:val="24"/>
          <w:szCs w:val="24"/>
        </w:rPr>
        <w:t xml:space="preserve"> </w:t>
      </w:r>
      <w:r w:rsidR="00321D13">
        <w:rPr>
          <w:rFonts w:ascii="Times New Roman" w:hAnsi="Times New Roman" w:cs="Times New Roman"/>
          <w:sz w:val="24"/>
          <w:szCs w:val="24"/>
        </w:rPr>
        <w:t xml:space="preserve">de </w:t>
      </w:r>
      <w:r w:rsidR="00057B85" w:rsidRPr="00DB3115">
        <w:rPr>
          <w:rFonts w:ascii="Times New Roman" w:hAnsi="Times New Roman" w:cs="Times New Roman"/>
          <w:sz w:val="24"/>
          <w:szCs w:val="24"/>
        </w:rPr>
        <w:t>23.73</w:t>
      </w:r>
      <w:r w:rsidR="00321D13">
        <w:rPr>
          <w:rFonts w:ascii="Times New Roman" w:hAnsi="Times New Roman" w:cs="Times New Roman"/>
          <w:sz w:val="24"/>
          <w:szCs w:val="24"/>
        </w:rPr>
        <w:t>;</w:t>
      </w:r>
      <w:r w:rsidR="00321D13" w:rsidRPr="00DB3115">
        <w:rPr>
          <w:rFonts w:ascii="Times New Roman" w:hAnsi="Times New Roman" w:cs="Times New Roman"/>
          <w:sz w:val="24"/>
          <w:szCs w:val="24"/>
        </w:rPr>
        <w:t xml:space="preserve"> </w:t>
      </w:r>
      <w:r w:rsidR="00057B85" w:rsidRPr="003F3FAF">
        <w:rPr>
          <w:rFonts w:ascii="Times New Roman" w:hAnsi="Times New Roman" w:cs="Times New Roman"/>
          <w:i/>
          <w:iCs/>
          <w:sz w:val="24"/>
          <w:szCs w:val="24"/>
        </w:rPr>
        <w:t>p</w:t>
      </w:r>
      <w:r w:rsidR="00321D13">
        <w:rPr>
          <w:rFonts w:ascii="Times New Roman" w:hAnsi="Times New Roman" w:cs="Times New Roman"/>
          <w:sz w:val="24"/>
          <w:szCs w:val="24"/>
        </w:rPr>
        <w:t xml:space="preserve"> </w:t>
      </w:r>
      <w:r w:rsidR="00057B85" w:rsidRPr="00DB3115">
        <w:rPr>
          <w:rFonts w:ascii="Times New Roman" w:hAnsi="Times New Roman" w:cs="Times New Roman"/>
          <w:sz w:val="24"/>
          <w:szCs w:val="24"/>
        </w:rPr>
        <w:t>=</w:t>
      </w:r>
      <w:r w:rsidR="00321D13">
        <w:rPr>
          <w:rFonts w:ascii="Times New Roman" w:hAnsi="Times New Roman" w:cs="Times New Roman"/>
          <w:sz w:val="24"/>
          <w:szCs w:val="24"/>
        </w:rPr>
        <w:t xml:space="preserve"> </w:t>
      </w:r>
      <w:r w:rsidR="00057B85" w:rsidRPr="00DB3115">
        <w:rPr>
          <w:rFonts w:ascii="Times New Roman" w:hAnsi="Times New Roman" w:cs="Times New Roman"/>
          <w:sz w:val="24"/>
          <w:szCs w:val="24"/>
        </w:rPr>
        <w:t xml:space="preserve">0.001), </w:t>
      </w:r>
      <w:r w:rsidR="00F17448">
        <w:rPr>
          <w:rFonts w:ascii="Times New Roman" w:hAnsi="Times New Roman" w:cs="Times New Roman"/>
          <w:sz w:val="24"/>
          <w:szCs w:val="24"/>
        </w:rPr>
        <w:t xml:space="preserve">de </w:t>
      </w:r>
      <w:r w:rsidR="00057B85" w:rsidRPr="00DB3115">
        <w:rPr>
          <w:rFonts w:ascii="Times New Roman" w:hAnsi="Times New Roman" w:cs="Times New Roman"/>
          <w:sz w:val="24"/>
          <w:szCs w:val="24"/>
        </w:rPr>
        <w:t xml:space="preserve">proteínas totales (t de </w:t>
      </w:r>
      <w:proofErr w:type="spellStart"/>
      <w:r w:rsidR="00057B85" w:rsidRPr="00DB3115">
        <w:rPr>
          <w:rFonts w:ascii="Times New Roman" w:hAnsi="Times New Roman" w:cs="Times New Roman"/>
          <w:sz w:val="24"/>
          <w:szCs w:val="24"/>
        </w:rPr>
        <w:t>Student</w:t>
      </w:r>
      <w:proofErr w:type="spellEnd"/>
      <w:r w:rsidR="00057B85" w:rsidRPr="00DB3115">
        <w:rPr>
          <w:rFonts w:ascii="Times New Roman" w:hAnsi="Times New Roman" w:cs="Times New Roman"/>
          <w:sz w:val="24"/>
          <w:szCs w:val="24"/>
        </w:rPr>
        <w:t xml:space="preserve"> </w:t>
      </w:r>
      <w:r w:rsidR="00AA0AB1">
        <w:rPr>
          <w:rFonts w:ascii="Times New Roman" w:hAnsi="Times New Roman" w:cs="Times New Roman"/>
          <w:sz w:val="24"/>
          <w:szCs w:val="24"/>
        </w:rPr>
        <w:t xml:space="preserve">de </w:t>
      </w:r>
      <w:r w:rsidR="00057B85" w:rsidRPr="00DB3115">
        <w:rPr>
          <w:rFonts w:ascii="Times New Roman" w:hAnsi="Times New Roman" w:cs="Times New Roman"/>
          <w:sz w:val="24"/>
          <w:szCs w:val="24"/>
        </w:rPr>
        <w:t>13.40</w:t>
      </w:r>
      <w:r w:rsidR="00AA0AB1">
        <w:rPr>
          <w:rFonts w:ascii="Times New Roman" w:hAnsi="Times New Roman" w:cs="Times New Roman"/>
          <w:sz w:val="24"/>
          <w:szCs w:val="24"/>
        </w:rPr>
        <w:t>;</w:t>
      </w:r>
      <w:r w:rsidR="00AA0AB1" w:rsidRPr="00DB3115">
        <w:rPr>
          <w:rFonts w:ascii="Times New Roman" w:hAnsi="Times New Roman" w:cs="Times New Roman"/>
          <w:sz w:val="24"/>
          <w:szCs w:val="24"/>
        </w:rPr>
        <w:t xml:space="preserve"> </w:t>
      </w:r>
      <w:r w:rsidR="00057B85" w:rsidRPr="003F3FAF">
        <w:rPr>
          <w:rFonts w:ascii="Times New Roman" w:hAnsi="Times New Roman" w:cs="Times New Roman"/>
          <w:i/>
          <w:iCs/>
          <w:sz w:val="24"/>
          <w:szCs w:val="24"/>
        </w:rPr>
        <w:t>p</w:t>
      </w:r>
      <w:r w:rsidR="00AA0AB1">
        <w:rPr>
          <w:rFonts w:ascii="Times New Roman" w:hAnsi="Times New Roman" w:cs="Times New Roman"/>
          <w:sz w:val="24"/>
          <w:szCs w:val="24"/>
        </w:rPr>
        <w:t xml:space="preserve"> </w:t>
      </w:r>
      <w:r w:rsidR="00057B85" w:rsidRPr="00DB3115">
        <w:rPr>
          <w:rFonts w:ascii="Times New Roman" w:hAnsi="Times New Roman" w:cs="Times New Roman"/>
          <w:sz w:val="24"/>
          <w:szCs w:val="24"/>
        </w:rPr>
        <w:t>=</w:t>
      </w:r>
      <w:r w:rsidR="00AA0AB1">
        <w:rPr>
          <w:rFonts w:ascii="Times New Roman" w:hAnsi="Times New Roman" w:cs="Times New Roman"/>
          <w:sz w:val="24"/>
          <w:szCs w:val="24"/>
        </w:rPr>
        <w:t xml:space="preserve"> </w:t>
      </w:r>
      <w:r w:rsidR="00057B85" w:rsidRPr="00DB3115">
        <w:rPr>
          <w:rFonts w:ascii="Times New Roman" w:hAnsi="Times New Roman" w:cs="Times New Roman"/>
          <w:sz w:val="24"/>
          <w:szCs w:val="24"/>
        </w:rPr>
        <w:t xml:space="preserve">0.001), </w:t>
      </w:r>
      <w:r w:rsidR="00F17448">
        <w:rPr>
          <w:rFonts w:ascii="Times New Roman" w:hAnsi="Times New Roman" w:cs="Times New Roman"/>
          <w:sz w:val="24"/>
          <w:szCs w:val="24"/>
        </w:rPr>
        <w:t xml:space="preserve">de </w:t>
      </w:r>
      <w:r w:rsidR="00057B85" w:rsidRPr="00DB3115">
        <w:rPr>
          <w:rFonts w:ascii="Times New Roman" w:hAnsi="Times New Roman" w:cs="Times New Roman"/>
          <w:sz w:val="24"/>
          <w:szCs w:val="24"/>
        </w:rPr>
        <w:t xml:space="preserve">leucocitos (t </w:t>
      </w:r>
      <w:r w:rsidR="00AA0AB1">
        <w:rPr>
          <w:rFonts w:ascii="Times New Roman" w:hAnsi="Times New Roman" w:cs="Times New Roman"/>
          <w:sz w:val="24"/>
          <w:szCs w:val="24"/>
        </w:rPr>
        <w:t xml:space="preserve">de </w:t>
      </w:r>
      <w:proofErr w:type="spellStart"/>
      <w:r w:rsidR="00057B85" w:rsidRPr="00DB3115">
        <w:rPr>
          <w:rFonts w:ascii="Times New Roman" w:hAnsi="Times New Roman" w:cs="Times New Roman"/>
          <w:sz w:val="24"/>
          <w:szCs w:val="24"/>
        </w:rPr>
        <w:t>Student</w:t>
      </w:r>
      <w:proofErr w:type="spellEnd"/>
      <w:r w:rsidR="00057B85" w:rsidRPr="00DB3115">
        <w:rPr>
          <w:rFonts w:ascii="Times New Roman" w:hAnsi="Times New Roman" w:cs="Times New Roman"/>
          <w:sz w:val="24"/>
          <w:szCs w:val="24"/>
        </w:rPr>
        <w:t xml:space="preserve"> de 2.05</w:t>
      </w:r>
      <w:r w:rsidR="00AA0AB1">
        <w:rPr>
          <w:rFonts w:ascii="Times New Roman" w:hAnsi="Times New Roman" w:cs="Times New Roman"/>
          <w:sz w:val="24"/>
          <w:szCs w:val="24"/>
        </w:rPr>
        <w:t>;</w:t>
      </w:r>
      <w:r w:rsidR="00AA0AB1" w:rsidRPr="00DB3115">
        <w:rPr>
          <w:rFonts w:ascii="Times New Roman" w:hAnsi="Times New Roman" w:cs="Times New Roman"/>
          <w:sz w:val="24"/>
          <w:szCs w:val="24"/>
        </w:rPr>
        <w:t xml:space="preserve"> </w:t>
      </w:r>
      <w:r w:rsidR="00057B85" w:rsidRPr="003F3FAF">
        <w:rPr>
          <w:rFonts w:ascii="Times New Roman" w:hAnsi="Times New Roman" w:cs="Times New Roman"/>
          <w:i/>
          <w:iCs/>
          <w:sz w:val="24"/>
          <w:szCs w:val="24"/>
        </w:rPr>
        <w:t>p</w:t>
      </w:r>
      <w:r w:rsidR="00057B85" w:rsidRPr="00DB3115">
        <w:rPr>
          <w:rFonts w:ascii="Times New Roman" w:hAnsi="Times New Roman" w:cs="Times New Roman"/>
          <w:sz w:val="24"/>
          <w:szCs w:val="24"/>
        </w:rPr>
        <w:t xml:space="preserve"> =</w:t>
      </w:r>
      <w:r w:rsidR="00AA0AB1">
        <w:rPr>
          <w:rFonts w:ascii="Times New Roman" w:hAnsi="Times New Roman" w:cs="Times New Roman"/>
          <w:sz w:val="24"/>
          <w:szCs w:val="24"/>
        </w:rPr>
        <w:t xml:space="preserve"> </w:t>
      </w:r>
      <w:r w:rsidR="00057B85" w:rsidRPr="00DB3115">
        <w:rPr>
          <w:rFonts w:ascii="Times New Roman" w:hAnsi="Times New Roman" w:cs="Times New Roman"/>
          <w:sz w:val="24"/>
          <w:szCs w:val="24"/>
        </w:rPr>
        <w:t xml:space="preserve">0.002) </w:t>
      </w:r>
      <w:r w:rsidR="00812D93">
        <w:rPr>
          <w:rFonts w:ascii="Times New Roman" w:hAnsi="Times New Roman" w:cs="Times New Roman"/>
          <w:sz w:val="24"/>
          <w:szCs w:val="24"/>
        </w:rPr>
        <w:t xml:space="preserve">y </w:t>
      </w:r>
      <w:r w:rsidR="00057B85" w:rsidRPr="00DB3115">
        <w:rPr>
          <w:rFonts w:ascii="Times New Roman" w:hAnsi="Times New Roman" w:cs="Times New Roman"/>
          <w:sz w:val="24"/>
          <w:szCs w:val="24"/>
        </w:rPr>
        <w:t xml:space="preserve">linfocitos al egreso de la UCI (t de </w:t>
      </w:r>
      <w:proofErr w:type="spellStart"/>
      <w:r w:rsidR="00057B85" w:rsidRPr="00DB3115">
        <w:rPr>
          <w:rFonts w:ascii="Times New Roman" w:hAnsi="Times New Roman" w:cs="Times New Roman"/>
          <w:sz w:val="24"/>
          <w:szCs w:val="24"/>
        </w:rPr>
        <w:t>Student</w:t>
      </w:r>
      <w:proofErr w:type="spellEnd"/>
      <w:r w:rsidR="00057B85" w:rsidRPr="00DB3115">
        <w:rPr>
          <w:rFonts w:ascii="Times New Roman" w:hAnsi="Times New Roman" w:cs="Times New Roman"/>
          <w:sz w:val="24"/>
          <w:szCs w:val="24"/>
        </w:rPr>
        <w:t xml:space="preserve"> </w:t>
      </w:r>
      <w:r w:rsidR="00AA0AB1">
        <w:rPr>
          <w:rFonts w:ascii="Times New Roman" w:hAnsi="Times New Roman" w:cs="Times New Roman"/>
          <w:sz w:val="24"/>
          <w:szCs w:val="24"/>
        </w:rPr>
        <w:t xml:space="preserve">de </w:t>
      </w:r>
      <w:r w:rsidR="00057B85" w:rsidRPr="00DB3115">
        <w:rPr>
          <w:rFonts w:ascii="Times New Roman" w:hAnsi="Times New Roman" w:cs="Times New Roman"/>
          <w:sz w:val="24"/>
          <w:szCs w:val="24"/>
        </w:rPr>
        <w:t>7.09</w:t>
      </w:r>
      <w:r w:rsidR="00AA0AB1">
        <w:rPr>
          <w:rFonts w:ascii="Times New Roman" w:hAnsi="Times New Roman" w:cs="Times New Roman"/>
          <w:sz w:val="24"/>
          <w:szCs w:val="24"/>
        </w:rPr>
        <w:t>;</w:t>
      </w:r>
      <w:r w:rsidR="00AA0AB1" w:rsidRPr="00DB3115">
        <w:rPr>
          <w:rFonts w:ascii="Times New Roman" w:hAnsi="Times New Roman" w:cs="Times New Roman"/>
          <w:sz w:val="24"/>
          <w:szCs w:val="24"/>
        </w:rPr>
        <w:t xml:space="preserve"> </w:t>
      </w:r>
      <w:r w:rsidR="00057B85" w:rsidRPr="003F3FAF">
        <w:rPr>
          <w:rFonts w:ascii="Times New Roman" w:hAnsi="Times New Roman" w:cs="Times New Roman"/>
          <w:i/>
          <w:iCs/>
          <w:sz w:val="24"/>
          <w:szCs w:val="24"/>
        </w:rPr>
        <w:t>p</w:t>
      </w:r>
      <w:r w:rsidR="00AA0AB1">
        <w:rPr>
          <w:rFonts w:ascii="Times New Roman" w:hAnsi="Times New Roman" w:cs="Times New Roman"/>
          <w:sz w:val="24"/>
          <w:szCs w:val="24"/>
        </w:rPr>
        <w:t xml:space="preserve"> </w:t>
      </w:r>
      <w:r w:rsidR="00057B85" w:rsidRPr="00DB3115">
        <w:rPr>
          <w:rFonts w:ascii="Times New Roman" w:hAnsi="Times New Roman" w:cs="Times New Roman"/>
          <w:sz w:val="24"/>
          <w:szCs w:val="24"/>
        </w:rPr>
        <w:t>=</w:t>
      </w:r>
      <w:r w:rsidR="00AA0AB1">
        <w:rPr>
          <w:rFonts w:ascii="Times New Roman" w:hAnsi="Times New Roman" w:cs="Times New Roman"/>
          <w:sz w:val="24"/>
          <w:szCs w:val="24"/>
        </w:rPr>
        <w:t xml:space="preserve"> </w:t>
      </w:r>
      <w:r w:rsidR="00057B85" w:rsidRPr="00DB3115">
        <w:rPr>
          <w:rFonts w:ascii="Times New Roman" w:hAnsi="Times New Roman" w:cs="Times New Roman"/>
          <w:sz w:val="24"/>
          <w:szCs w:val="24"/>
        </w:rPr>
        <w:t xml:space="preserve">0.001), </w:t>
      </w:r>
      <w:r w:rsidR="00812D93">
        <w:rPr>
          <w:rFonts w:ascii="Times New Roman" w:hAnsi="Times New Roman" w:cs="Times New Roman"/>
          <w:sz w:val="24"/>
          <w:szCs w:val="24"/>
        </w:rPr>
        <w:t xml:space="preserve">con disminución en casos de </w:t>
      </w:r>
      <w:r w:rsidR="00057B85" w:rsidRPr="00DB3115">
        <w:rPr>
          <w:rFonts w:ascii="Times New Roman" w:hAnsi="Times New Roman" w:cs="Times New Roman"/>
          <w:sz w:val="24"/>
          <w:szCs w:val="24"/>
        </w:rPr>
        <w:t xml:space="preserve">neumonía (t de </w:t>
      </w:r>
      <w:proofErr w:type="spellStart"/>
      <w:r w:rsidR="00057B85" w:rsidRPr="00DB3115">
        <w:rPr>
          <w:rFonts w:ascii="Times New Roman" w:hAnsi="Times New Roman" w:cs="Times New Roman"/>
          <w:sz w:val="24"/>
          <w:szCs w:val="24"/>
        </w:rPr>
        <w:t>Student</w:t>
      </w:r>
      <w:proofErr w:type="spellEnd"/>
      <w:r w:rsidR="00057B85" w:rsidRPr="00DB3115">
        <w:rPr>
          <w:rFonts w:ascii="Times New Roman" w:hAnsi="Times New Roman" w:cs="Times New Roman"/>
          <w:sz w:val="24"/>
          <w:szCs w:val="24"/>
        </w:rPr>
        <w:t xml:space="preserve"> </w:t>
      </w:r>
      <w:r w:rsidR="00AA0AB1">
        <w:rPr>
          <w:rFonts w:ascii="Times New Roman" w:hAnsi="Times New Roman" w:cs="Times New Roman"/>
          <w:sz w:val="24"/>
          <w:szCs w:val="24"/>
        </w:rPr>
        <w:t xml:space="preserve">de </w:t>
      </w:r>
      <w:r w:rsidR="00057B85" w:rsidRPr="00DB3115">
        <w:rPr>
          <w:rFonts w:ascii="Times New Roman" w:hAnsi="Times New Roman" w:cs="Times New Roman"/>
          <w:sz w:val="24"/>
          <w:szCs w:val="24"/>
        </w:rPr>
        <w:t>13.78</w:t>
      </w:r>
      <w:r w:rsidR="00AA0AB1">
        <w:rPr>
          <w:rFonts w:ascii="Times New Roman" w:hAnsi="Times New Roman" w:cs="Times New Roman"/>
          <w:sz w:val="24"/>
          <w:szCs w:val="24"/>
        </w:rPr>
        <w:t>;</w:t>
      </w:r>
      <w:r w:rsidR="00AA0AB1" w:rsidRPr="00DB3115">
        <w:rPr>
          <w:rFonts w:ascii="Times New Roman" w:hAnsi="Times New Roman" w:cs="Times New Roman"/>
          <w:sz w:val="24"/>
          <w:szCs w:val="24"/>
        </w:rPr>
        <w:t xml:space="preserve"> </w:t>
      </w:r>
      <w:r w:rsidR="00057B85" w:rsidRPr="003F3FAF">
        <w:rPr>
          <w:rFonts w:ascii="Times New Roman" w:hAnsi="Times New Roman" w:cs="Times New Roman"/>
          <w:i/>
          <w:iCs/>
          <w:sz w:val="24"/>
          <w:szCs w:val="24"/>
        </w:rPr>
        <w:t>p</w:t>
      </w:r>
      <w:r w:rsidR="00AA0AB1">
        <w:rPr>
          <w:rFonts w:ascii="Times New Roman" w:hAnsi="Times New Roman" w:cs="Times New Roman"/>
          <w:sz w:val="24"/>
          <w:szCs w:val="24"/>
        </w:rPr>
        <w:t xml:space="preserve"> </w:t>
      </w:r>
      <w:r w:rsidR="00057B85" w:rsidRPr="00DB3115">
        <w:rPr>
          <w:rFonts w:ascii="Times New Roman" w:hAnsi="Times New Roman" w:cs="Times New Roman"/>
          <w:sz w:val="24"/>
          <w:szCs w:val="24"/>
        </w:rPr>
        <w:t>=</w:t>
      </w:r>
      <w:r w:rsidR="00AA0AB1">
        <w:rPr>
          <w:rFonts w:ascii="Times New Roman" w:hAnsi="Times New Roman" w:cs="Times New Roman"/>
          <w:sz w:val="24"/>
          <w:szCs w:val="24"/>
        </w:rPr>
        <w:t xml:space="preserve"> </w:t>
      </w:r>
      <w:r w:rsidR="00057B85" w:rsidRPr="00DB3115">
        <w:rPr>
          <w:rFonts w:ascii="Times New Roman" w:hAnsi="Times New Roman" w:cs="Times New Roman"/>
          <w:sz w:val="24"/>
          <w:szCs w:val="24"/>
        </w:rPr>
        <w:t xml:space="preserve">0.001), infección de vías urinarias (t de </w:t>
      </w:r>
      <w:proofErr w:type="spellStart"/>
      <w:r w:rsidR="00057B85" w:rsidRPr="00DB3115">
        <w:rPr>
          <w:rFonts w:ascii="Times New Roman" w:hAnsi="Times New Roman" w:cs="Times New Roman"/>
          <w:sz w:val="24"/>
          <w:szCs w:val="24"/>
        </w:rPr>
        <w:t>Student</w:t>
      </w:r>
      <w:proofErr w:type="spellEnd"/>
      <w:r w:rsidR="00057B85" w:rsidRPr="00DB3115">
        <w:rPr>
          <w:rFonts w:ascii="Times New Roman" w:hAnsi="Times New Roman" w:cs="Times New Roman"/>
          <w:sz w:val="24"/>
          <w:szCs w:val="24"/>
        </w:rPr>
        <w:t xml:space="preserve"> </w:t>
      </w:r>
      <w:r w:rsidR="00AA0AB1">
        <w:rPr>
          <w:rFonts w:ascii="Times New Roman" w:hAnsi="Times New Roman" w:cs="Times New Roman"/>
          <w:sz w:val="24"/>
          <w:szCs w:val="24"/>
        </w:rPr>
        <w:t xml:space="preserve">de </w:t>
      </w:r>
      <w:r w:rsidR="00057B85" w:rsidRPr="00DB3115">
        <w:rPr>
          <w:rFonts w:ascii="Times New Roman" w:hAnsi="Times New Roman" w:cs="Times New Roman"/>
          <w:sz w:val="24"/>
          <w:szCs w:val="24"/>
        </w:rPr>
        <w:t>8.07</w:t>
      </w:r>
      <w:r w:rsidR="006F4A0B">
        <w:rPr>
          <w:rFonts w:ascii="Times New Roman" w:hAnsi="Times New Roman" w:cs="Times New Roman"/>
          <w:sz w:val="24"/>
          <w:szCs w:val="24"/>
        </w:rPr>
        <w:t>;</w:t>
      </w:r>
      <w:r w:rsidR="006F4A0B" w:rsidRPr="00DB3115">
        <w:rPr>
          <w:rFonts w:ascii="Times New Roman" w:hAnsi="Times New Roman" w:cs="Times New Roman"/>
          <w:sz w:val="24"/>
          <w:szCs w:val="24"/>
        </w:rPr>
        <w:t xml:space="preserve"> </w:t>
      </w:r>
      <w:r w:rsidR="00057B85" w:rsidRPr="003F3FAF">
        <w:rPr>
          <w:rFonts w:ascii="Times New Roman" w:hAnsi="Times New Roman" w:cs="Times New Roman"/>
          <w:i/>
          <w:iCs/>
          <w:sz w:val="24"/>
          <w:szCs w:val="24"/>
        </w:rPr>
        <w:t>p</w:t>
      </w:r>
      <w:r w:rsidR="00AA0AB1">
        <w:rPr>
          <w:rFonts w:ascii="Times New Roman" w:hAnsi="Times New Roman" w:cs="Times New Roman"/>
          <w:sz w:val="24"/>
          <w:szCs w:val="24"/>
        </w:rPr>
        <w:t xml:space="preserve"> </w:t>
      </w:r>
      <w:r w:rsidR="00057B85" w:rsidRPr="00DB3115">
        <w:rPr>
          <w:rFonts w:ascii="Times New Roman" w:hAnsi="Times New Roman" w:cs="Times New Roman"/>
          <w:sz w:val="24"/>
          <w:szCs w:val="24"/>
        </w:rPr>
        <w:t>=</w:t>
      </w:r>
      <w:r w:rsidR="00AA0AB1">
        <w:rPr>
          <w:rFonts w:ascii="Times New Roman" w:hAnsi="Times New Roman" w:cs="Times New Roman"/>
          <w:sz w:val="24"/>
          <w:szCs w:val="24"/>
        </w:rPr>
        <w:t xml:space="preserve"> </w:t>
      </w:r>
      <w:r w:rsidR="00057B85" w:rsidRPr="00DB3115">
        <w:rPr>
          <w:rFonts w:ascii="Times New Roman" w:hAnsi="Times New Roman" w:cs="Times New Roman"/>
          <w:sz w:val="24"/>
          <w:szCs w:val="24"/>
        </w:rPr>
        <w:t>0.001)</w:t>
      </w:r>
      <w:r w:rsidR="006F4A0B">
        <w:rPr>
          <w:rFonts w:ascii="Times New Roman" w:hAnsi="Times New Roman" w:cs="Times New Roman"/>
          <w:sz w:val="24"/>
          <w:szCs w:val="24"/>
        </w:rPr>
        <w:t>,</w:t>
      </w:r>
      <w:r w:rsidR="00057B85" w:rsidRPr="00DB3115">
        <w:rPr>
          <w:rFonts w:ascii="Times New Roman" w:hAnsi="Times New Roman" w:cs="Times New Roman"/>
          <w:sz w:val="24"/>
          <w:szCs w:val="24"/>
        </w:rPr>
        <w:t xml:space="preserve"> días de estancia en la UCI (X</w:t>
      </w:r>
      <w:r w:rsidR="00057B85" w:rsidRPr="00DB3115">
        <w:rPr>
          <w:rFonts w:ascii="Times New Roman" w:hAnsi="Times New Roman" w:cs="Times New Roman"/>
          <w:sz w:val="24"/>
          <w:szCs w:val="24"/>
          <w:vertAlign w:val="superscript"/>
        </w:rPr>
        <w:t xml:space="preserve">2 </w:t>
      </w:r>
      <w:r w:rsidR="00057B85" w:rsidRPr="00DB3115">
        <w:rPr>
          <w:rFonts w:ascii="Times New Roman" w:hAnsi="Times New Roman" w:cs="Times New Roman"/>
          <w:sz w:val="24"/>
          <w:szCs w:val="24"/>
        </w:rPr>
        <w:t>Spearman -.432</w:t>
      </w:r>
      <w:r w:rsidR="00AA0AB1">
        <w:rPr>
          <w:rFonts w:ascii="Times New Roman" w:hAnsi="Times New Roman" w:cs="Times New Roman"/>
          <w:sz w:val="24"/>
          <w:szCs w:val="24"/>
        </w:rPr>
        <w:t>;</w:t>
      </w:r>
      <w:r w:rsidR="00AA0AB1" w:rsidRPr="00DB3115">
        <w:rPr>
          <w:rFonts w:ascii="Times New Roman" w:hAnsi="Times New Roman" w:cs="Times New Roman"/>
          <w:sz w:val="24"/>
          <w:szCs w:val="24"/>
        </w:rPr>
        <w:t xml:space="preserve"> </w:t>
      </w:r>
      <w:r w:rsidR="00057B85" w:rsidRPr="003F3FAF">
        <w:rPr>
          <w:rFonts w:ascii="Times New Roman" w:hAnsi="Times New Roman" w:cs="Times New Roman"/>
          <w:i/>
          <w:iCs/>
          <w:sz w:val="24"/>
          <w:szCs w:val="24"/>
        </w:rPr>
        <w:t>p</w:t>
      </w:r>
      <w:r w:rsidR="00AA0AB1">
        <w:rPr>
          <w:rFonts w:ascii="Times New Roman" w:hAnsi="Times New Roman" w:cs="Times New Roman"/>
          <w:sz w:val="24"/>
          <w:szCs w:val="24"/>
        </w:rPr>
        <w:t xml:space="preserve"> </w:t>
      </w:r>
      <w:r w:rsidR="00057B85" w:rsidRPr="00DB3115">
        <w:rPr>
          <w:rFonts w:ascii="Times New Roman" w:hAnsi="Times New Roman" w:cs="Times New Roman"/>
          <w:sz w:val="24"/>
          <w:szCs w:val="24"/>
        </w:rPr>
        <w:t>=</w:t>
      </w:r>
      <w:r w:rsidR="00AA0AB1">
        <w:rPr>
          <w:rFonts w:ascii="Times New Roman" w:hAnsi="Times New Roman" w:cs="Times New Roman"/>
          <w:sz w:val="24"/>
          <w:szCs w:val="24"/>
        </w:rPr>
        <w:t xml:space="preserve"> </w:t>
      </w:r>
      <w:r w:rsidR="00057B85" w:rsidRPr="00DB3115">
        <w:rPr>
          <w:rFonts w:ascii="Times New Roman" w:hAnsi="Times New Roman" w:cs="Times New Roman"/>
          <w:sz w:val="24"/>
          <w:szCs w:val="24"/>
        </w:rPr>
        <w:t>0.05), días sometidos a ventilación mecánica (X</w:t>
      </w:r>
      <w:r w:rsidR="00057B85" w:rsidRPr="00DB3115">
        <w:rPr>
          <w:rFonts w:ascii="Times New Roman" w:hAnsi="Times New Roman" w:cs="Times New Roman"/>
          <w:sz w:val="24"/>
          <w:szCs w:val="24"/>
          <w:vertAlign w:val="superscript"/>
        </w:rPr>
        <w:t xml:space="preserve">2 </w:t>
      </w:r>
      <w:r w:rsidR="00057B85" w:rsidRPr="00DB3115">
        <w:rPr>
          <w:rFonts w:ascii="Times New Roman" w:hAnsi="Times New Roman" w:cs="Times New Roman"/>
          <w:sz w:val="24"/>
          <w:szCs w:val="24"/>
        </w:rPr>
        <w:lastRenderedPageBreak/>
        <w:t>Spearman -.432</w:t>
      </w:r>
      <w:r w:rsidR="00AA0AB1">
        <w:rPr>
          <w:rFonts w:ascii="Times New Roman" w:hAnsi="Times New Roman" w:cs="Times New Roman"/>
          <w:sz w:val="24"/>
          <w:szCs w:val="24"/>
        </w:rPr>
        <w:t>;</w:t>
      </w:r>
      <w:r w:rsidR="00AA0AB1" w:rsidRPr="00DB3115">
        <w:rPr>
          <w:rFonts w:ascii="Times New Roman" w:hAnsi="Times New Roman" w:cs="Times New Roman"/>
          <w:sz w:val="24"/>
          <w:szCs w:val="24"/>
        </w:rPr>
        <w:t xml:space="preserve"> </w:t>
      </w:r>
      <w:r w:rsidR="00057B85" w:rsidRPr="003F3FAF">
        <w:rPr>
          <w:rFonts w:ascii="Times New Roman" w:hAnsi="Times New Roman" w:cs="Times New Roman"/>
          <w:i/>
          <w:iCs/>
          <w:sz w:val="24"/>
          <w:szCs w:val="24"/>
        </w:rPr>
        <w:t>p</w:t>
      </w:r>
      <w:r w:rsidR="00AA0AB1">
        <w:rPr>
          <w:rFonts w:ascii="Times New Roman" w:hAnsi="Times New Roman" w:cs="Times New Roman"/>
          <w:sz w:val="24"/>
          <w:szCs w:val="24"/>
        </w:rPr>
        <w:t xml:space="preserve"> </w:t>
      </w:r>
      <w:r w:rsidR="00057B85" w:rsidRPr="00DB3115">
        <w:rPr>
          <w:rFonts w:ascii="Times New Roman" w:hAnsi="Times New Roman" w:cs="Times New Roman"/>
          <w:sz w:val="24"/>
          <w:szCs w:val="24"/>
        </w:rPr>
        <w:t>=</w:t>
      </w:r>
      <w:r w:rsidR="00AA0AB1">
        <w:rPr>
          <w:rFonts w:ascii="Times New Roman" w:hAnsi="Times New Roman" w:cs="Times New Roman"/>
          <w:sz w:val="24"/>
          <w:szCs w:val="24"/>
        </w:rPr>
        <w:t xml:space="preserve"> </w:t>
      </w:r>
      <w:r w:rsidR="00057B85" w:rsidRPr="00DB3115">
        <w:rPr>
          <w:rFonts w:ascii="Times New Roman" w:hAnsi="Times New Roman" w:cs="Times New Roman"/>
          <w:sz w:val="24"/>
          <w:szCs w:val="24"/>
        </w:rPr>
        <w:t>0.05) y de nutrición enteral (X</w:t>
      </w:r>
      <w:r w:rsidR="00057B85" w:rsidRPr="00DB3115">
        <w:rPr>
          <w:rFonts w:ascii="Times New Roman" w:hAnsi="Times New Roman" w:cs="Times New Roman"/>
          <w:sz w:val="24"/>
          <w:szCs w:val="24"/>
          <w:vertAlign w:val="superscript"/>
        </w:rPr>
        <w:t xml:space="preserve">2 </w:t>
      </w:r>
      <w:r w:rsidR="00057B85" w:rsidRPr="00DB3115">
        <w:rPr>
          <w:rFonts w:ascii="Times New Roman" w:hAnsi="Times New Roman" w:cs="Times New Roman"/>
          <w:sz w:val="24"/>
          <w:szCs w:val="24"/>
        </w:rPr>
        <w:t>Spearman -.425</w:t>
      </w:r>
      <w:r w:rsidR="00AA0AB1">
        <w:rPr>
          <w:rFonts w:ascii="Times New Roman" w:hAnsi="Times New Roman" w:cs="Times New Roman"/>
          <w:sz w:val="24"/>
          <w:szCs w:val="24"/>
        </w:rPr>
        <w:t xml:space="preserve">; </w:t>
      </w:r>
      <w:r w:rsidR="00057B85" w:rsidRPr="003F3FAF">
        <w:rPr>
          <w:rFonts w:ascii="Times New Roman" w:hAnsi="Times New Roman" w:cs="Times New Roman"/>
          <w:i/>
          <w:iCs/>
          <w:sz w:val="24"/>
          <w:szCs w:val="24"/>
        </w:rPr>
        <w:t>p</w:t>
      </w:r>
      <w:r w:rsidR="00AA0AB1">
        <w:rPr>
          <w:rFonts w:ascii="Times New Roman" w:hAnsi="Times New Roman" w:cs="Times New Roman"/>
          <w:sz w:val="24"/>
          <w:szCs w:val="24"/>
        </w:rPr>
        <w:t xml:space="preserve"> </w:t>
      </w:r>
      <w:r w:rsidR="00057B85" w:rsidRPr="00DB3115">
        <w:rPr>
          <w:rFonts w:ascii="Times New Roman" w:hAnsi="Times New Roman" w:cs="Times New Roman"/>
          <w:sz w:val="24"/>
          <w:szCs w:val="24"/>
        </w:rPr>
        <w:t>=</w:t>
      </w:r>
      <w:r w:rsidR="00AA0AB1">
        <w:rPr>
          <w:rFonts w:ascii="Times New Roman" w:hAnsi="Times New Roman" w:cs="Times New Roman"/>
          <w:sz w:val="24"/>
          <w:szCs w:val="24"/>
        </w:rPr>
        <w:t xml:space="preserve"> </w:t>
      </w:r>
      <w:r w:rsidR="00057B85" w:rsidRPr="00DB3115">
        <w:rPr>
          <w:rFonts w:ascii="Times New Roman" w:hAnsi="Times New Roman" w:cs="Times New Roman"/>
          <w:sz w:val="24"/>
          <w:szCs w:val="24"/>
        </w:rPr>
        <w:t>0.05). La mortalidad fue menor en el grupo de NETI sin reportarse una diferencia significativa.</w:t>
      </w:r>
      <w:r w:rsidR="004504BB">
        <w:rPr>
          <w:rFonts w:ascii="Times New Roman" w:hAnsi="Times New Roman" w:cs="Times New Roman"/>
          <w:sz w:val="24"/>
          <w:szCs w:val="24"/>
          <w:vertAlign w:val="superscript"/>
        </w:rPr>
        <w:t xml:space="preserve"> </w:t>
      </w:r>
    </w:p>
    <w:p w14:paraId="086224B2" w14:textId="00C0D1F9" w:rsidR="00057B85" w:rsidRDefault="00136EDD" w:rsidP="003F3FAF">
      <w:pPr>
        <w:spacing w:after="0" w:line="360" w:lineRule="auto"/>
        <w:ind w:right="49" w:firstLine="708"/>
        <w:jc w:val="both"/>
        <w:rPr>
          <w:rFonts w:ascii="Times New Roman" w:hAnsi="Times New Roman" w:cs="Times New Roman"/>
          <w:sz w:val="24"/>
          <w:szCs w:val="24"/>
        </w:rPr>
      </w:pPr>
      <w:r w:rsidRPr="00136EDD">
        <w:rPr>
          <w:rFonts w:ascii="Times New Roman" w:hAnsi="Times New Roman" w:cs="Times New Roman"/>
          <w:sz w:val="24"/>
          <w:szCs w:val="24"/>
        </w:rPr>
        <w:t>Los pacientes con TCE que recibieron</w:t>
      </w:r>
      <w:r w:rsidR="00057B85" w:rsidRPr="00DB3115">
        <w:rPr>
          <w:rFonts w:ascii="Times New Roman" w:hAnsi="Times New Roman" w:cs="Times New Roman"/>
          <w:sz w:val="24"/>
          <w:szCs w:val="24"/>
        </w:rPr>
        <w:t xml:space="preserve"> </w:t>
      </w:r>
      <w:r w:rsidR="00443460">
        <w:rPr>
          <w:rFonts w:ascii="Times New Roman" w:hAnsi="Times New Roman" w:cs="Times New Roman"/>
          <w:sz w:val="24"/>
          <w:szCs w:val="24"/>
        </w:rPr>
        <w:t xml:space="preserve">NETI presentaron </w:t>
      </w:r>
      <w:r w:rsidR="00443460" w:rsidRPr="00DB3115">
        <w:rPr>
          <w:rFonts w:ascii="Times New Roman" w:hAnsi="Times New Roman" w:cs="Times New Roman"/>
          <w:sz w:val="24"/>
          <w:szCs w:val="24"/>
        </w:rPr>
        <w:t>una</w:t>
      </w:r>
      <w:r>
        <w:rPr>
          <w:rFonts w:ascii="Times New Roman" w:hAnsi="Times New Roman" w:cs="Times New Roman"/>
          <w:sz w:val="24"/>
          <w:szCs w:val="24"/>
        </w:rPr>
        <w:t xml:space="preserve"> </w:t>
      </w:r>
      <w:r w:rsidR="00057B85" w:rsidRPr="00DB3115">
        <w:rPr>
          <w:rFonts w:ascii="Times New Roman" w:hAnsi="Times New Roman" w:cs="Times New Roman"/>
          <w:sz w:val="24"/>
          <w:szCs w:val="24"/>
        </w:rPr>
        <w:t>disminu</w:t>
      </w:r>
      <w:r>
        <w:rPr>
          <w:rFonts w:ascii="Times New Roman" w:hAnsi="Times New Roman" w:cs="Times New Roman"/>
          <w:sz w:val="24"/>
          <w:szCs w:val="24"/>
        </w:rPr>
        <w:t xml:space="preserve">ción </w:t>
      </w:r>
      <w:r w:rsidR="00443460">
        <w:rPr>
          <w:rFonts w:ascii="Times New Roman" w:hAnsi="Times New Roman" w:cs="Times New Roman"/>
          <w:sz w:val="24"/>
          <w:szCs w:val="24"/>
        </w:rPr>
        <w:t xml:space="preserve">en </w:t>
      </w:r>
      <w:r w:rsidR="00443460" w:rsidRPr="00DB3115">
        <w:rPr>
          <w:rFonts w:ascii="Times New Roman" w:hAnsi="Times New Roman" w:cs="Times New Roman"/>
          <w:sz w:val="24"/>
          <w:szCs w:val="24"/>
        </w:rPr>
        <w:t>la</w:t>
      </w:r>
      <w:r w:rsidR="00057B85" w:rsidRPr="00DB3115">
        <w:rPr>
          <w:rFonts w:ascii="Times New Roman" w:hAnsi="Times New Roman" w:cs="Times New Roman"/>
          <w:sz w:val="24"/>
          <w:szCs w:val="24"/>
        </w:rPr>
        <w:t xml:space="preserve"> incidencia de complicaciones infecciosas, así como</w:t>
      </w:r>
      <w:r w:rsidR="00C17A9C">
        <w:rPr>
          <w:rFonts w:ascii="Times New Roman" w:hAnsi="Times New Roman" w:cs="Times New Roman"/>
          <w:sz w:val="24"/>
          <w:szCs w:val="24"/>
        </w:rPr>
        <w:t xml:space="preserve"> respecto a</w:t>
      </w:r>
      <w:r w:rsidR="00057B85" w:rsidRPr="00DB3115">
        <w:rPr>
          <w:rFonts w:ascii="Times New Roman" w:hAnsi="Times New Roman" w:cs="Times New Roman"/>
          <w:sz w:val="24"/>
          <w:szCs w:val="24"/>
        </w:rPr>
        <w:t xml:space="preserve">l tiempo de estancia intrahospitalaria, </w:t>
      </w:r>
      <w:r w:rsidR="00B34BE6">
        <w:rPr>
          <w:rFonts w:ascii="Times New Roman" w:hAnsi="Times New Roman" w:cs="Times New Roman"/>
          <w:sz w:val="24"/>
          <w:szCs w:val="24"/>
        </w:rPr>
        <w:t>gracias a lo</w:t>
      </w:r>
      <w:r w:rsidR="00057B85" w:rsidRPr="00DB3115">
        <w:rPr>
          <w:rFonts w:ascii="Times New Roman" w:hAnsi="Times New Roman" w:cs="Times New Roman"/>
          <w:sz w:val="24"/>
          <w:szCs w:val="24"/>
        </w:rPr>
        <w:t xml:space="preserve"> cual es posible mejorar en menos tiempo la salud del paciente y a la vez reducir costos debidos a </w:t>
      </w:r>
      <w:r w:rsidR="00B34BE6">
        <w:rPr>
          <w:rFonts w:ascii="Times New Roman" w:hAnsi="Times New Roman" w:cs="Times New Roman"/>
          <w:sz w:val="24"/>
          <w:szCs w:val="24"/>
        </w:rPr>
        <w:t xml:space="preserve">la </w:t>
      </w:r>
      <w:r w:rsidR="00057B85" w:rsidRPr="00DB3115">
        <w:rPr>
          <w:rFonts w:ascii="Times New Roman" w:hAnsi="Times New Roman" w:cs="Times New Roman"/>
          <w:sz w:val="24"/>
          <w:szCs w:val="24"/>
        </w:rPr>
        <w:t>hospitalización.</w:t>
      </w:r>
    </w:p>
    <w:p w14:paraId="38268586" w14:textId="00642CF8" w:rsidR="00057B85" w:rsidRPr="00DB3115" w:rsidRDefault="00057B85" w:rsidP="003F3FAF">
      <w:pPr>
        <w:autoSpaceDE w:val="0"/>
        <w:autoSpaceDN w:val="0"/>
        <w:adjustRightInd w:val="0"/>
        <w:spacing w:after="0" w:line="360" w:lineRule="auto"/>
        <w:ind w:right="49"/>
        <w:jc w:val="both"/>
        <w:rPr>
          <w:rFonts w:ascii="Times New Roman" w:hAnsi="Times New Roman" w:cs="Times New Roman"/>
          <w:b/>
          <w:caps/>
          <w:sz w:val="24"/>
          <w:szCs w:val="24"/>
        </w:rPr>
      </w:pPr>
      <w:r w:rsidRPr="00903856">
        <w:rPr>
          <w:rFonts w:ascii="Calibri" w:hAnsi="Calibri" w:cs="Calibri"/>
          <w:b/>
          <w:sz w:val="28"/>
          <w:szCs w:val="24"/>
          <w:lang w:val="es-ES"/>
        </w:rPr>
        <w:t>Palabras clave:</w:t>
      </w:r>
      <w:r w:rsidRPr="00DB3115">
        <w:rPr>
          <w:rFonts w:ascii="Times New Roman" w:hAnsi="Times New Roman" w:cs="Times New Roman"/>
          <w:b/>
          <w:sz w:val="24"/>
          <w:szCs w:val="24"/>
        </w:rPr>
        <w:t xml:space="preserve"> </w:t>
      </w:r>
      <w:r w:rsidR="00505A5A" w:rsidRPr="00DB3115">
        <w:rPr>
          <w:rFonts w:ascii="Times New Roman" w:hAnsi="Times New Roman" w:cs="Times New Roman"/>
          <w:sz w:val="24"/>
          <w:szCs w:val="24"/>
        </w:rPr>
        <w:t xml:space="preserve">nutrición enteral temprana, nutrición enteral con </w:t>
      </w:r>
      <w:proofErr w:type="spellStart"/>
      <w:r w:rsidR="00505A5A" w:rsidRPr="00DB3115">
        <w:rPr>
          <w:rFonts w:ascii="Times New Roman" w:hAnsi="Times New Roman" w:cs="Times New Roman"/>
          <w:sz w:val="24"/>
          <w:szCs w:val="24"/>
        </w:rPr>
        <w:t>inmunonutrientes</w:t>
      </w:r>
      <w:proofErr w:type="spellEnd"/>
      <w:r w:rsidR="00505A5A" w:rsidRPr="00DB3115">
        <w:rPr>
          <w:rFonts w:ascii="Times New Roman" w:hAnsi="Times New Roman" w:cs="Times New Roman"/>
          <w:sz w:val="24"/>
          <w:szCs w:val="24"/>
        </w:rPr>
        <w:t>, traumatismo craneoencefálico, unidad de cuidados intensivos</w:t>
      </w:r>
      <w:r w:rsidRPr="00DB3115">
        <w:rPr>
          <w:rFonts w:ascii="Times New Roman" w:hAnsi="Times New Roman" w:cs="Times New Roman"/>
          <w:sz w:val="24"/>
          <w:szCs w:val="24"/>
        </w:rPr>
        <w:t>.</w:t>
      </w:r>
    </w:p>
    <w:p w14:paraId="164E2A4C" w14:textId="77777777" w:rsidR="00DB3115" w:rsidRPr="00DB3115" w:rsidRDefault="00DB3115" w:rsidP="003F3FAF">
      <w:pPr>
        <w:spacing w:after="0" w:line="360" w:lineRule="auto"/>
        <w:ind w:right="49"/>
        <w:jc w:val="both"/>
        <w:rPr>
          <w:rFonts w:ascii="Times New Roman" w:hAnsi="Times New Roman" w:cs="Times New Roman"/>
          <w:sz w:val="24"/>
          <w:szCs w:val="24"/>
        </w:rPr>
      </w:pPr>
    </w:p>
    <w:p w14:paraId="607E4F58" w14:textId="23523556" w:rsidR="006D63A5" w:rsidRPr="00865610" w:rsidRDefault="00505A5A" w:rsidP="003F3FAF">
      <w:pPr>
        <w:spacing w:after="0" w:line="360" w:lineRule="auto"/>
        <w:ind w:right="49"/>
        <w:jc w:val="both"/>
        <w:rPr>
          <w:rFonts w:ascii="Calibri" w:hAnsi="Calibri" w:cs="Calibri"/>
          <w:b/>
          <w:sz w:val="28"/>
          <w:szCs w:val="24"/>
          <w:lang w:val="en-US"/>
        </w:rPr>
      </w:pPr>
      <w:r w:rsidRPr="00865610">
        <w:rPr>
          <w:rFonts w:ascii="Calibri" w:hAnsi="Calibri" w:cs="Calibri"/>
          <w:b/>
          <w:sz w:val="28"/>
          <w:szCs w:val="24"/>
          <w:lang w:val="en-US"/>
        </w:rPr>
        <w:t>Abstract</w:t>
      </w:r>
    </w:p>
    <w:p w14:paraId="68B6C9B1" w14:textId="70684A2D" w:rsidR="006D63A5" w:rsidRPr="00DB3115" w:rsidRDefault="006D63A5" w:rsidP="003F3FAF">
      <w:pPr>
        <w:autoSpaceDE w:val="0"/>
        <w:autoSpaceDN w:val="0"/>
        <w:adjustRightInd w:val="0"/>
        <w:spacing w:after="0" w:line="360" w:lineRule="auto"/>
        <w:ind w:right="49"/>
        <w:jc w:val="both"/>
        <w:rPr>
          <w:rFonts w:ascii="Times New Roman" w:hAnsi="Times New Roman" w:cs="Times New Roman"/>
          <w:sz w:val="24"/>
          <w:szCs w:val="24"/>
          <w:lang w:val="en-US"/>
        </w:rPr>
      </w:pPr>
      <w:r w:rsidRPr="00DB3115">
        <w:rPr>
          <w:rFonts w:ascii="Times New Roman" w:hAnsi="Times New Roman" w:cs="Times New Roman"/>
          <w:sz w:val="24"/>
          <w:szCs w:val="24"/>
          <w:lang w:val="en-US"/>
        </w:rPr>
        <w:t xml:space="preserve">Early enteral nutrition is initiated in the first 24-48 hours after injury or admission to the </w:t>
      </w:r>
      <w:r w:rsidR="00F8706C" w:rsidRPr="00DB3115">
        <w:rPr>
          <w:rFonts w:ascii="Times New Roman" w:hAnsi="Times New Roman" w:cs="Times New Roman"/>
          <w:sz w:val="24"/>
          <w:szCs w:val="24"/>
          <w:lang w:val="en-US"/>
        </w:rPr>
        <w:t xml:space="preserve">intensive care </w:t>
      </w:r>
      <w:r w:rsidRPr="00DB3115">
        <w:rPr>
          <w:rFonts w:ascii="Times New Roman" w:hAnsi="Times New Roman" w:cs="Times New Roman"/>
          <w:sz w:val="24"/>
          <w:szCs w:val="24"/>
          <w:lang w:val="en-US"/>
        </w:rPr>
        <w:t>unit (ICU</w:t>
      </w:r>
      <w:r w:rsidR="009650FA" w:rsidRPr="00DB3115">
        <w:rPr>
          <w:rFonts w:ascii="Times New Roman" w:hAnsi="Times New Roman" w:cs="Times New Roman"/>
          <w:sz w:val="24"/>
          <w:szCs w:val="24"/>
          <w:lang w:val="en-US"/>
        </w:rPr>
        <w:t>)</w:t>
      </w:r>
      <w:r w:rsidR="009650FA">
        <w:rPr>
          <w:rFonts w:ascii="Times New Roman" w:hAnsi="Times New Roman" w:cs="Times New Roman"/>
          <w:sz w:val="24"/>
          <w:szCs w:val="24"/>
          <w:lang w:val="en-US"/>
        </w:rPr>
        <w:t>.</w:t>
      </w:r>
      <w:r w:rsidR="009650FA" w:rsidRPr="00DB3115">
        <w:rPr>
          <w:rFonts w:ascii="Times New Roman" w:hAnsi="Times New Roman" w:cs="Times New Roman"/>
          <w:sz w:val="24"/>
          <w:szCs w:val="24"/>
          <w:lang w:val="en-US"/>
        </w:rPr>
        <w:t xml:space="preserve"> </w:t>
      </w:r>
      <w:r w:rsidR="009650FA">
        <w:rPr>
          <w:rFonts w:ascii="Times New Roman" w:hAnsi="Times New Roman" w:cs="Times New Roman"/>
          <w:sz w:val="24"/>
          <w:szCs w:val="24"/>
          <w:lang w:val="en-US"/>
        </w:rPr>
        <w:t>I</w:t>
      </w:r>
      <w:r w:rsidR="009650FA" w:rsidRPr="00DB3115">
        <w:rPr>
          <w:rFonts w:ascii="Times New Roman" w:hAnsi="Times New Roman" w:cs="Times New Roman"/>
          <w:sz w:val="24"/>
          <w:szCs w:val="24"/>
          <w:lang w:val="en-US"/>
        </w:rPr>
        <w:t xml:space="preserve">t </w:t>
      </w:r>
      <w:r w:rsidRPr="00DB3115">
        <w:rPr>
          <w:rFonts w:ascii="Times New Roman" w:hAnsi="Times New Roman" w:cs="Times New Roman"/>
          <w:sz w:val="24"/>
          <w:szCs w:val="24"/>
          <w:lang w:val="en-US"/>
        </w:rPr>
        <w:t>is a nutritional support method with beneficial effects that improves the patient</w:t>
      </w:r>
      <w:r w:rsidR="00C31660">
        <w:rPr>
          <w:rFonts w:ascii="Times New Roman" w:hAnsi="Times New Roman" w:cs="Times New Roman"/>
          <w:sz w:val="24"/>
          <w:szCs w:val="24"/>
          <w:lang w:val="en-US"/>
        </w:rPr>
        <w:t>’</w:t>
      </w:r>
      <w:r w:rsidRPr="00DB3115">
        <w:rPr>
          <w:rFonts w:ascii="Times New Roman" w:hAnsi="Times New Roman" w:cs="Times New Roman"/>
          <w:sz w:val="24"/>
          <w:szCs w:val="24"/>
          <w:lang w:val="en-US"/>
        </w:rPr>
        <w:t xml:space="preserve">s outcome. Traumatic brain injury (TBI) is the third cause of death in México related to accidents and violence; </w:t>
      </w:r>
      <w:r w:rsidR="0010277A" w:rsidRPr="00DB3115">
        <w:rPr>
          <w:rFonts w:ascii="Times New Roman" w:hAnsi="Times New Roman" w:cs="Times New Roman"/>
          <w:sz w:val="24"/>
          <w:szCs w:val="24"/>
          <w:lang w:val="en-US"/>
        </w:rPr>
        <w:t>therefore,</w:t>
      </w:r>
      <w:r w:rsidRPr="00DB3115">
        <w:rPr>
          <w:rFonts w:ascii="Times New Roman" w:hAnsi="Times New Roman" w:cs="Times New Roman"/>
          <w:sz w:val="24"/>
          <w:szCs w:val="24"/>
          <w:lang w:val="en-US"/>
        </w:rPr>
        <w:t xml:space="preserve"> it is considered a serious public health problem.</w:t>
      </w:r>
    </w:p>
    <w:p w14:paraId="47648CA0" w14:textId="54E0E029" w:rsidR="006D63A5" w:rsidRPr="00DB3115" w:rsidRDefault="00F8706C" w:rsidP="003F3FAF">
      <w:pPr>
        <w:autoSpaceDE w:val="0"/>
        <w:autoSpaceDN w:val="0"/>
        <w:adjustRightInd w:val="0"/>
        <w:spacing w:after="0" w:line="360" w:lineRule="auto"/>
        <w:ind w:right="49" w:firstLine="708"/>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The objective of this study </w:t>
      </w:r>
      <w:r w:rsidR="00412BCA">
        <w:rPr>
          <w:rFonts w:ascii="Times New Roman" w:hAnsi="Times New Roman" w:cs="Times New Roman"/>
          <w:bCs/>
          <w:sz w:val="24"/>
          <w:szCs w:val="24"/>
          <w:lang w:val="en-US"/>
        </w:rPr>
        <w:t>was</w:t>
      </w:r>
      <w:r>
        <w:rPr>
          <w:rFonts w:ascii="Times New Roman" w:hAnsi="Times New Roman" w:cs="Times New Roman"/>
          <w:bCs/>
          <w:sz w:val="24"/>
          <w:szCs w:val="24"/>
          <w:lang w:val="en-US"/>
        </w:rPr>
        <w:t xml:space="preserve"> t</w:t>
      </w:r>
      <w:r w:rsidR="006D63A5" w:rsidRPr="003F3FAF">
        <w:rPr>
          <w:rFonts w:ascii="Times New Roman" w:hAnsi="Times New Roman" w:cs="Times New Roman"/>
          <w:bCs/>
          <w:sz w:val="24"/>
          <w:szCs w:val="24"/>
          <w:lang w:val="en-US"/>
        </w:rPr>
        <w:t>o</w:t>
      </w:r>
      <w:r w:rsidR="006D63A5" w:rsidRPr="00DB3115">
        <w:rPr>
          <w:rFonts w:ascii="Times New Roman" w:hAnsi="Times New Roman" w:cs="Times New Roman"/>
          <w:sz w:val="24"/>
          <w:szCs w:val="24"/>
          <w:lang w:val="en-US"/>
        </w:rPr>
        <w:t xml:space="preserve"> determine if early enteral nutrition with </w:t>
      </w:r>
      <w:proofErr w:type="spellStart"/>
      <w:r w:rsidR="006D63A5" w:rsidRPr="00DB3115">
        <w:rPr>
          <w:rFonts w:ascii="Times New Roman" w:hAnsi="Times New Roman" w:cs="Times New Roman"/>
          <w:sz w:val="24"/>
          <w:szCs w:val="24"/>
          <w:lang w:val="en-US"/>
        </w:rPr>
        <w:t>immunonutrients</w:t>
      </w:r>
      <w:proofErr w:type="spellEnd"/>
      <w:r w:rsidR="006D63A5" w:rsidRPr="00DB3115">
        <w:rPr>
          <w:rFonts w:ascii="Times New Roman" w:hAnsi="Times New Roman" w:cs="Times New Roman"/>
          <w:sz w:val="24"/>
          <w:szCs w:val="24"/>
          <w:lang w:val="en-US"/>
        </w:rPr>
        <w:t xml:space="preserve"> (EENI) supplied to TBI patients diminishes morbidity and m</w:t>
      </w:r>
      <w:r w:rsidR="006249F1" w:rsidRPr="00DB3115">
        <w:rPr>
          <w:rFonts w:ascii="Times New Roman" w:hAnsi="Times New Roman" w:cs="Times New Roman"/>
          <w:sz w:val="24"/>
          <w:szCs w:val="24"/>
          <w:lang w:val="en-US"/>
        </w:rPr>
        <w:t xml:space="preserve">ortality in Mexicali´s </w:t>
      </w:r>
      <w:r w:rsidR="006D63A5" w:rsidRPr="00DB3115">
        <w:rPr>
          <w:rFonts w:ascii="Times New Roman" w:hAnsi="Times New Roman" w:cs="Times New Roman"/>
          <w:sz w:val="24"/>
          <w:szCs w:val="24"/>
          <w:lang w:val="en-US"/>
        </w:rPr>
        <w:t>General Hospital ICU.</w:t>
      </w:r>
    </w:p>
    <w:p w14:paraId="7773C398" w14:textId="18E6A2A8" w:rsidR="006D63A5" w:rsidRPr="00DB3115" w:rsidRDefault="00412BCA" w:rsidP="003F3FAF">
      <w:pPr>
        <w:autoSpaceDE w:val="0"/>
        <w:autoSpaceDN w:val="0"/>
        <w:adjustRightInd w:val="0"/>
        <w:spacing w:after="0" w:line="360" w:lineRule="auto"/>
        <w:ind w:right="49" w:firstLine="708"/>
        <w:jc w:val="both"/>
        <w:rPr>
          <w:rFonts w:ascii="Times New Roman" w:hAnsi="Times New Roman" w:cs="Times New Roman"/>
          <w:sz w:val="24"/>
          <w:szCs w:val="24"/>
          <w:lang w:val="en-US"/>
        </w:rPr>
      </w:pPr>
      <w:r>
        <w:rPr>
          <w:rFonts w:ascii="Times New Roman" w:hAnsi="Times New Roman" w:cs="Times New Roman"/>
          <w:bCs/>
          <w:sz w:val="24"/>
          <w:szCs w:val="24"/>
          <w:lang w:val="en-US"/>
        </w:rPr>
        <w:t>It was a r</w:t>
      </w:r>
      <w:r w:rsidR="006D63A5" w:rsidRPr="00DB3115">
        <w:rPr>
          <w:rFonts w:ascii="Times New Roman" w:hAnsi="Times New Roman" w:cs="Times New Roman"/>
          <w:sz w:val="24"/>
          <w:szCs w:val="24"/>
          <w:lang w:val="en-US"/>
        </w:rPr>
        <w:t>andomized clinical study. Patients that were included were those admitted to the ICU during the time period from August 1</w:t>
      </w:r>
      <w:r w:rsidR="006D63A5" w:rsidRPr="00DB3115">
        <w:rPr>
          <w:rFonts w:ascii="Times New Roman" w:hAnsi="Times New Roman" w:cs="Times New Roman"/>
          <w:sz w:val="24"/>
          <w:szCs w:val="24"/>
          <w:vertAlign w:val="superscript"/>
          <w:lang w:val="en-US"/>
        </w:rPr>
        <w:t>st</w:t>
      </w:r>
      <w:r w:rsidR="006D63A5" w:rsidRPr="00DB3115">
        <w:rPr>
          <w:rFonts w:ascii="Times New Roman" w:hAnsi="Times New Roman" w:cs="Times New Roman"/>
          <w:sz w:val="24"/>
          <w:szCs w:val="24"/>
          <w:lang w:val="en-US"/>
        </w:rPr>
        <w:t xml:space="preserve"> of 201</w:t>
      </w:r>
      <w:r w:rsidR="00F344CE" w:rsidRPr="00DB3115">
        <w:rPr>
          <w:rFonts w:ascii="Times New Roman" w:hAnsi="Times New Roman" w:cs="Times New Roman"/>
          <w:sz w:val="24"/>
          <w:szCs w:val="24"/>
          <w:lang w:val="en-US"/>
        </w:rPr>
        <w:t>6</w:t>
      </w:r>
      <w:r w:rsidR="006D63A5" w:rsidRPr="00DB3115">
        <w:rPr>
          <w:rFonts w:ascii="Times New Roman" w:hAnsi="Times New Roman" w:cs="Times New Roman"/>
          <w:sz w:val="24"/>
          <w:szCs w:val="24"/>
          <w:lang w:val="en-US"/>
        </w:rPr>
        <w:t xml:space="preserve"> to June 30</w:t>
      </w:r>
      <w:r w:rsidR="006D63A5" w:rsidRPr="00DB3115">
        <w:rPr>
          <w:rFonts w:ascii="Times New Roman" w:hAnsi="Times New Roman" w:cs="Times New Roman"/>
          <w:sz w:val="24"/>
          <w:szCs w:val="24"/>
          <w:vertAlign w:val="superscript"/>
          <w:lang w:val="en-US"/>
        </w:rPr>
        <w:t>th</w:t>
      </w:r>
      <w:r w:rsidR="006D63A5" w:rsidRPr="00DB3115">
        <w:rPr>
          <w:rFonts w:ascii="Times New Roman" w:hAnsi="Times New Roman" w:cs="Times New Roman"/>
          <w:sz w:val="24"/>
          <w:szCs w:val="24"/>
          <w:lang w:val="en-US"/>
        </w:rPr>
        <w:t xml:space="preserve"> of 201</w:t>
      </w:r>
      <w:r w:rsidR="00F344CE" w:rsidRPr="00DB3115">
        <w:rPr>
          <w:rFonts w:ascii="Times New Roman" w:hAnsi="Times New Roman" w:cs="Times New Roman"/>
          <w:sz w:val="24"/>
          <w:szCs w:val="24"/>
          <w:lang w:val="en-US"/>
        </w:rPr>
        <w:t>7</w:t>
      </w:r>
      <w:r w:rsidR="006D63A5" w:rsidRPr="00DB3115">
        <w:rPr>
          <w:rFonts w:ascii="Times New Roman" w:hAnsi="Times New Roman" w:cs="Times New Roman"/>
          <w:sz w:val="24"/>
          <w:szCs w:val="24"/>
          <w:lang w:val="en-US"/>
        </w:rPr>
        <w:t xml:space="preserve"> that fulfilled the inclusion criteria. Two groups were formed</w:t>
      </w:r>
      <w:r w:rsidR="006030A8">
        <w:rPr>
          <w:rFonts w:ascii="Times New Roman" w:hAnsi="Times New Roman" w:cs="Times New Roman"/>
          <w:sz w:val="24"/>
          <w:szCs w:val="24"/>
          <w:lang w:val="en-US"/>
        </w:rPr>
        <w:t>:</w:t>
      </w:r>
      <w:r w:rsidR="006030A8" w:rsidRPr="00DB3115">
        <w:rPr>
          <w:rFonts w:ascii="Times New Roman" w:hAnsi="Times New Roman" w:cs="Times New Roman"/>
          <w:sz w:val="24"/>
          <w:szCs w:val="24"/>
          <w:lang w:val="en-US"/>
        </w:rPr>
        <w:t xml:space="preserve"> </w:t>
      </w:r>
      <w:r w:rsidR="006D63A5" w:rsidRPr="00DB3115">
        <w:rPr>
          <w:rFonts w:ascii="Times New Roman" w:hAnsi="Times New Roman" w:cs="Times New Roman"/>
          <w:sz w:val="24"/>
          <w:szCs w:val="24"/>
          <w:lang w:val="en-US"/>
        </w:rPr>
        <w:t>one was the control group submitted to early enteral nutrition with blended diet and the other group of study which was submitted to EENI.</w:t>
      </w:r>
    </w:p>
    <w:p w14:paraId="2F238685" w14:textId="2E083777" w:rsidR="006D63A5" w:rsidRPr="00DB3115" w:rsidRDefault="006D63A5" w:rsidP="003F3FAF">
      <w:pPr>
        <w:autoSpaceDE w:val="0"/>
        <w:autoSpaceDN w:val="0"/>
        <w:adjustRightInd w:val="0"/>
        <w:spacing w:after="0" w:line="360" w:lineRule="auto"/>
        <w:ind w:right="49" w:firstLine="708"/>
        <w:jc w:val="both"/>
        <w:rPr>
          <w:rFonts w:ascii="Times New Roman" w:hAnsi="Times New Roman" w:cs="Times New Roman"/>
          <w:sz w:val="24"/>
          <w:szCs w:val="24"/>
          <w:lang w:val="en-US"/>
        </w:rPr>
      </w:pPr>
      <w:r w:rsidRPr="00DB3115">
        <w:rPr>
          <w:rFonts w:ascii="Times New Roman" w:hAnsi="Times New Roman" w:cs="Times New Roman"/>
          <w:sz w:val="24"/>
          <w:szCs w:val="24"/>
          <w:lang w:val="en-US"/>
        </w:rPr>
        <w:t>The study included 16</w:t>
      </w:r>
      <w:r w:rsidR="006030A8">
        <w:rPr>
          <w:rFonts w:ascii="Times New Roman" w:hAnsi="Times New Roman" w:cs="Times New Roman"/>
          <w:sz w:val="24"/>
          <w:szCs w:val="24"/>
          <w:lang w:val="en-US"/>
        </w:rPr>
        <w:t xml:space="preserve"> </w:t>
      </w:r>
      <w:r w:rsidR="0016136E" w:rsidRPr="00DB3115">
        <w:rPr>
          <w:rFonts w:ascii="Times New Roman" w:hAnsi="Times New Roman" w:cs="Times New Roman"/>
          <w:sz w:val="24"/>
          <w:szCs w:val="24"/>
          <w:lang w:val="en-US"/>
        </w:rPr>
        <w:t>males</w:t>
      </w:r>
      <w:r w:rsidRPr="00DB3115">
        <w:rPr>
          <w:rFonts w:ascii="Times New Roman" w:hAnsi="Times New Roman" w:cs="Times New Roman"/>
          <w:sz w:val="24"/>
          <w:szCs w:val="24"/>
          <w:lang w:val="en-US"/>
        </w:rPr>
        <w:t xml:space="preserve"> (72.7%) patients and 6 </w:t>
      </w:r>
      <w:r w:rsidR="0016136E" w:rsidRPr="00DB3115">
        <w:rPr>
          <w:rFonts w:ascii="Times New Roman" w:hAnsi="Times New Roman" w:cs="Times New Roman"/>
          <w:sz w:val="24"/>
          <w:szCs w:val="24"/>
          <w:lang w:val="en-US"/>
        </w:rPr>
        <w:t>females</w:t>
      </w:r>
      <w:r w:rsidR="006030A8" w:rsidRPr="00DB3115">
        <w:rPr>
          <w:rFonts w:ascii="Times New Roman" w:hAnsi="Times New Roman" w:cs="Times New Roman"/>
          <w:sz w:val="24"/>
          <w:szCs w:val="24"/>
          <w:lang w:val="en-US"/>
        </w:rPr>
        <w:t xml:space="preserve"> </w:t>
      </w:r>
      <w:r w:rsidRPr="00DB3115">
        <w:rPr>
          <w:rFonts w:ascii="Times New Roman" w:hAnsi="Times New Roman" w:cs="Times New Roman"/>
          <w:sz w:val="24"/>
          <w:szCs w:val="24"/>
          <w:lang w:val="en-US"/>
        </w:rPr>
        <w:t>(27.3%), with an average age of 34.7 years. The main causes of TBI were run</w:t>
      </w:r>
      <w:r w:rsidR="0075020E">
        <w:rPr>
          <w:rFonts w:ascii="Times New Roman" w:hAnsi="Times New Roman" w:cs="Times New Roman"/>
          <w:sz w:val="24"/>
          <w:szCs w:val="24"/>
          <w:lang w:val="en-US"/>
        </w:rPr>
        <w:t xml:space="preserve"> </w:t>
      </w:r>
      <w:r w:rsidRPr="00DB3115">
        <w:rPr>
          <w:rFonts w:ascii="Times New Roman" w:hAnsi="Times New Roman" w:cs="Times New Roman"/>
          <w:sz w:val="24"/>
          <w:szCs w:val="24"/>
          <w:lang w:val="en-US"/>
        </w:rPr>
        <w:t>over and motor vehicle accidents in 54.6%. The group with EENI</w:t>
      </w:r>
      <w:r w:rsidR="00B34BE6">
        <w:rPr>
          <w:rFonts w:ascii="Times New Roman" w:hAnsi="Times New Roman" w:cs="Times New Roman"/>
          <w:sz w:val="24"/>
          <w:szCs w:val="24"/>
          <w:lang w:val="en-US"/>
        </w:rPr>
        <w:t>,</w:t>
      </w:r>
      <w:r w:rsidRPr="00DB3115">
        <w:rPr>
          <w:rFonts w:ascii="Times New Roman" w:hAnsi="Times New Roman" w:cs="Times New Roman"/>
          <w:sz w:val="24"/>
          <w:szCs w:val="24"/>
          <w:lang w:val="en-US"/>
        </w:rPr>
        <w:t xml:space="preserve"> when compared to the control group</w:t>
      </w:r>
      <w:r w:rsidR="00B34BE6">
        <w:rPr>
          <w:rFonts w:ascii="Times New Roman" w:hAnsi="Times New Roman" w:cs="Times New Roman"/>
          <w:sz w:val="24"/>
          <w:szCs w:val="24"/>
          <w:lang w:val="en-US"/>
        </w:rPr>
        <w:t>,</w:t>
      </w:r>
      <w:r w:rsidRPr="00DB3115">
        <w:rPr>
          <w:rFonts w:ascii="Times New Roman" w:hAnsi="Times New Roman" w:cs="Times New Roman"/>
          <w:sz w:val="24"/>
          <w:szCs w:val="24"/>
          <w:lang w:val="en-US"/>
        </w:rPr>
        <w:t xml:space="preserve"> showed an increase in weight (Student T 23.737, p=.001), total proteins (Student T 13.40, p=.001), white blood cells (Student T of 2.05, p=.002</w:t>
      </w:r>
      <w:r w:rsidR="00B27DC1" w:rsidRPr="00DB3115">
        <w:rPr>
          <w:rFonts w:ascii="Times New Roman" w:hAnsi="Times New Roman" w:cs="Times New Roman"/>
          <w:sz w:val="24"/>
          <w:szCs w:val="24"/>
          <w:lang w:val="en-US"/>
        </w:rPr>
        <w:t>)</w:t>
      </w:r>
      <w:r w:rsidR="00B27DC1">
        <w:rPr>
          <w:rFonts w:ascii="Times New Roman" w:hAnsi="Times New Roman" w:cs="Times New Roman"/>
          <w:sz w:val="24"/>
          <w:szCs w:val="24"/>
          <w:lang w:val="en-US"/>
        </w:rPr>
        <w:t xml:space="preserve"> and</w:t>
      </w:r>
      <w:r w:rsidR="00B27DC1" w:rsidRPr="00DB3115">
        <w:rPr>
          <w:rFonts w:ascii="Times New Roman" w:hAnsi="Times New Roman" w:cs="Times New Roman"/>
          <w:sz w:val="24"/>
          <w:szCs w:val="24"/>
          <w:lang w:val="en-US"/>
        </w:rPr>
        <w:t xml:space="preserve"> </w:t>
      </w:r>
      <w:r w:rsidRPr="00DB3115">
        <w:rPr>
          <w:rFonts w:ascii="Times New Roman" w:hAnsi="Times New Roman" w:cs="Times New Roman"/>
          <w:sz w:val="24"/>
          <w:szCs w:val="24"/>
          <w:lang w:val="en-US"/>
        </w:rPr>
        <w:t xml:space="preserve">lymphocytes (Student T of 7.09, p=.001) at their </w:t>
      </w:r>
      <w:r w:rsidRPr="00DB3115">
        <w:rPr>
          <w:rFonts w:ascii="Times New Roman" w:hAnsi="Times New Roman" w:cs="Times New Roman"/>
          <w:sz w:val="24"/>
          <w:szCs w:val="24"/>
          <w:lang w:val="en-US"/>
        </w:rPr>
        <w:lastRenderedPageBreak/>
        <w:t xml:space="preserve">discharge from the ICU, </w:t>
      </w:r>
      <w:r w:rsidR="002C31BE">
        <w:rPr>
          <w:rFonts w:ascii="Times New Roman" w:hAnsi="Times New Roman" w:cs="Times New Roman"/>
          <w:sz w:val="24"/>
          <w:szCs w:val="24"/>
          <w:lang w:val="en-US"/>
        </w:rPr>
        <w:t xml:space="preserve">with decrease in </w:t>
      </w:r>
      <w:r w:rsidRPr="00DB3115">
        <w:rPr>
          <w:rFonts w:ascii="Times New Roman" w:hAnsi="Times New Roman" w:cs="Times New Roman"/>
          <w:sz w:val="24"/>
          <w:szCs w:val="24"/>
          <w:lang w:val="en-US"/>
        </w:rPr>
        <w:t>pneumonia (t de Student 13.78, p=0.001), urinary tract infection (t de Student 8.07, p=0.001) and the length of stay at the ICU (X</w:t>
      </w:r>
      <w:r w:rsidRPr="00DB3115">
        <w:rPr>
          <w:rFonts w:ascii="Times New Roman" w:hAnsi="Times New Roman" w:cs="Times New Roman"/>
          <w:sz w:val="24"/>
          <w:szCs w:val="24"/>
          <w:vertAlign w:val="superscript"/>
          <w:lang w:val="en-US"/>
        </w:rPr>
        <w:t xml:space="preserve">2 </w:t>
      </w:r>
      <w:r w:rsidRPr="00DB3115">
        <w:rPr>
          <w:rFonts w:ascii="Times New Roman" w:hAnsi="Times New Roman" w:cs="Times New Roman"/>
          <w:sz w:val="24"/>
          <w:szCs w:val="24"/>
          <w:lang w:val="en-US"/>
        </w:rPr>
        <w:t>Spearman -.432, p=0.05), the days of mechanical ventilation (X</w:t>
      </w:r>
      <w:r w:rsidRPr="00DB3115">
        <w:rPr>
          <w:rFonts w:ascii="Times New Roman" w:hAnsi="Times New Roman" w:cs="Times New Roman"/>
          <w:sz w:val="24"/>
          <w:szCs w:val="24"/>
          <w:vertAlign w:val="superscript"/>
          <w:lang w:val="en-US"/>
        </w:rPr>
        <w:t xml:space="preserve">2 </w:t>
      </w:r>
      <w:r w:rsidRPr="00DB3115">
        <w:rPr>
          <w:rFonts w:ascii="Times New Roman" w:hAnsi="Times New Roman" w:cs="Times New Roman"/>
          <w:sz w:val="24"/>
          <w:szCs w:val="24"/>
          <w:lang w:val="en-US"/>
        </w:rPr>
        <w:t>Spearman -.432, p=0.05) and enteral nutrition (X</w:t>
      </w:r>
      <w:r w:rsidRPr="00DB3115">
        <w:rPr>
          <w:rFonts w:ascii="Times New Roman" w:hAnsi="Times New Roman" w:cs="Times New Roman"/>
          <w:sz w:val="24"/>
          <w:szCs w:val="24"/>
          <w:vertAlign w:val="superscript"/>
          <w:lang w:val="en-US"/>
        </w:rPr>
        <w:t xml:space="preserve">2 </w:t>
      </w:r>
      <w:r w:rsidRPr="00DB3115">
        <w:rPr>
          <w:rFonts w:ascii="Times New Roman" w:hAnsi="Times New Roman" w:cs="Times New Roman"/>
          <w:sz w:val="24"/>
          <w:szCs w:val="24"/>
          <w:lang w:val="en-US"/>
        </w:rPr>
        <w:t>Spearman -.425, p=0.05). The mortality was less in the EENI group without any significant difference reported.</w:t>
      </w:r>
    </w:p>
    <w:p w14:paraId="00EC702A" w14:textId="41C46022" w:rsidR="006D63A5" w:rsidRPr="00DB3115" w:rsidRDefault="006D63A5" w:rsidP="003F3FAF">
      <w:pPr>
        <w:autoSpaceDE w:val="0"/>
        <w:autoSpaceDN w:val="0"/>
        <w:adjustRightInd w:val="0"/>
        <w:spacing w:after="0" w:line="360" w:lineRule="auto"/>
        <w:ind w:right="49" w:firstLine="708"/>
        <w:jc w:val="both"/>
        <w:rPr>
          <w:rFonts w:ascii="Times New Roman" w:hAnsi="Times New Roman" w:cs="Times New Roman"/>
          <w:sz w:val="24"/>
          <w:szCs w:val="24"/>
          <w:lang w:val="en-US"/>
        </w:rPr>
      </w:pPr>
      <w:r w:rsidRPr="00DB3115">
        <w:rPr>
          <w:rFonts w:ascii="Times New Roman" w:hAnsi="Times New Roman" w:cs="Times New Roman"/>
          <w:sz w:val="24"/>
          <w:szCs w:val="24"/>
          <w:lang w:val="en-US"/>
        </w:rPr>
        <w:t>EENI can have a positive impact, decreasing the incidence of infectious complications and length of stay in the ICU, therefore improving patient´s health in less time and also reducing hospitalization costs.</w:t>
      </w:r>
    </w:p>
    <w:p w14:paraId="0997B88E" w14:textId="456D4C85" w:rsidR="006D63A5" w:rsidRDefault="006D63A5" w:rsidP="003F3FAF">
      <w:pPr>
        <w:autoSpaceDE w:val="0"/>
        <w:autoSpaceDN w:val="0"/>
        <w:adjustRightInd w:val="0"/>
        <w:spacing w:after="0" w:line="360" w:lineRule="auto"/>
        <w:ind w:right="49"/>
        <w:jc w:val="both"/>
        <w:rPr>
          <w:rFonts w:ascii="Times New Roman" w:hAnsi="Times New Roman" w:cs="Times New Roman"/>
          <w:sz w:val="24"/>
          <w:szCs w:val="24"/>
          <w:lang w:val="en-US"/>
        </w:rPr>
      </w:pPr>
      <w:r w:rsidRPr="00865610">
        <w:rPr>
          <w:rFonts w:ascii="Calibri" w:hAnsi="Calibri" w:cs="Calibri"/>
          <w:b/>
          <w:sz w:val="28"/>
          <w:szCs w:val="24"/>
          <w:lang w:val="en-US"/>
        </w:rPr>
        <w:t>Keywords:</w:t>
      </w:r>
      <w:r w:rsidRPr="00DB3115">
        <w:rPr>
          <w:rFonts w:ascii="Times New Roman" w:hAnsi="Times New Roman" w:cs="Times New Roman"/>
          <w:sz w:val="24"/>
          <w:szCs w:val="24"/>
          <w:lang w:val="en-US"/>
        </w:rPr>
        <w:t xml:space="preserve"> </w:t>
      </w:r>
      <w:r w:rsidR="00505A5A" w:rsidRPr="00DB3115">
        <w:rPr>
          <w:rFonts w:ascii="Times New Roman" w:hAnsi="Times New Roman" w:cs="Times New Roman"/>
          <w:sz w:val="24"/>
          <w:szCs w:val="24"/>
          <w:lang w:val="en-US"/>
        </w:rPr>
        <w:t xml:space="preserve">early enteral nutrition, enteral nutrition with </w:t>
      </w:r>
      <w:proofErr w:type="spellStart"/>
      <w:r w:rsidR="00505A5A" w:rsidRPr="00DB3115">
        <w:rPr>
          <w:rFonts w:ascii="Times New Roman" w:hAnsi="Times New Roman" w:cs="Times New Roman"/>
          <w:sz w:val="24"/>
          <w:szCs w:val="24"/>
          <w:lang w:val="en-US"/>
        </w:rPr>
        <w:t>immunonutrients</w:t>
      </w:r>
      <w:proofErr w:type="spellEnd"/>
      <w:r w:rsidR="00505A5A" w:rsidRPr="00DB3115">
        <w:rPr>
          <w:rFonts w:ascii="Times New Roman" w:hAnsi="Times New Roman" w:cs="Times New Roman"/>
          <w:sz w:val="24"/>
          <w:szCs w:val="24"/>
          <w:lang w:val="en-US"/>
        </w:rPr>
        <w:t>, traumatic brain injury, intensive care unit.</w:t>
      </w:r>
    </w:p>
    <w:p w14:paraId="222D3DB2" w14:textId="77777777" w:rsidR="00903856" w:rsidRDefault="00903856" w:rsidP="003F3FAF">
      <w:pPr>
        <w:autoSpaceDE w:val="0"/>
        <w:autoSpaceDN w:val="0"/>
        <w:adjustRightInd w:val="0"/>
        <w:spacing w:after="0" w:line="360" w:lineRule="auto"/>
        <w:ind w:right="49"/>
        <w:jc w:val="both"/>
        <w:rPr>
          <w:rFonts w:ascii="Times New Roman" w:hAnsi="Times New Roman" w:cs="Times New Roman"/>
          <w:sz w:val="24"/>
          <w:szCs w:val="24"/>
          <w:lang w:val="en-US"/>
        </w:rPr>
      </w:pPr>
    </w:p>
    <w:p w14:paraId="3CA49AF9" w14:textId="11DA1CF9" w:rsidR="00903856" w:rsidRPr="00903856" w:rsidRDefault="00903856" w:rsidP="003F3FAF">
      <w:pPr>
        <w:autoSpaceDE w:val="0"/>
        <w:autoSpaceDN w:val="0"/>
        <w:adjustRightInd w:val="0"/>
        <w:spacing w:after="0" w:line="360" w:lineRule="auto"/>
        <w:ind w:right="49"/>
        <w:jc w:val="both"/>
        <w:rPr>
          <w:rFonts w:ascii="Calibri" w:hAnsi="Calibri" w:cs="Calibri"/>
          <w:b/>
          <w:sz w:val="28"/>
          <w:szCs w:val="24"/>
          <w:lang w:val="es-ES"/>
        </w:rPr>
      </w:pPr>
      <w:r w:rsidRPr="00903856">
        <w:rPr>
          <w:rFonts w:ascii="Calibri" w:hAnsi="Calibri" w:cs="Calibri"/>
          <w:b/>
          <w:sz w:val="28"/>
          <w:szCs w:val="24"/>
          <w:lang w:val="es-ES"/>
        </w:rPr>
        <w:t>Resumo</w:t>
      </w:r>
    </w:p>
    <w:p w14:paraId="53420372" w14:textId="77777777" w:rsidR="00903856" w:rsidRPr="00865610" w:rsidRDefault="00903856" w:rsidP="00C2461C">
      <w:pPr>
        <w:autoSpaceDE w:val="0"/>
        <w:autoSpaceDN w:val="0"/>
        <w:adjustRightInd w:val="0"/>
        <w:spacing w:after="0" w:line="360" w:lineRule="auto"/>
        <w:ind w:right="49"/>
        <w:jc w:val="both"/>
        <w:rPr>
          <w:rFonts w:ascii="Times New Roman" w:hAnsi="Times New Roman" w:cs="Times New Roman"/>
          <w:sz w:val="24"/>
          <w:szCs w:val="24"/>
        </w:rPr>
      </w:pPr>
      <w:proofErr w:type="spellStart"/>
      <w:r w:rsidRPr="00865610">
        <w:rPr>
          <w:rFonts w:ascii="Times New Roman" w:hAnsi="Times New Roman" w:cs="Times New Roman"/>
          <w:sz w:val="24"/>
          <w:szCs w:val="24"/>
        </w:rPr>
        <w:t>Lesão</w:t>
      </w:r>
      <w:proofErr w:type="spellEnd"/>
      <w:r w:rsidRPr="00865610">
        <w:rPr>
          <w:rFonts w:ascii="Times New Roman" w:hAnsi="Times New Roman" w:cs="Times New Roman"/>
          <w:sz w:val="24"/>
          <w:szCs w:val="24"/>
        </w:rPr>
        <w:t xml:space="preserve"> cerebral traumática (TCE) é a </w:t>
      </w:r>
      <w:proofErr w:type="spellStart"/>
      <w:r w:rsidRPr="00865610">
        <w:rPr>
          <w:rFonts w:ascii="Times New Roman" w:hAnsi="Times New Roman" w:cs="Times New Roman"/>
          <w:sz w:val="24"/>
          <w:szCs w:val="24"/>
        </w:rPr>
        <w:t>terceira</w:t>
      </w:r>
      <w:proofErr w:type="spellEnd"/>
      <w:r w:rsidRPr="00865610">
        <w:rPr>
          <w:rFonts w:ascii="Times New Roman" w:hAnsi="Times New Roman" w:cs="Times New Roman"/>
          <w:sz w:val="24"/>
          <w:szCs w:val="24"/>
        </w:rPr>
        <w:t xml:space="preserve"> causa de </w:t>
      </w:r>
      <w:proofErr w:type="spellStart"/>
      <w:r w:rsidRPr="00865610">
        <w:rPr>
          <w:rFonts w:ascii="Times New Roman" w:hAnsi="Times New Roman" w:cs="Times New Roman"/>
          <w:sz w:val="24"/>
          <w:szCs w:val="24"/>
        </w:rPr>
        <w:t>morte</w:t>
      </w:r>
      <w:proofErr w:type="spellEnd"/>
      <w:r w:rsidRPr="00865610">
        <w:rPr>
          <w:rFonts w:ascii="Times New Roman" w:hAnsi="Times New Roman" w:cs="Times New Roman"/>
          <w:sz w:val="24"/>
          <w:szCs w:val="24"/>
        </w:rPr>
        <w:t xml:space="preserve"> no México dentro da </w:t>
      </w:r>
      <w:proofErr w:type="spellStart"/>
      <w:r w:rsidRPr="00865610">
        <w:rPr>
          <w:rFonts w:ascii="Times New Roman" w:hAnsi="Times New Roman" w:cs="Times New Roman"/>
          <w:sz w:val="24"/>
          <w:szCs w:val="24"/>
        </w:rPr>
        <w:t>categoria</w:t>
      </w:r>
      <w:proofErr w:type="spellEnd"/>
      <w:r w:rsidRPr="00865610">
        <w:rPr>
          <w:rFonts w:ascii="Times New Roman" w:hAnsi="Times New Roman" w:cs="Times New Roman"/>
          <w:sz w:val="24"/>
          <w:szCs w:val="24"/>
        </w:rPr>
        <w:t xml:space="preserve"> de </w:t>
      </w:r>
      <w:proofErr w:type="spellStart"/>
      <w:r w:rsidRPr="00865610">
        <w:rPr>
          <w:rFonts w:ascii="Times New Roman" w:hAnsi="Times New Roman" w:cs="Times New Roman"/>
          <w:sz w:val="24"/>
          <w:szCs w:val="24"/>
        </w:rPr>
        <w:t>mortes</w:t>
      </w:r>
      <w:proofErr w:type="spellEnd"/>
      <w:r w:rsidRPr="00865610">
        <w:rPr>
          <w:rFonts w:ascii="Times New Roman" w:hAnsi="Times New Roman" w:cs="Times New Roman"/>
          <w:sz w:val="24"/>
          <w:szCs w:val="24"/>
        </w:rPr>
        <w:t xml:space="preserve"> e </w:t>
      </w:r>
      <w:proofErr w:type="spellStart"/>
      <w:r w:rsidRPr="00865610">
        <w:rPr>
          <w:rFonts w:ascii="Times New Roman" w:hAnsi="Times New Roman" w:cs="Times New Roman"/>
          <w:sz w:val="24"/>
          <w:szCs w:val="24"/>
        </w:rPr>
        <w:t>acidentes</w:t>
      </w:r>
      <w:proofErr w:type="spellEnd"/>
      <w:r w:rsidRPr="00865610">
        <w:rPr>
          <w:rFonts w:ascii="Times New Roman" w:hAnsi="Times New Roman" w:cs="Times New Roman"/>
          <w:sz w:val="24"/>
          <w:szCs w:val="24"/>
        </w:rPr>
        <w:t xml:space="preserve"> violentos, </w:t>
      </w:r>
      <w:proofErr w:type="spellStart"/>
      <w:r w:rsidRPr="00865610">
        <w:rPr>
          <w:rFonts w:ascii="Times New Roman" w:hAnsi="Times New Roman" w:cs="Times New Roman"/>
          <w:sz w:val="24"/>
          <w:szCs w:val="24"/>
        </w:rPr>
        <w:t>razão</w:t>
      </w:r>
      <w:proofErr w:type="spellEnd"/>
      <w:r w:rsidRPr="00865610">
        <w:rPr>
          <w:rFonts w:ascii="Times New Roman" w:hAnsi="Times New Roman" w:cs="Times New Roman"/>
          <w:sz w:val="24"/>
          <w:szCs w:val="24"/>
        </w:rPr>
        <w:t xml:space="preserve"> pela </w:t>
      </w:r>
      <w:proofErr w:type="spellStart"/>
      <w:r w:rsidRPr="00865610">
        <w:rPr>
          <w:rFonts w:ascii="Times New Roman" w:hAnsi="Times New Roman" w:cs="Times New Roman"/>
          <w:sz w:val="24"/>
          <w:szCs w:val="24"/>
        </w:rPr>
        <w:t>qual</w:t>
      </w:r>
      <w:proofErr w:type="spellEnd"/>
      <w:r w:rsidRPr="00865610">
        <w:rPr>
          <w:rFonts w:ascii="Times New Roman" w:hAnsi="Times New Roman" w:cs="Times New Roman"/>
          <w:sz w:val="24"/>
          <w:szCs w:val="24"/>
        </w:rPr>
        <w:t xml:space="preserve"> é considerado </w:t>
      </w:r>
      <w:proofErr w:type="spellStart"/>
      <w:r w:rsidRPr="00865610">
        <w:rPr>
          <w:rFonts w:ascii="Times New Roman" w:hAnsi="Times New Roman" w:cs="Times New Roman"/>
          <w:sz w:val="24"/>
          <w:szCs w:val="24"/>
        </w:rPr>
        <w:t>um</w:t>
      </w:r>
      <w:proofErr w:type="spellEnd"/>
      <w:r w:rsidRPr="00865610">
        <w:rPr>
          <w:rFonts w:ascii="Times New Roman" w:hAnsi="Times New Roman" w:cs="Times New Roman"/>
          <w:sz w:val="24"/>
          <w:szCs w:val="24"/>
        </w:rPr>
        <w:t xml:space="preserve"> grave problema de </w:t>
      </w:r>
      <w:proofErr w:type="spellStart"/>
      <w:r w:rsidRPr="00865610">
        <w:rPr>
          <w:rFonts w:ascii="Times New Roman" w:hAnsi="Times New Roman" w:cs="Times New Roman"/>
          <w:sz w:val="24"/>
          <w:szCs w:val="24"/>
        </w:rPr>
        <w:t>saúde</w:t>
      </w:r>
      <w:proofErr w:type="spellEnd"/>
      <w:r w:rsidRPr="00865610">
        <w:rPr>
          <w:rFonts w:ascii="Times New Roman" w:hAnsi="Times New Roman" w:cs="Times New Roman"/>
          <w:sz w:val="24"/>
          <w:szCs w:val="24"/>
        </w:rPr>
        <w:t xml:space="preserve"> pública. </w:t>
      </w:r>
      <w:proofErr w:type="spellStart"/>
      <w:r w:rsidRPr="00865610">
        <w:rPr>
          <w:rFonts w:ascii="Times New Roman" w:hAnsi="Times New Roman" w:cs="Times New Roman"/>
          <w:sz w:val="24"/>
          <w:szCs w:val="24"/>
        </w:rPr>
        <w:t>Um</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benefício</w:t>
      </w:r>
      <w:proofErr w:type="spellEnd"/>
      <w:r w:rsidRPr="00865610">
        <w:rPr>
          <w:rFonts w:ascii="Times New Roman" w:hAnsi="Times New Roman" w:cs="Times New Roman"/>
          <w:sz w:val="24"/>
          <w:szCs w:val="24"/>
        </w:rPr>
        <w:t xml:space="preserve"> da </w:t>
      </w:r>
      <w:proofErr w:type="spellStart"/>
      <w:r w:rsidRPr="00865610">
        <w:rPr>
          <w:rFonts w:ascii="Times New Roman" w:hAnsi="Times New Roman" w:cs="Times New Roman"/>
          <w:sz w:val="24"/>
          <w:szCs w:val="24"/>
        </w:rPr>
        <w:t>imunonutrição</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precoce</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foi</w:t>
      </w:r>
      <w:proofErr w:type="spellEnd"/>
      <w:r w:rsidRPr="00865610">
        <w:rPr>
          <w:rFonts w:ascii="Times New Roman" w:hAnsi="Times New Roman" w:cs="Times New Roman"/>
          <w:sz w:val="24"/>
          <w:szCs w:val="24"/>
        </w:rPr>
        <w:t xml:space="preserve"> observado </w:t>
      </w:r>
      <w:proofErr w:type="spellStart"/>
      <w:r w:rsidRPr="00865610">
        <w:rPr>
          <w:rFonts w:ascii="Times New Roman" w:hAnsi="Times New Roman" w:cs="Times New Roman"/>
          <w:sz w:val="24"/>
          <w:szCs w:val="24"/>
        </w:rPr>
        <w:t>em</w:t>
      </w:r>
      <w:proofErr w:type="spellEnd"/>
      <w:r w:rsidRPr="00865610">
        <w:rPr>
          <w:rFonts w:ascii="Times New Roman" w:hAnsi="Times New Roman" w:cs="Times New Roman"/>
          <w:sz w:val="24"/>
          <w:szCs w:val="24"/>
        </w:rPr>
        <w:t xml:space="preserve"> pacientes </w:t>
      </w:r>
      <w:proofErr w:type="spellStart"/>
      <w:r w:rsidRPr="00865610">
        <w:rPr>
          <w:rFonts w:ascii="Times New Roman" w:hAnsi="Times New Roman" w:cs="Times New Roman"/>
          <w:sz w:val="24"/>
          <w:szCs w:val="24"/>
        </w:rPr>
        <w:t>com</w:t>
      </w:r>
      <w:proofErr w:type="spellEnd"/>
      <w:r w:rsidRPr="00865610">
        <w:rPr>
          <w:rFonts w:ascii="Times New Roman" w:hAnsi="Times New Roman" w:cs="Times New Roman"/>
          <w:sz w:val="24"/>
          <w:szCs w:val="24"/>
        </w:rPr>
        <w:t xml:space="preserve"> TCE. O objetivo </w:t>
      </w:r>
      <w:proofErr w:type="spellStart"/>
      <w:r w:rsidRPr="00865610">
        <w:rPr>
          <w:rFonts w:ascii="Times New Roman" w:hAnsi="Times New Roman" w:cs="Times New Roman"/>
          <w:sz w:val="24"/>
          <w:szCs w:val="24"/>
        </w:rPr>
        <w:t>deste</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estudo</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foi</w:t>
      </w:r>
      <w:proofErr w:type="spellEnd"/>
      <w:r w:rsidRPr="00865610">
        <w:rPr>
          <w:rFonts w:ascii="Times New Roman" w:hAnsi="Times New Roman" w:cs="Times New Roman"/>
          <w:sz w:val="24"/>
          <w:szCs w:val="24"/>
        </w:rPr>
        <w:t xml:space="preserve"> determinar o impacto da </w:t>
      </w:r>
      <w:proofErr w:type="spellStart"/>
      <w:r w:rsidRPr="00865610">
        <w:rPr>
          <w:rFonts w:ascii="Times New Roman" w:hAnsi="Times New Roman" w:cs="Times New Roman"/>
          <w:sz w:val="24"/>
          <w:szCs w:val="24"/>
        </w:rPr>
        <w:t>imunonutrientes</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primeiros</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Nutrição</w:t>
      </w:r>
      <w:proofErr w:type="spellEnd"/>
      <w:r w:rsidRPr="00865610">
        <w:rPr>
          <w:rFonts w:ascii="Times New Roman" w:hAnsi="Times New Roman" w:cs="Times New Roman"/>
          <w:sz w:val="24"/>
          <w:szCs w:val="24"/>
        </w:rPr>
        <w:t xml:space="preserve"> Enteral (NETI) sobre a </w:t>
      </w:r>
      <w:proofErr w:type="spellStart"/>
      <w:r w:rsidRPr="00865610">
        <w:rPr>
          <w:rFonts w:ascii="Times New Roman" w:hAnsi="Times New Roman" w:cs="Times New Roman"/>
          <w:sz w:val="24"/>
          <w:szCs w:val="24"/>
        </w:rPr>
        <w:t>morbidade</w:t>
      </w:r>
      <w:proofErr w:type="spellEnd"/>
      <w:r w:rsidRPr="00865610">
        <w:rPr>
          <w:rFonts w:ascii="Times New Roman" w:hAnsi="Times New Roman" w:cs="Times New Roman"/>
          <w:sz w:val="24"/>
          <w:szCs w:val="24"/>
        </w:rPr>
        <w:t xml:space="preserve"> e </w:t>
      </w:r>
      <w:proofErr w:type="spellStart"/>
      <w:r w:rsidRPr="00865610">
        <w:rPr>
          <w:rFonts w:ascii="Times New Roman" w:hAnsi="Times New Roman" w:cs="Times New Roman"/>
          <w:sz w:val="24"/>
          <w:szCs w:val="24"/>
        </w:rPr>
        <w:t>mortalidade</w:t>
      </w:r>
      <w:proofErr w:type="spellEnd"/>
      <w:r w:rsidRPr="00865610">
        <w:rPr>
          <w:rFonts w:ascii="Times New Roman" w:hAnsi="Times New Roman" w:cs="Times New Roman"/>
          <w:sz w:val="24"/>
          <w:szCs w:val="24"/>
        </w:rPr>
        <w:t xml:space="preserve"> de pacientes </w:t>
      </w:r>
      <w:proofErr w:type="spellStart"/>
      <w:r w:rsidRPr="00865610">
        <w:rPr>
          <w:rFonts w:ascii="Times New Roman" w:hAnsi="Times New Roman" w:cs="Times New Roman"/>
          <w:sz w:val="24"/>
          <w:szCs w:val="24"/>
        </w:rPr>
        <w:t>com</w:t>
      </w:r>
      <w:proofErr w:type="spellEnd"/>
      <w:r w:rsidRPr="00865610">
        <w:rPr>
          <w:rFonts w:ascii="Times New Roman" w:hAnsi="Times New Roman" w:cs="Times New Roman"/>
          <w:sz w:val="24"/>
          <w:szCs w:val="24"/>
        </w:rPr>
        <w:t xml:space="preserve"> TCE </w:t>
      </w:r>
      <w:proofErr w:type="spellStart"/>
      <w:r w:rsidRPr="00865610">
        <w:rPr>
          <w:rFonts w:ascii="Times New Roman" w:hAnsi="Times New Roman" w:cs="Times New Roman"/>
          <w:sz w:val="24"/>
          <w:szCs w:val="24"/>
        </w:rPr>
        <w:t>na</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Unidade</w:t>
      </w:r>
      <w:proofErr w:type="spellEnd"/>
      <w:r w:rsidRPr="00865610">
        <w:rPr>
          <w:rFonts w:ascii="Times New Roman" w:hAnsi="Times New Roman" w:cs="Times New Roman"/>
          <w:sz w:val="24"/>
          <w:szCs w:val="24"/>
        </w:rPr>
        <w:t xml:space="preserve"> de Terapia Intensiva (UTI) do Hospital </w:t>
      </w:r>
      <w:proofErr w:type="spellStart"/>
      <w:r w:rsidRPr="00865610">
        <w:rPr>
          <w:rFonts w:ascii="Times New Roman" w:hAnsi="Times New Roman" w:cs="Times New Roman"/>
          <w:sz w:val="24"/>
          <w:szCs w:val="24"/>
        </w:rPr>
        <w:t>Geral</w:t>
      </w:r>
      <w:proofErr w:type="spellEnd"/>
      <w:r w:rsidRPr="00865610">
        <w:rPr>
          <w:rFonts w:ascii="Times New Roman" w:hAnsi="Times New Roman" w:cs="Times New Roman"/>
          <w:sz w:val="24"/>
          <w:szCs w:val="24"/>
        </w:rPr>
        <w:t xml:space="preserve"> de Mexicali. Este é </w:t>
      </w:r>
      <w:proofErr w:type="spellStart"/>
      <w:r w:rsidRPr="00865610">
        <w:rPr>
          <w:rFonts w:ascii="Times New Roman" w:hAnsi="Times New Roman" w:cs="Times New Roman"/>
          <w:sz w:val="24"/>
          <w:szCs w:val="24"/>
        </w:rPr>
        <w:t>um</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ensaio</w:t>
      </w:r>
      <w:proofErr w:type="spellEnd"/>
      <w:r w:rsidRPr="00865610">
        <w:rPr>
          <w:rFonts w:ascii="Times New Roman" w:hAnsi="Times New Roman" w:cs="Times New Roman"/>
          <w:sz w:val="24"/>
          <w:szCs w:val="24"/>
        </w:rPr>
        <w:t xml:space="preserve"> clínico </w:t>
      </w:r>
      <w:proofErr w:type="spellStart"/>
      <w:r w:rsidRPr="00865610">
        <w:rPr>
          <w:rFonts w:ascii="Times New Roman" w:hAnsi="Times New Roman" w:cs="Times New Roman"/>
          <w:sz w:val="24"/>
          <w:szCs w:val="24"/>
        </w:rPr>
        <w:t>randomizado</w:t>
      </w:r>
      <w:proofErr w:type="spellEnd"/>
      <w:r w:rsidRPr="00865610">
        <w:rPr>
          <w:rFonts w:ascii="Times New Roman" w:hAnsi="Times New Roman" w:cs="Times New Roman"/>
          <w:sz w:val="24"/>
          <w:szCs w:val="24"/>
        </w:rPr>
        <w:t xml:space="preserve"> em que todos os pacientes </w:t>
      </w:r>
      <w:proofErr w:type="spellStart"/>
      <w:r w:rsidRPr="00865610">
        <w:rPr>
          <w:rFonts w:ascii="Times New Roman" w:hAnsi="Times New Roman" w:cs="Times New Roman"/>
          <w:sz w:val="24"/>
          <w:szCs w:val="24"/>
        </w:rPr>
        <w:t>com</w:t>
      </w:r>
      <w:proofErr w:type="spellEnd"/>
      <w:r w:rsidRPr="00865610">
        <w:rPr>
          <w:rFonts w:ascii="Times New Roman" w:hAnsi="Times New Roman" w:cs="Times New Roman"/>
          <w:sz w:val="24"/>
          <w:szCs w:val="24"/>
        </w:rPr>
        <w:t xml:space="preserve"> TCE internados </w:t>
      </w:r>
      <w:proofErr w:type="spellStart"/>
      <w:r w:rsidRPr="00865610">
        <w:rPr>
          <w:rFonts w:ascii="Times New Roman" w:hAnsi="Times New Roman" w:cs="Times New Roman"/>
          <w:sz w:val="24"/>
          <w:szCs w:val="24"/>
        </w:rPr>
        <w:t>em</w:t>
      </w:r>
      <w:proofErr w:type="spellEnd"/>
      <w:r w:rsidRPr="00865610">
        <w:rPr>
          <w:rFonts w:ascii="Times New Roman" w:hAnsi="Times New Roman" w:cs="Times New Roman"/>
          <w:sz w:val="24"/>
          <w:szCs w:val="24"/>
        </w:rPr>
        <w:t xml:space="preserve"> UTI 01 de agosto de 2016 a 30 de </w:t>
      </w:r>
      <w:proofErr w:type="spellStart"/>
      <w:r w:rsidRPr="00865610">
        <w:rPr>
          <w:rFonts w:ascii="Times New Roman" w:hAnsi="Times New Roman" w:cs="Times New Roman"/>
          <w:sz w:val="24"/>
          <w:szCs w:val="24"/>
        </w:rPr>
        <w:t>Junho</w:t>
      </w:r>
      <w:proofErr w:type="spellEnd"/>
      <w:r w:rsidRPr="00865610">
        <w:rPr>
          <w:rFonts w:ascii="Times New Roman" w:hAnsi="Times New Roman" w:cs="Times New Roman"/>
          <w:sz w:val="24"/>
          <w:szCs w:val="24"/>
        </w:rPr>
        <w:t xml:space="preserve"> de 2017. </w:t>
      </w:r>
      <w:proofErr w:type="spellStart"/>
      <w:r w:rsidRPr="00865610">
        <w:rPr>
          <w:rFonts w:ascii="Times New Roman" w:hAnsi="Times New Roman" w:cs="Times New Roman"/>
          <w:sz w:val="24"/>
          <w:szCs w:val="24"/>
        </w:rPr>
        <w:t>Foram</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estudados</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dois</w:t>
      </w:r>
      <w:proofErr w:type="spellEnd"/>
      <w:r w:rsidRPr="00865610">
        <w:rPr>
          <w:rFonts w:ascii="Times New Roman" w:hAnsi="Times New Roman" w:cs="Times New Roman"/>
          <w:sz w:val="24"/>
          <w:szCs w:val="24"/>
        </w:rPr>
        <w:t xml:space="preserve"> grupos </w:t>
      </w:r>
      <w:proofErr w:type="spellStart"/>
      <w:r w:rsidRPr="00865610">
        <w:rPr>
          <w:rFonts w:ascii="Times New Roman" w:hAnsi="Times New Roman" w:cs="Times New Roman"/>
          <w:sz w:val="24"/>
          <w:szCs w:val="24"/>
        </w:rPr>
        <w:t>foram</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incluídos</w:t>
      </w:r>
      <w:proofErr w:type="spellEnd"/>
      <w:r w:rsidRPr="00865610">
        <w:rPr>
          <w:rFonts w:ascii="Times New Roman" w:hAnsi="Times New Roman" w:cs="Times New Roman"/>
          <w:sz w:val="24"/>
          <w:szCs w:val="24"/>
        </w:rPr>
        <w:t xml:space="preserve">: o grupo de </w:t>
      </w:r>
      <w:proofErr w:type="spellStart"/>
      <w:r w:rsidRPr="00865610">
        <w:rPr>
          <w:rFonts w:ascii="Times New Roman" w:hAnsi="Times New Roman" w:cs="Times New Roman"/>
          <w:sz w:val="24"/>
          <w:szCs w:val="24"/>
        </w:rPr>
        <w:t>estudo</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sob</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Neti</w:t>
      </w:r>
      <w:proofErr w:type="spellEnd"/>
      <w:r w:rsidRPr="00865610">
        <w:rPr>
          <w:rFonts w:ascii="Times New Roman" w:hAnsi="Times New Roman" w:cs="Times New Roman"/>
          <w:sz w:val="24"/>
          <w:szCs w:val="24"/>
        </w:rPr>
        <w:t xml:space="preserve"> e </w:t>
      </w:r>
      <w:proofErr w:type="spellStart"/>
      <w:r w:rsidRPr="00865610">
        <w:rPr>
          <w:rFonts w:ascii="Times New Roman" w:hAnsi="Times New Roman" w:cs="Times New Roman"/>
          <w:sz w:val="24"/>
          <w:szCs w:val="24"/>
        </w:rPr>
        <w:t>um</w:t>
      </w:r>
      <w:proofErr w:type="spellEnd"/>
      <w:r w:rsidRPr="00865610">
        <w:rPr>
          <w:rFonts w:ascii="Times New Roman" w:hAnsi="Times New Roman" w:cs="Times New Roman"/>
          <w:sz w:val="24"/>
          <w:szCs w:val="24"/>
        </w:rPr>
        <w:t xml:space="preserve"> grupo controle que </w:t>
      </w:r>
      <w:proofErr w:type="spellStart"/>
      <w:r w:rsidRPr="00865610">
        <w:rPr>
          <w:rFonts w:ascii="Times New Roman" w:hAnsi="Times New Roman" w:cs="Times New Roman"/>
          <w:sz w:val="24"/>
          <w:szCs w:val="24"/>
        </w:rPr>
        <w:t>foi</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submetido</w:t>
      </w:r>
      <w:proofErr w:type="spellEnd"/>
      <w:r w:rsidRPr="00865610">
        <w:rPr>
          <w:rFonts w:ascii="Times New Roman" w:hAnsi="Times New Roman" w:cs="Times New Roman"/>
          <w:sz w:val="24"/>
          <w:szCs w:val="24"/>
        </w:rPr>
        <w:t xml:space="preserve"> a </w:t>
      </w:r>
      <w:proofErr w:type="spellStart"/>
      <w:r w:rsidRPr="00865610">
        <w:rPr>
          <w:rFonts w:ascii="Times New Roman" w:hAnsi="Times New Roman" w:cs="Times New Roman"/>
          <w:sz w:val="24"/>
          <w:szCs w:val="24"/>
        </w:rPr>
        <w:t>nutrição</w:t>
      </w:r>
      <w:proofErr w:type="spellEnd"/>
      <w:r w:rsidRPr="00865610">
        <w:rPr>
          <w:rFonts w:ascii="Times New Roman" w:hAnsi="Times New Roman" w:cs="Times New Roman"/>
          <w:sz w:val="24"/>
          <w:szCs w:val="24"/>
        </w:rPr>
        <w:t xml:space="preserve"> enteral </w:t>
      </w:r>
      <w:proofErr w:type="spellStart"/>
      <w:r w:rsidRPr="00865610">
        <w:rPr>
          <w:rFonts w:ascii="Times New Roman" w:hAnsi="Times New Roman" w:cs="Times New Roman"/>
          <w:sz w:val="24"/>
          <w:szCs w:val="24"/>
        </w:rPr>
        <w:t>precoce</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liquefeita</w:t>
      </w:r>
      <w:proofErr w:type="spellEnd"/>
      <w:r w:rsidRPr="00865610">
        <w:rPr>
          <w:rFonts w:ascii="Times New Roman" w:hAnsi="Times New Roman" w:cs="Times New Roman"/>
          <w:sz w:val="24"/>
          <w:szCs w:val="24"/>
        </w:rPr>
        <w:t xml:space="preserve"> (NETL).</w:t>
      </w:r>
    </w:p>
    <w:p w14:paraId="268B1BFC" w14:textId="77777777" w:rsidR="00903856" w:rsidRPr="00865610" w:rsidRDefault="00903856" w:rsidP="00C2461C">
      <w:pPr>
        <w:autoSpaceDE w:val="0"/>
        <w:autoSpaceDN w:val="0"/>
        <w:adjustRightInd w:val="0"/>
        <w:spacing w:after="0" w:line="360" w:lineRule="auto"/>
        <w:ind w:right="49"/>
        <w:jc w:val="both"/>
        <w:rPr>
          <w:rFonts w:ascii="Times New Roman" w:hAnsi="Times New Roman" w:cs="Times New Roman"/>
          <w:sz w:val="24"/>
          <w:szCs w:val="24"/>
        </w:rPr>
      </w:pPr>
      <w:r w:rsidRPr="00865610">
        <w:rPr>
          <w:rFonts w:ascii="Times New Roman" w:hAnsi="Times New Roman" w:cs="Times New Roman"/>
          <w:sz w:val="24"/>
          <w:szCs w:val="24"/>
        </w:rPr>
        <w:t xml:space="preserve">Do total de pacientes, 16 </w:t>
      </w:r>
      <w:proofErr w:type="spellStart"/>
      <w:r w:rsidRPr="00865610">
        <w:rPr>
          <w:rFonts w:ascii="Times New Roman" w:hAnsi="Times New Roman" w:cs="Times New Roman"/>
          <w:sz w:val="24"/>
          <w:szCs w:val="24"/>
        </w:rPr>
        <w:t>eram</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homens</w:t>
      </w:r>
      <w:proofErr w:type="spellEnd"/>
      <w:r w:rsidRPr="00865610">
        <w:rPr>
          <w:rFonts w:ascii="Times New Roman" w:hAnsi="Times New Roman" w:cs="Times New Roman"/>
          <w:sz w:val="24"/>
          <w:szCs w:val="24"/>
        </w:rPr>
        <w:t xml:space="preserve"> (72,7%) e 6 </w:t>
      </w:r>
      <w:proofErr w:type="spellStart"/>
      <w:r w:rsidRPr="00865610">
        <w:rPr>
          <w:rFonts w:ascii="Times New Roman" w:hAnsi="Times New Roman" w:cs="Times New Roman"/>
          <w:sz w:val="24"/>
          <w:szCs w:val="24"/>
        </w:rPr>
        <w:t>mulheres</w:t>
      </w:r>
      <w:proofErr w:type="spellEnd"/>
      <w:r w:rsidRPr="00865610">
        <w:rPr>
          <w:rFonts w:ascii="Times New Roman" w:hAnsi="Times New Roman" w:cs="Times New Roman"/>
          <w:sz w:val="24"/>
          <w:szCs w:val="24"/>
        </w:rPr>
        <w:t xml:space="preserve"> (27,3%), </w:t>
      </w:r>
      <w:proofErr w:type="spellStart"/>
      <w:r w:rsidRPr="00865610">
        <w:rPr>
          <w:rFonts w:ascii="Times New Roman" w:hAnsi="Times New Roman" w:cs="Times New Roman"/>
          <w:sz w:val="24"/>
          <w:szCs w:val="24"/>
        </w:rPr>
        <w:t>com</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idade</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média</w:t>
      </w:r>
      <w:proofErr w:type="spellEnd"/>
      <w:r w:rsidRPr="00865610">
        <w:rPr>
          <w:rFonts w:ascii="Times New Roman" w:hAnsi="Times New Roman" w:cs="Times New Roman"/>
          <w:sz w:val="24"/>
          <w:szCs w:val="24"/>
        </w:rPr>
        <w:t xml:space="preserve"> de 34,7 </w:t>
      </w:r>
      <w:proofErr w:type="spellStart"/>
      <w:r w:rsidRPr="00865610">
        <w:rPr>
          <w:rFonts w:ascii="Times New Roman" w:hAnsi="Times New Roman" w:cs="Times New Roman"/>
          <w:sz w:val="24"/>
          <w:szCs w:val="24"/>
        </w:rPr>
        <w:t>anos</w:t>
      </w:r>
      <w:proofErr w:type="spellEnd"/>
      <w:r w:rsidRPr="00865610">
        <w:rPr>
          <w:rFonts w:ascii="Times New Roman" w:hAnsi="Times New Roman" w:cs="Times New Roman"/>
          <w:sz w:val="24"/>
          <w:szCs w:val="24"/>
        </w:rPr>
        <w:t xml:space="preserve">. As </w:t>
      </w:r>
      <w:proofErr w:type="spellStart"/>
      <w:r w:rsidRPr="00865610">
        <w:rPr>
          <w:rFonts w:ascii="Times New Roman" w:hAnsi="Times New Roman" w:cs="Times New Roman"/>
          <w:sz w:val="24"/>
          <w:szCs w:val="24"/>
        </w:rPr>
        <w:t>principais</w:t>
      </w:r>
      <w:proofErr w:type="spellEnd"/>
      <w:r w:rsidRPr="00865610">
        <w:rPr>
          <w:rFonts w:ascii="Times New Roman" w:hAnsi="Times New Roman" w:cs="Times New Roman"/>
          <w:sz w:val="24"/>
          <w:szCs w:val="24"/>
        </w:rPr>
        <w:t xml:space="preserve"> causas do TCE </w:t>
      </w:r>
      <w:proofErr w:type="spellStart"/>
      <w:r w:rsidRPr="00865610">
        <w:rPr>
          <w:rFonts w:ascii="Times New Roman" w:hAnsi="Times New Roman" w:cs="Times New Roman"/>
          <w:sz w:val="24"/>
          <w:szCs w:val="24"/>
        </w:rPr>
        <w:t>foram</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atropelamento</w:t>
      </w:r>
      <w:proofErr w:type="spellEnd"/>
      <w:r w:rsidRPr="00865610">
        <w:rPr>
          <w:rFonts w:ascii="Times New Roman" w:hAnsi="Times New Roman" w:cs="Times New Roman"/>
          <w:sz w:val="24"/>
          <w:szCs w:val="24"/>
        </w:rPr>
        <w:t xml:space="preserve"> e </w:t>
      </w:r>
      <w:proofErr w:type="spellStart"/>
      <w:r w:rsidRPr="00865610">
        <w:rPr>
          <w:rFonts w:ascii="Times New Roman" w:hAnsi="Times New Roman" w:cs="Times New Roman"/>
          <w:sz w:val="24"/>
          <w:szCs w:val="24"/>
        </w:rPr>
        <w:t>acidente</w:t>
      </w:r>
      <w:proofErr w:type="spellEnd"/>
      <w:r w:rsidRPr="00865610">
        <w:rPr>
          <w:rFonts w:ascii="Times New Roman" w:hAnsi="Times New Roman" w:cs="Times New Roman"/>
          <w:sz w:val="24"/>
          <w:szCs w:val="24"/>
        </w:rPr>
        <w:t xml:space="preserve"> de </w:t>
      </w:r>
      <w:proofErr w:type="spellStart"/>
      <w:r w:rsidRPr="00865610">
        <w:rPr>
          <w:rFonts w:ascii="Times New Roman" w:hAnsi="Times New Roman" w:cs="Times New Roman"/>
          <w:sz w:val="24"/>
          <w:szCs w:val="24"/>
        </w:rPr>
        <w:t>trânsito</w:t>
      </w:r>
      <w:proofErr w:type="spellEnd"/>
      <w:r w:rsidRPr="00865610">
        <w:rPr>
          <w:rFonts w:ascii="Times New Roman" w:hAnsi="Times New Roman" w:cs="Times New Roman"/>
          <w:sz w:val="24"/>
          <w:szCs w:val="24"/>
        </w:rPr>
        <w:t xml:space="preserve"> (54,6%). O grupo </w:t>
      </w:r>
      <w:proofErr w:type="spellStart"/>
      <w:r w:rsidRPr="00865610">
        <w:rPr>
          <w:rFonts w:ascii="Times New Roman" w:hAnsi="Times New Roman" w:cs="Times New Roman"/>
          <w:sz w:val="24"/>
          <w:szCs w:val="24"/>
        </w:rPr>
        <w:t>neti</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em</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relação</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ao</w:t>
      </w:r>
      <w:proofErr w:type="spellEnd"/>
      <w:r w:rsidRPr="00865610">
        <w:rPr>
          <w:rFonts w:ascii="Times New Roman" w:hAnsi="Times New Roman" w:cs="Times New Roman"/>
          <w:sz w:val="24"/>
          <w:szCs w:val="24"/>
        </w:rPr>
        <w:t xml:space="preserve"> grupo de controlo </w:t>
      </w:r>
      <w:proofErr w:type="spellStart"/>
      <w:r w:rsidRPr="00865610">
        <w:rPr>
          <w:rFonts w:ascii="Times New Roman" w:hAnsi="Times New Roman" w:cs="Times New Roman"/>
          <w:sz w:val="24"/>
          <w:szCs w:val="24"/>
        </w:rPr>
        <w:t>mostrou</w:t>
      </w:r>
      <w:proofErr w:type="spellEnd"/>
      <w:r w:rsidRPr="00865610">
        <w:rPr>
          <w:rFonts w:ascii="Times New Roman" w:hAnsi="Times New Roman" w:cs="Times New Roman"/>
          <w:sz w:val="24"/>
          <w:szCs w:val="24"/>
        </w:rPr>
        <w:t xml:space="preserve"> aumento de peso (t de </w:t>
      </w:r>
      <w:proofErr w:type="spellStart"/>
      <w:r w:rsidRPr="00865610">
        <w:rPr>
          <w:rFonts w:ascii="Times New Roman" w:hAnsi="Times New Roman" w:cs="Times New Roman"/>
          <w:sz w:val="24"/>
          <w:szCs w:val="24"/>
        </w:rPr>
        <w:t>Student</w:t>
      </w:r>
      <w:proofErr w:type="spellEnd"/>
      <w:r w:rsidRPr="00865610">
        <w:rPr>
          <w:rFonts w:ascii="Times New Roman" w:hAnsi="Times New Roman" w:cs="Times New Roman"/>
          <w:sz w:val="24"/>
          <w:szCs w:val="24"/>
        </w:rPr>
        <w:t xml:space="preserve"> 23,73; p = 0,001), total (t de </w:t>
      </w:r>
      <w:proofErr w:type="spellStart"/>
      <w:r w:rsidRPr="00865610">
        <w:rPr>
          <w:rFonts w:ascii="Times New Roman" w:hAnsi="Times New Roman" w:cs="Times New Roman"/>
          <w:sz w:val="24"/>
          <w:szCs w:val="24"/>
        </w:rPr>
        <w:t>Student</w:t>
      </w:r>
      <w:proofErr w:type="spellEnd"/>
      <w:r w:rsidRPr="00865610">
        <w:rPr>
          <w:rFonts w:ascii="Times New Roman" w:hAnsi="Times New Roman" w:cs="Times New Roman"/>
          <w:sz w:val="24"/>
          <w:szCs w:val="24"/>
        </w:rPr>
        <w:t xml:space="preserve"> 13,40; p = 0,001) de proteína, de </w:t>
      </w:r>
      <w:proofErr w:type="spellStart"/>
      <w:r w:rsidRPr="00865610">
        <w:rPr>
          <w:rFonts w:ascii="Times New Roman" w:hAnsi="Times New Roman" w:cs="Times New Roman"/>
          <w:sz w:val="24"/>
          <w:szCs w:val="24"/>
        </w:rPr>
        <w:t>leucócitos</w:t>
      </w:r>
      <w:proofErr w:type="spellEnd"/>
      <w:r w:rsidRPr="00865610">
        <w:rPr>
          <w:rFonts w:ascii="Times New Roman" w:hAnsi="Times New Roman" w:cs="Times New Roman"/>
          <w:sz w:val="24"/>
          <w:szCs w:val="24"/>
        </w:rPr>
        <w:t xml:space="preserve"> (t de </w:t>
      </w:r>
      <w:proofErr w:type="spellStart"/>
      <w:r w:rsidRPr="00865610">
        <w:rPr>
          <w:rFonts w:ascii="Times New Roman" w:hAnsi="Times New Roman" w:cs="Times New Roman"/>
          <w:sz w:val="24"/>
          <w:szCs w:val="24"/>
        </w:rPr>
        <w:t>Student</w:t>
      </w:r>
      <w:proofErr w:type="spellEnd"/>
      <w:r w:rsidRPr="00865610">
        <w:rPr>
          <w:rFonts w:ascii="Times New Roman" w:hAnsi="Times New Roman" w:cs="Times New Roman"/>
          <w:sz w:val="24"/>
          <w:szCs w:val="24"/>
        </w:rPr>
        <w:t xml:space="preserve"> 2,05; p = 0,002) e </w:t>
      </w:r>
      <w:proofErr w:type="spellStart"/>
      <w:r w:rsidRPr="00865610">
        <w:rPr>
          <w:rFonts w:ascii="Times New Roman" w:hAnsi="Times New Roman" w:cs="Times New Roman"/>
          <w:sz w:val="24"/>
          <w:szCs w:val="24"/>
        </w:rPr>
        <w:t>linfócitos</w:t>
      </w:r>
      <w:proofErr w:type="spellEnd"/>
      <w:r w:rsidRPr="00865610">
        <w:rPr>
          <w:rFonts w:ascii="Times New Roman" w:hAnsi="Times New Roman" w:cs="Times New Roman"/>
          <w:sz w:val="24"/>
          <w:szCs w:val="24"/>
        </w:rPr>
        <w:t xml:space="preserve"> para </w:t>
      </w:r>
      <w:proofErr w:type="spellStart"/>
      <w:r w:rsidRPr="00865610">
        <w:rPr>
          <w:rFonts w:ascii="Times New Roman" w:hAnsi="Times New Roman" w:cs="Times New Roman"/>
          <w:sz w:val="24"/>
          <w:szCs w:val="24"/>
        </w:rPr>
        <w:t>descarregar</w:t>
      </w:r>
      <w:proofErr w:type="spellEnd"/>
      <w:r w:rsidRPr="00865610">
        <w:rPr>
          <w:rFonts w:ascii="Times New Roman" w:hAnsi="Times New Roman" w:cs="Times New Roman"/>
          <w:sz w:val="24"/>
          <w:szCs w:val="24"/>
        </w:rPr>
        <w:t xml:space="preserve"> da UTI (t de </w:t>
      </w:r>
      <w:proofErr w:type="spellStart"/>
      <w:r w:rsidRPr="00865610">
        <w:rPr>
          <w:rFonts w:ascii="Times New Roman" w:hAnsi="Times New Roman" w:cs="Times New Roman"/>
          <w:sz w:val="24"/>
          <w:szCs w:val="24"/>
        </w:rPr>
        <w:t>Student</w:t>
      </w:r>
      <w:proofErr w:type="spellEnd"/>
      <w:r w:rsidRPr="00865610">
        <w:rPr>
          <w:rFonts w:ascii="Times New Roman" w:hAnsi="Times New Roman" w:cs="Times New Roman"/>
          <w:sz w:val="24"/>
          <w:szCs w:val="24"/>
        </w:rPr>
        <w:t xml:space="preserve"> 7,09; p = 0,001), </w:t>
      </w:r>
      <w:proofErr w:type="spellStart"/>
      <w:r w:rsidRPr="00865610">
        <w:rPr>
          <w:rFonts w:ascii="Times New Roman" w:hAnsi="Times New Roman" w:cs="Times New Roman"/>
          <w:sz w:val="24"/>
          <w:szCs w:val="24"/>
        </w:rPr>
        <w:t>com</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diminuição</w:t>
      </w:r>
      <w:proofErr w:type="spellEnd"/>
      <w:r w:rsidRPr="00865610">
        <w:rPr>
          <w:rFonts w:ascii="Times New Roman" w:hAnsi="Times New Roman" w:cs="Times New Roman"/>
          <w:sz w:val="24"/>
          <w:szCs w:val="24"/>
        </w:rPr>
        <w:t xml:space="preserve"> dos casos de </w:t>
      </w:r>
      <w:proofErr w:type="spellStart"/>
      <w:r w:rsidRPr="00865610">
        <w:rPr>
          <w:rFonts w:ascii="Times New Roman" w:hAnsi="Times New Roman" w:cs="Times New Roman"/>
          <w:sz w:val="24"/>
          <w:szCs w:val="24"/>
        </w:rPr>
        <w:t>pneumonia</w:t>
      </w:r>
      <w:proofErr w:type="spellEnd"/>
      <w:r w:rsidRPr="00865610">
        <w:rPr>
          <w:rFonts w:ascii="Times New Roman" w:hAnsi="Times New Roman" w:cs="Times New Roman"/>
          <w:sz w:val="24"/>
          <w:szCs w:val="24"/>
        </w:rPr>
        <w:t xml:space="preserve"> (t de </w:t>
      </w:r>
      <w:proofErr w:type="spellStart"/>
      <w:r w:rsidRPr="00865610">
        <w:rPr>
          <w:rFonts w:ascii="Times New Roman" w:hAnsi="Times New Roman" w:cs="Times New Roman"/>
          <w:sz w:val="24"/>
          <w:szCs w:val="24"/>
        </w:rPr>
        <w:t>Student</w:t>
      </w:r>
      <w:proofErr w:type="spellEnd"/>
      <w:r w:rsidRPr="00865610">
        <w:rPr>
          <w:rFonts w:ascii="Times New Roman" w:hAnsi="Times New Roman" w:cs="Times New Roman"/>
          <w:sz w:val="24"/>
          <w:szCs w:val="24"/>
        </w:rPr>
        <w:t xml:space="preserve"> 13,78; p = 0,001), </w:t>
      </w:r>
      <w:proofErr w:type="spellStart"/>
      <w:r w:rsidRPr="00865610">
        <w:rPr>
          <w:rFonts w:ascii="Times New Roman" w:hAnsi="Times New Roman" w:cs="Times New Roman"/>
          <w:sz w:val="24"/>
          <w:szCs w:val="24"/>
        </w:rPr>
        <w:t>infecção</w:t>
      </w:r>
      <w:proofErr w:type="spellEnd"/>
      <w:r w:rsidRPr="00865610">
        <w:rPr>
          <w:rFonts w:ascii="Times New Roman" w:hAnsi="Times New Roman" w:cs="Times New Roman"/>
          <w:sz w:val="24"/>
          <w:szCs w:val="24"/>
        </w:rPr>
        <w:t xml:space="preserve"> do trato </w:t>
      </w:r>
      <w:proofErr w:type="spellStart"/>
      <w:r w:rsidRPr="00865610">
        <w:rPr>
          <w:rFonts w:ascii="Times New Roman" w:hAnsi="Times New Roman" w:cs="Times New Roman"/>
          <w:sz w:val="24"/>
          <w:szCs w:val="24"/>
        </w:rPr>
        <w:t>urinário</w:t>
      </w:r>
      <w:proofErr w:type="spellEnd"/>
      <w:r w:rsidRPr="00865610">
        <w:rPr>
          <w:rFonts w:ascii="Times New Roman" w:hAnsi="Times New Roman" w:cs="Times New Roman"/>
          <w:sz w:val="24"/>
          <w:szCs w:val="24"/>
        </w:rPr>
        <w:t xml:space="preserve"> (t </w:t>
      </w:r>
      <w:proofErr w:type="spellStart"/>
      <w:r w:rsidRPr="00865610">
        <w:rPr>
          <w:rFonts w:ascii="Times New Roman" w:hAnsi="Times New Roman" w:cs="Times New Roman"/>
          <w:sz w:val="24"/>
          <w:szCs w:val="24"/>
        </w:rPr>
        <w:t>estudante</w:t>
      </w:r>
      <w:proofErr w:type="spellEnd"/>
      <w:r w:rsidRPr="00865610">
        <w:rPr>
          <w:rFonts w:ascii="Times New Roman" w:hAnsi="Times New Roman" w:cs="Times New Roman"/>
          <w:sz w:val="24"/>
          <w:szCs w:val="24"/>
        </w:rPr>
        <w:t xml:space="preserve"> 8,07; p = 0,001) </w:t>
      </w:r>
      <w:proofErr w:type="spellStart"/>
      <w:r w:rsidRPr="00865610">
        <w:rPr>
          <w:rFonts w:ascii="Times New Roman" w:hAnsi="Times New Roman" w:cs="Times New Roman"/>
          <w:sz w:val="24"/>
          <w:szCs w:val="24"/>
        </w:rPr>
        <w:t>dias</w:t>
      </w:r>
      <w:proofErr w:type="spellEnd"/>
      <w:r w:rsidRPr="00865610">
        <w:rPr>
          <w:rFonts w:ascii="Times New Roman" w:hAnsi="Times New Roman" w:cs="Times New Roman"/>
          <w:sz w:val="24"/>
          <w:szCs w:val="24"/>
        </w:rPr>
        <w:t xml:space="preserve">, o UTI (X2 Spearman -.432; p = 0,05), </w:t>
      </w:r>
      <w:proofErr w:type="spellStart"/>
      <w:r w:rsidRPr="00865610">
        <w:rPr>
          <w:rFonts w:ascii="Times New Roman" w:hAnsi="Times New Roman" w:cs="Times New Roman"/>
          <w:sz w:val="24"/>
          <w:szCs w:val="24"/>
        </w:rPr>
        <w:t>dias</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sob</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lastRenderedPageBreak/>
        <w:t>ventilação</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mecânica</w:t>
      </w:r>
      <w:proofErr w:type="spellEnd"/>
      <w:r w:rsidRPr="00865610">
        <w:rPr>
          <w:rFonts w:ascii="Times New Roman" w:hAnsi="Times New Roman" w:cs="Times New Roman"/>
          <w:sz w:val="24"/>
          <w:szCs w:val="24"/>
        </w:rPr>
        <w:t xml:space="preserve"> (X2 Spearman -.432; p = 0,05) e </w:t>
      </w:r>
      <w:proofErr w:type="spellStart"/>
      <w:r w:rsidRPr="00865610">
        <w:rPr>
          <w:rFonts w:ascii="Times New Roman" w:hAnsi="Times New Roman" w:cs="Times New Roman"/>
          <w:sz w:val="24"/>
          <w:szCs w:val="24"/>
        </w:rPr>
        <w:t>nutrição</w:t>
      </w:r>
      <w:proofErr w:type="spellEnd"/>
      <w:r w:rsidRPr="00865610">
        <w:rPr>
          <w:rFonts w:ascii="Times New Roman" w:hAnsi="Times New Roman" w:cs="Times New Roman"/>
          <w:sz w:val="24"/>
          <w:szCs w:val="24"/>
        </w:rPr>
        <w:t xml:space="preserve"> entérica (X2 </w:t>
      </w:r>
      <w:proofErr w:type="spellStart"/>
      <w:r w:rsidRPr="00865610">
        <w:rPr>
          <w:rFonts w:ascii="Times New Roman" w:hAnsi="Times New Roman" w:cs="Times New Roman"/>
          <w:sz w:val="24"/>
          <w:szCs w:val="24"/>
        </w:rPr>
        <w:t>Spearman</w:t>
      </w:r>
      <w:proofErr w:type="spellEnd"/>
      <w:r w:rsidRPr="00865610">
        <w:rPr>
          <w:rFonts w:ascii="Times New Roman" w:hAnsi="Times New Roman" w:cs="Times New Roman"/>
          <w:sz w:val="24"/>
          <w:szCs w:val="24"/>
        </w:rPr>
        <w:t xml:space="preserve"> -425, p = 0,05). A </w:t>
      </w:r>
      <w:proofErr w:type="spellStart"/>
      <w:r w:rsidRPr="00865610">
        <w:rPr>
          <w:rFonts w:ascii="Times New Roman" w:hAnsi="Times New Roman" w:cs="Times New Roman"/>
          <w:sz w:val="24"/>
          <w:szCs w:val="24"/>
        </w:rPr>
        <w:t>mortalidade</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foi</w:t>
      </w:r>
      <w:proofErr w:type="spellEnd"/>
      <w:r w:rsidRPr="00865610">
        <w:rPr>
          <w:rFonts w:ascii="Times New Roman" w:hAnsi="Times New Roman" w:cs="Times New Roman"/>
          <w:sz w:val="24"/>
          <w:szCs w:val="24"/>
        </w:rPr>
        <w:t xml:space="preserve"> menor no grupo NETI </w:t>
      </w:r>
      <w:proofErr w:type="spellStart"/>
      <w:r w:rsidRPr="00865610">
        <w:rPr>
          <w:rFonts w:ascii="Times New Roman" w:hAnsi="Times New Roman" w:cs="Times New Roman"/>
          <w:sz w:val="24"/>
          <w:szCs w:val="24"/>
        </w:rPr>
        <w:t>sem</w:t>
      </w:r>
      <w:proofErr w:type="spellEnd"/>
      <w:r w:rsidRPr="00865610">
        <w:rPr>
          <w:rFonts w:ascii="Times New Roman" w:hAnsi="Times New Roman" w:cs="Times New Roman"/>
          <w:sz w:val="24"/>
          <w:szCs w:val="24"/>
        </w:rPr>
        <w:t xml:space="preserve"> relatar </w:t>
      </w:r>
      <w:proofErr w:type="spellStart"/>
      <w:r w:rsidRPr="00865610">
        <w:rPr>
          <w:rFonts w:ascii="Times New Roman" w:hAnsi="Times New Roman" w:cs="Times New Roman"/>
          <w:sz w:val="24"/>
          <w:szCs w:val="24"/>
        </w:rPr>
        <w:t>uma</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diferença</w:t>
      </w:r>
      <w:proofErr w:type="spellEnd"/>
      <w:r w:rsidRPr="00865610">
        <w:rPr>
          <w:rFonts w:ascii="Times New Roman" w:hAnsi="Times New Roman" w:cs="Times New Roman"/>
          <w:sz w:val="24"/>
          <w:szCs w:val="24"/>
        </w:rPr>
        <w:t xml:space="preserve"> significativa.</w:t>
      </w:r>
    </w:p>
    <w:p w14:paraId="41BD57C8" w14:textId="77777777" w:rsidR="00903856" w:rsidRPr="00865610" w:rsidRDefault="00903856" w:rsidP="00C2461C">
      <w:pPr>
        <w:autoSpaceDE w:val="0"/>
        <w:autoSpaceDN w:val="0"/>
        <w:adjustRightInd w:val="0"/>
        <w:spacing w:after="0" w:line="360" w:lineRule="auto"/>
        <w:ind w:right="49"/>
        <w:jc w:val="both"/>
        <w:rPr>
          <w:rFonts w:ascii="Times New Roman" w:hAnsi="Times New Roman" w:cs="Times New Roman"/>
          <w:sz w:val="24"/>
          <w:szCs w:val="24"/>
        </w:rPr>
      </w:pPr>
      <w:r w:rsidRPr="00865610">
        <w:rPr>
          <w:rFonts w:ascii="Times New Roman" w:hAnsi="Times New Roman" w:cs="Times New Roman"/>
          <w:sz w:val="24"/>
          <w:szCs w:val="24"/>
        </w:rPr>
        <w:t xml:space="preserve">pacientes </w:t>
      </w:r>
      <w:proofErr w:type="spellStart"/>
      <w:r w:rsidRPr="00865610">
        <w:rPr>
          <w:rFonts w:ascii="Times New Roman" w:hAnsi="Times New Roman" w:cs="Times New Roman"/>
          <w:sz w:val="24"/>
          <w:szCs w:val="24"/>
        </w:rPr>
        <w:t>com</w:t>
      </w:r>
      <w:proofErr w:type="spellEnd"/>
      <w:r w:rsidRPr="00865610">
        <w:rPr>
          <w:rFonts w:ascii="Times New Roman" w:hAnsi="Times New Roman" w:cs="Times New Roman"/>
          <w:sz w:val="24"/>
          <w:szCs w:val="24"/>
        </w:rPr>
        <w:t xml:space="preserve"> TCE que </w:t>
      </w:r>
      <w:proofErr w:type="spellStart"/>
      <w:r w:rsidRPr="00865610">
        <w:rPr>
          <w:rFonts w:ascii="Times New Roman" w:hAnsi="Times New Roman" w:cs="Times New Roman"/>
          <w:sz w:val="24"/>
          <w:szCs w:val="24"/>
        </w:rPr>
        <w:t>receberam</w:t>
      </w:r>
      <w:proofErr w:type="spellEnd"/>
      <w:r w:rsidRPr="00865610">
        <w:rPr>
          <w:rFonts w:ascii="Times New Roman" w:hAnsi="Times New Roman" w:cs="Times New Roman"/>
          <w:sz w:val="24"/>
          <w:szCs w:val="24"/>
        </w:rPr>
        <w:t xml:space="preserve"> NETI </w:t>
      </w:r>
      <w:proofErr w:type="spellStart"/>
      <w:r w:rsidRPr="00865610">
        <w:rPr>
          <w:rFonts w:ascii="Times New Roman" w:hAnsi="Times New Roman" w:cs="Times New Roman"/>
          <w:sz w:val="24"/>
          <w:szCs w:val="24"/>
        </w:rPr>
        <w:t>mostraram</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uma</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diminuição</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na</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incidência</w:t>
      </w:r>
      <w:proofErr w:type="spellEnd"/>
      <w:r w:rsidRPr="00865610">
        <w:rPr>
          <w:rFonts w:ascii="Times New Roman" w:hAnsi="Times New Roman" w:cs="Times New Roman"/>
          <w:sz w:val="24"/>
          <w:szCs w:val="24"/>
        </w:rPr>
        <w:t xml:space="preserve"> de </w:t>
      </w:r>
      <w:proofErr w:type="spellStart"/>
      <w:r w:rsidRPr="00865610">
        <w:rPr>
          <w:rFonts w:ascii="Times New Roman" w:hAnsi="Times New Roman" w:cs="Times New Roman"/>
          <w:sz w:val="24"/>
          <w:szCs w:val="24"/>
        </w:rPr>
        <w:t>complicações</w:t>
      </w:r>
      <w:proofErr w:type="spellEnd"/>
      <w:r w:rsidRPr="00865610">
        <w:rPr>
          <w:rFonts w:ascii="Times New Roman" w:hAnsi="Times New Roman" w:cs="Times New Roman"/>
          <w:sz w:val="24"/>
          <w:szCs w:val="24"/>
        </w:rPr>
        <w:t xml:space="preserve"> infecciosas e </w:t>
      </w:r>
      <w:proofErr w:type="spellStart"/>
      <w:r w:rsidRPr="00865610">
        <w:rPr>
          <w:rFonts w:ascii="Times New Roman" w:hAnsi="Times New Roman" w:cs="Times New Roman"/>
          <w:sz w:val="24"/>
          <w:szCs w:val="24"/>
        </w:rPr>
        <w:t>com</w:t>
      </w:r>
      <w:proofErr w:type="spellEnd"/>
      <w:r w:rsidRPr="00865610">
        <w:rPr>
          <w:rFonts w:ascii="Times New Roman" w:hAnsi="Times New Roman" w:cs="Times New Roman"/>
          <w:sz w:val="24"/>
          <w:szCs w:val="24"/>
        </w:rPr>
        <w:t xml:space="preserve"> o tempo de </w:t>
      </w:r>
      <w:proofErr w:type="spellStart"/>
      <w:r w:rsidRPr="00865610">
        <w:rPr>
          <w:rFonts w:ascii="Times New Roman" w:hAnsi="Times New Roman" w:cs="Times New Roman"/>
          <w:sz w:val="24"/>
          <w:szCs w:val="24"/>
        </w:rPr>
        <w:t>permanência</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hospitalar</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graças</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ao</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qual</w:t>
      </w:r>
      <w:proofErr w:type="spellEnd"/>
      <w:r w:rsidRPr="00865610">
        <w:rPr>
          <w:rFonts w:ascii="Times New Roman" w:hAnsi="Times New Roman" w:cs="Times New Roman"/>
          <w:sz w:val="24"/>
          <w:szCs w:val="24"/>
        </w:rPr>
        <w:t xml:space="preserve"> é </w:t>
      </w:r>
      <w:proofErr w:type="spellStart"/>
      <w:r w:rsidRPr="00865610">
        <w:rPr>
          <w:rFonts w:ascii="Times New Roman" w:hAnsi="Times New Roman" w:cs="Times New Roman"/>
          <w:sz w:val="24"/>
          <w:szCs w:val="24"/>
        </w:rPr>
        <w:t>possível</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melhorar</w:t>
      </w:r>
      <w:proofErr w:type="spellEnd"/>
      <w:r w:rsidRPr="00865610">
        <w:rPr>
          <w:rFonts w:ascii="Times New Roman" w:hAnsi="Times New Roman" w:cs="Times New Roman"/>
          <w:sz w:val="24"/>
          <w:szCs w:val="24"/>
        </w:rPr>
        <w:t xml:space="preserve"> em menos tempo a </w:t>
      </w:r>
      <w:proofErr w:type="spellStart"/>
      <w:r w:rsidRPr="00865610">
        <w:rPr>
          <w:rFonts w:ascii="Times New Roman" w:hAnsi="Times New Roman" w:cs="Times New Roman"/>
          <w:sz w:val="24"/>
          <w:szCs w:val="24"/>
        </w:rPr>
        <w:t>saúde</w:t>
      </w:r>
      <w:proofErr w:type="spellEnd"/>
      <w:r w:rsidRPr="00865610">
        <w:rPr>
          <w:rFonts w:ascii="Times New Roman" w:hAnsi="Times New Roman" w:cs="Times New Roman"/>
          <w:sz w:val="24"/>
          <w:szCs w:val="24"/>
        </w:rPr>
        <w:t xml:space="preserve"> do paciente e, </w:t>
      </w:r>
      <w:proofErr w:type="spellStart"/>
      <w:r w:rsidRPr="00865610">
        <w:rPr>
          <w:rFonts w:ascii="Times New Roman" w:hAnsi="Times New Roman" w:cs="Times New Roman"/>
          <w:sz w:val="24"/>
          <w:szCs w:val="24"/>
        </w:rPr>
        <w:t>ao</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mesmo</w:t>
      </w:r>
      <w:proofErr w:type="spellEnd"/>
      <w:r w:rsidRPr="00865610">
        <w:rPr>
          <w:rFonts w:ascii="Times New Roman" w:hAnsi="Times New Roman" w:cs="Times New Roman"/>
          <w:sz w:val="24"/>
          <w:szCs w:val="24"/>
        </w:rPr>
        <w:t xml:space="preserve"> tempo, </w:t>
      </w:r>
      <w:proofErr w:type="spellStart"/>
      <w:r w:rsidRPr="00865610">
        <w:rPr>
          <w:rFonts w:ascii="Times New Roman" w:hAnsi="Times New Roman" w:cs="Times New Roman"/>
          <w:sz w:val="24"/>
          <w:szCs w:val="24"/>
        </w:rPr>
        <w:t>reduzir</w:t>
      </w:r>
      <w:proofErr w:type="spellEnd"/>
      <w:r w:rsidRPr="00865610">
        <w:rPr>
          <w:rFonts w:ascii="Times New Roman" w:hAnsi="Times New Roman" w:cs="Times New Roman"/>
          <w:sz w:val="24"/>
          <w:szCs w:val="24"/>
        </w:rPr>
        <w:t xml:space="preserve"> os </w:t>
      </w:r>
      <w:proofErr w:type="spellStart"/>
      <w:r w:rsidRPr="00865610">
        <w:rPr>
          <w:rFonts w:ascii="Times New Roman" w:hAnsi="Times New Roman" w:cs="Times New Roman"/>
          <w:sz w:val="24"/>
          <w:szCs w:val="24"/>
        </w:rPr>
        <w:t>custos</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devido</w:t>
      </w:r>
      <w:proofErr w:type="spellEnd"/>
      <w:r w:rsidRPr="00865610">
        <w:rPr>
          <w:rFonts w:ascii="Times New Roman" w:hAnsi="Times New Roman" w:cs="Times New Roman"/>
          <w:sz w:val="24"/>
          <w:szCs w:val="24"/>
        </w:rPr>
        <w:t xml:space="preserve"> à </w:t>
      </w:r>
      <w:proofErr w:type="spellStart"/>
      <w:r w:rsidRPr="00865610">
        <w:rPr>
          <w:rFonts w:ascii="Times New Roman" w:hAnsi="Times New Roman" w:cs="Times New Roman"/>
          <w:sz w:val="24"/>
          <w:szCs w:val="24"/>
        </w:rPr>
        <w:t>hospitalização</w:t>
      </w:r>
      <w:proofErr w:type="spellEnd"/>
      <w:r w:rsidRPr="00865610">
        <w:rPr>
          <w:rFonts w:ascii="Times New Roman" w:hAnsi="Times New Roman" w:cs="Times New Roman"/>
          <w:sz w:val="24"/>
          <w:szCs w:val="24"/>
        </w:rPr>
        <w:t>.</w:t>
      </w:r>
    </w:p>
    <w:p w14:paraId="2261968F" w14:textId="17DD6734" w:rsidR="00903856" w:rsidRPr="00865610" w:rsidRDefault="00903856" w:rsidP="00903856">
      <w:pPr>
        <w:autoSpaceDE w:val="0"/>
        <w:autoSpaceDN w:val="0"/>
        <w:adjustRightInd w:val="0"/>
        <w:spacing w:after="0" w:line="360" w:lineRule="auto"/>
        <w:ind w:right="49"/>
        <w:jc w:val="both"/>
        <w:rPr>
          <w:rFonts w:ascii="Times New Roman" w:hAnsi="Times New Roman" w:cs="Times New Roman"/>
          <w:sz w:val="24"/>
          <w:szCs w:val="24"/>
        </w:rPr>
      </w:pPr>
      <w:proofErr w:type="spellStart"/>
      <w:r w:rsidRPr="00903856">
        <w:rPr>
          <w:rFonts w:ascii="Calibri" w:hAnsi="Calibri" w:cs="Calibri"/>
          <w:b/>
          <w:sz w:val="28"/>
          <w:szCs w:val="24"/>
          <w:lang w:val="es-ES"/>
        </w:rPr>
        <w:t>Palavras</w:t>
      </w:r>
      <w:proofErr w:type="spellEnd"/>
      <w:r w:rsidRPr="00903856">
        <w:rPr>
          <w:rFonts w:ascii="Calibri" w:hAnsi="Calibri" w:cs="Calibri"/>
          <w:b/>
          <w:sz w:val="28"/>
          <w:szCs w:val="24"/>
          <w:lang w:val="es-ES"/>
        </w:rPr>
        <w:t>-chave:</w:t>
      </w:r>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nutrição</w:t>
      </w:r>
      <w:proofErr w:type="spellEnd"/>
      <w:r w:rsidRPr="00865610">
        <w:rPr>
          <w:rFonts w:ascii="Times New Roman" w:hAnsi="Times New Roman" w:cs="Times New Roman"/>
          <w:sz w:val="24"/>
          <w:szCs w:val="24"/>
        </w:rPr>
        <w:t xml:space="preserve"> enteral </w:t>
      </w:r>
      <w:proofErr w:type="spellStart"/>
      <w:r w:rsidRPr="00865610">
        <w:rPr>
          <w:rFonts w:ascii="Times New Roman" w:hAnsi="Times New Roman" w:cs="Times New Roman"/>
          <w:sz w:val="24"/>
          <w:szCs w:val="24"/>
        </w:rPr>
        <w:t>precoce</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nutrição</w:t>
      </w:r>
      <w:proofErr w:type="spellEnd"/>
      <w:r w:rsidRPr="00865610">
        <w:rPr>
          <w:rFonts w:ascii="Times New Roman" w:hAnsi="Times New Roman" w:cs="Times New Roman"/>
          <w:sz w:val="24"/>
          <w:szCs w:val="24"/>
        </w:rPr>
        <w:t xml:space="preserve"> enteral </w:t>
      </w:r>
      <w:proofErr w:type="spellStart"/>
      <w:r w:rsidRPr="00865610">
        <w:rPr>
          <w:rFonts w:ascii="Times New Roman" w:hAnsi="Times New Roman" w:cs="Times New Roman"/>
          <w:sz w:val="24"/>
          <w:szCs w:val="24"/>
        </w:rPr>
        <w:t>com</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imunonutrientes</w:t>
      </w:r>
      <w:proofErr w:type="spellEnd"/>
      <w:r w:rsidRPr="00865610">
        <w:rPr>
          <w:rFonts w:ascii="Times New Roman" w:hAnsi="Times New Roman" w:cs="Times New Roman"/>
          <w:sz w:val="24"/>
          <w:szCs w:val="24"/>
        </w:rPr>
        <w:t xml:space="preserve">, traumatismo </w:t>
      </w:r>
      <w:proofErr w:type="spellStart"/>
      <w:r w:rsidRPr="00865610">
        <w:rPr>
          <w:rFonts w:ascii="Times New Roman" w:hAnsi="Times New Roman" w:cs="Times New Roman"/>
          <w:sz w:val="24"/>
          <w:szCs w:val="24"/>
        </w:rPr>
        <w:t>cranioencefálico</w:t>
      </w:r>
      <w:proofErr w:type="spellEnd"/>
      <w:r w:rsidRPr="00865610">
        <w:rPr>
          <w:rFonts w:ascii="Times New Roman" w:hAnsi="Times New Roman" w:cs="Times New Roman"/>
          <w:sz w:val="24"/>
          <w:szCs w:val="24"/>
        </w:rPr>
        <w:t xml:space="preserve">, </w:t>
      </w:r>
      <w:proofErr w:type="spellStart"/>
      <w:r w:rsidRPr="00865610">
        <w:rPr>
          <w:rFonts w:ascii="Times New Roman" w:hAnsi="Times New Roman" w:cs="Times New Roman"/>
          <w:sz w:val="24"/>
          <w:szCs w:val="24"/>
        </w:rPr>
        <w:t>unidade</w:t>
      </w:r>
      <w:proofErr w:type="spellEnd"/>
      <w:r w:rsidRPr="00865610">
        <w:rPr>
          <w:rFonts w:ascii="Times New Roman" w:hAnsi="Times New Roman" w:cs="Times New Roman"/>
          <w:sz w:val="24"/>
          <w:szCs w:val="24"/>
        </w:rPr>
        <w:t xml:space="preserve"> de terapia intensiva.</w:t>
      </w:r>
    </w:p>
    <w:p w14:paraId="54FF4C6C" w14:textId="20EB255C" w:rsidR="00903856" w:rsidRDefault="00903856" w:rsidP="00903856">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w:t>
      </w:r>
      <w:r w:rsidRPr="007B756F">
        <w:rPr>
          <w:rFonts w:ascii="Times New Roman" w:hAnsi="Times New Roman" w:cs="Times New Roman"/>
          <w:color w:val="000000"/>
          <w:sz w:val="24"/>
        </w:rPr>
        <w:t xml:space="preserve"> 2018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Mayo 2019</w:t>
      </w:r>
    </w:p>
    <w:p w14:paraId="6123BFD2" w14:textId="77777777" w:rsidR="00903856" w:rsidRPr="00230C49" w:rsidRDefault="00336E9A" w:rsidP="00903856">
      <w:pPr>
        <w:spacing w:after="0" w:line="360" w:lineRule="auto"/>
        <w:jc w:val="both"/>
        <w:rPr>
          <w:rFonts w:ascii="Times New Roman" w:hAnsi="Times New Roman" w:cs="Times New Roman"/>
          <w:sz w:val="24"/>
          <w:szCs w:val="24"/>
          <w:lang w:val="en-US"/>
        </w:rPr>
      </w:pPr>
      <w:r>
        <w:pict w14:anchorId="483FDC9D">
          <v:rect id="_x0000_i1025" style="width:446.5pt;height:1.5pt" o:hralign="center" o:hrstd="t" o:hr="t" fillcolor="#a0a0a0" stroked="f"/>
        </w:pict>
      </w:r>
    </w:p>
    <w:p w14:paraId="7B87A36F" w14:textId="77777777" w:rsidR="00903856" w:rsidRPr="00DB3115" w:rsidRDefault="00903856" w:rsidP="00903856">
      <w:pPr>
        <w:autoSpaceDE w:val="0"/>
        <w:autoSpaceDN w:val="0"/>
        <w:adjustRightInd w:val="0"/>
        <w:spacing w:after="0" w:line="360" w:lineRule="auto"/>
        <w:ind w:right="49"/>
        <w:jc w:val="both"/>
        <w:rPr>
          <w:rFonts w:ascii="Times New Roman" w:hAnsi="Times New Roman" w:cs="Times New Roman"/>
          <w:sz w:val="24"/>
          <w:szCs w:val="24"/>
          <w:lang w:val="en-US"/>
        </w:rPr>
      </w:pPr>
    </w:p>
    <w:p w14:paraId="557E4DC6" w14:textId="18582B1F" w:rsidR="006D63A5" w:rsidRPr="003F3FAF" w:rsidRDefault="00505A5A" w:rsidP="00903856">
      <w:pPr>
        <w:autoSpaceDE w:val="0"/>
        <w:autoSpaceDN w:val="0"/>
        <w:adjustRightInd w:val="0"/>
        <w:spacing w:after="0" w:line="360" w:lineRule="auto"/>
        <w:ind w:right="49"/>
        <w:jc w:val="center"/>
        <w:rPr>
          <w:rFonts w:ascii="Times New Roman" w:hAnsi="Times New Roman" w:cs="Times New Roman"/>
          <w:b/>
          <w:sz w:val="32"/>
          <w:szCs w:val="32"/>
        </w:rPr>
      </w:pPr>
      <w:r w:rsidRPr="003F3FAF">
        <w:rPr>
          <w:rFonts w:ascii="Times New Roman" w:hAnsi="Times New Roman" w:cs="Times New Roman"/>
          <w:b/>
          <w:sz w:val="32"/>
          <w:szCs w:val="32"/>
        </w:rPr>
        <w:t>Introducción</w:t>
      </w:r>
    </w:p>
    <w:p w14:paraId="697A8CDA" w14:textId="1E5AFCE7" w:rsidR="006D63A5" w:rsidRPr="00DB3115" w:rsidRDefault="006D63A5" w:rsidP="003F3FAF">
      <w:pPr>
        <w:autoSpaceDE w:val="0"/>
        <w:autoSpaceDN w:val="0"/>
        <w:adjustRightInd w:val="0"/>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t>El soporte nutricional ha pasado a ser un componente esencial en el manejo</w:t>
      </w:r>
      <w:r w:rsidR="00C225EA" w:rsidRPr="00DB3115">
        <w:rPr>
          <w:rFonts w:ascii="Times New Roman" w:hAnsi="Times New Roman" w:cs="Times New Roman"/>
          <w:sz w:val="24"/>
          <w:szCs w:val="24"/>
        </w:rPr>
        <w:t xml:space="preserve"> del paciente en estado crítico (</w:t>
      </w:r>
      <w:r w:rsidR="00C82A17" w:rsidRPr="00DB3115">
        <w:rPr>
          <w:rFonts w:ascii="Times New Roman" w:hAnsi="Times New Roman" w:cs="Times New Roman"/>
          <w:sz w:val="24"/>
          <w:szCs w:val="24"/>
        </w:rPr>
        <w:t>Torres</w:t>
      </w:r>
      <w:r w:rsidR="00C82A17">
        <w:rPr>
          <w:rFonts w:ascii="Times New Roman" w:hAnsi="Times New Roman" w:cs="Times New Roman"/>
          <w:sz w:val="24"/>
          <w:szCs w:val="24"/>
        </w:rPr>
        <w:t xml:space="preserve"> </w:t>
      </w:r>
      <w:r w:rsidR="00C82A17" w:rsidRPr="003F3FAF">
        <w:rPr>
          <w:rFonts w:ascii="Times New Roman" w:hAnsi="Times New Roman" w:cs="Times New Roman"/>
          <w:i/>
          <w:iCs/>
          <w:sz w:val="24"/>
          <w:szCs w:val="24"/>
        </w:rPr>
        <w:t>et al</w:t>
      </w:r>
      <w:r w:rsidR="00C82A17">
        <w:rPr>
          <w:rFonts w:ascii="Times New Roman" w:hAnsi="Times New Roman" w:cs="Times New Roman"/>
          <w:sz w:val="24"/>
          <w:szCs w:val="24"/>
        </w:rPr>
        <w:t xml:space="preserve">., 2008; </w:t>
      </w:r>
      <w:r w:rsidR="00C82A17" w:rsidRPr="00DB3115">
        <w:rPr>
          <w:rFonts w:ascii="Times New Roman" w:hAnsi="Times New Roman" w:cs="Times New Roman"/>
          <w:sz w:val="24"/>
          <w:szCs w:val="24"/>
        </w:rPr>
        <w:t xml:space="preserve">García </w:t>
      </w:r>
      <w:r w:rsidR="000D5B95">
        <w:rPr>
          <w:rFonts w:ascii="Times New Roman" w:hAnsi="Times New Roman" w:cs="Times New Roman"/>
          <w:sz w:val="24"/>
          <w:szCs w:val="24"/>
        </w:rPr>
        <w:t>y</w:t>
      </w:r>
      <w:r w:rsidR="00C82A17" w:rsidRPr="00DB3115">
        <w:rPr>
          <w:rFonts w:ascii="Times New Roman" w:hAnsi="Times New Roman" w:cs="Times New Roman"/>
          <w:sz w:val="24"/>
          <w:szCs w:val="24"/>
        </w:rPr>
        <w:t xml:space="preserve"> Rodríguez</w:t>
      </w:r>
      <w:r w:rsidR="00C82A17">
        <w:rPr>
          <w:rFonts w:ascii="Times New Roman" w:hAnsi="Times New Roman" w:cs="Times New Roman"/>
          <w:sz w:val="24"/>
          <w:szCs w:val="24"/>
        </w:rPr>
        <w:t>, 2009</w:t>
      </w:r>
      <w:r w:rsidR="00C225EA" w:rsidRPr="00DB3115">
        <w:rPr>
          <w:rFonts w:ascii="Times New Roman" w:hAnsi="Times New Roman" w:cs="Times New Roman"/>
          <w:sz w:val="24"/>
          <w:szCs w:val="24"/>
        </w:rPr>
        <w:t>).</w:t>
      </w:r>
      <w:r w:rsidR="000D5B95">
        <w:rPr>
          <w:rFonts w:ascii="Times New Roman" w:hAnsi="Times New Roman" w:cs="Times New Roman"/>
          <w:sz w:val="24"/>
          <w:szCs w:val="24"/>
        </w:rPr>
        <w:t xml:space="preserve"> </w:t>
      </w:r>
      <w:r w:rsidRPr="00DB3115">
        <w:rPr>
          <w:rFonts w:ascii="Times New Roman" w:hAnsi="Times New Roman" w:cs="Times New Roman"/>
          <w:sz w:val="24"/>
          <w:szCs w:val="24"/>
        </w:rPr>
        <w:t>La respuesta metabólica en pacientes en estado crítico está caracterizada por notables incrementos en el gasto energético, catabolismo acelerado y cambi</w:t>
      </w:r>
      <w:r w:rsidR="00C225EA" w:rsidRPr="00DB3115">
        <w:rPr>
          <w:rFonts w:ascii="Times New Roman" w:hAnsi="Times New Roman" w:cs="Times New Roman"/>
          <w:sz w:val="24"/>
          <w:szCs w:val="24"/>
        </w:rPr>
        <w:t xml:space="preserve">os circulatorios </w:t>
      </w:r>
      <w:proofErr w:type="spellStart"/>
      <w:r w:rsidR="00C225EA" w:rsidRPr="00DB3115">
        <w:rPr>
          <w:rFonts w:ascii="Times New Roman" w:hAnsi="Times New Roman" w:cs="Times New Roman"/>
          <w:sz w:val="24"/>
          <w:szCs w:val="24"/>
        </w:rPr>
        <w:t>hiperdinámicos</w:t>
      </w:r>
      <w:proofErr w:type="spellEnd"/>
      <w:r w:rsidR="00C225EA" w:rsidRPr="00DB3115">
        <w:rPr>
          <w:rFonts w:ascii="Times New Roman" w:hAnsi="Times New Roman" w:cs="Times New Roman"/>
          <w:sz w:val="24"/>
          <w:szCs w:val="24"/>
        </w:rPr>
        <w:t xml:space="preserve"> (</w:t>
      </w:r>
      <w:r w:rsidR="00C82A17" w:rsidRPr="00DB3115">
        <w:rPr>
          <w:rFonts w:ascii="Times New Roman" w:hAnsi="Times New Roman" w:cs="Times New Roman"/>
          <w:bCs/>
          <w:sz w:val="24"/>
          <w:szCs w:val="24"/>
        </w:rPr>
        <w:t>Chávez</w:t>
      </w:r>
      <w:r w:rsidR="000D5B95">
        <w:rPr>
          <w:rFonts w:ascii="Times New Roman" w:hAnsi="Times New Roman" w:cs="Times New Roman"/>
          <w:bCs/>
          <w:sz w:val="24"/>
          <w:szCs w:val="24"/>
        </w:rPr>
        <w:t xml:space="preserve"> y</w:t>
      </w:r>
      <w:r w:rsidR="00C82A17" w:rsidRPr="00DB3115">
        <w:rPr>
          <w:rFonts w:ascii="Times New Roman" w:hAnsi="Times New Roman" w:cs="Times New Roman"/>
          <w:sz w:val="24"/>
          <w:szCs w:val="24"/>
        </w:rPr>
        <w:t xml:space="preserve"> </w:t>
      </w:r>
      <w:r w:rsidR="00C82A17" w:rsidRPr="00DB3115">
        <w:rPr>
          <w:rFonts w:ascii="Times New Roman" w:hAnsi="Times New Roman" w:cs="Times New Roman"/>
          <w:bCs/>
          <w:sz w:val="24"/>
          <w:szCs w:val="24"/>
        </w:rPr>
        <w:t>Sánchez</w:t>
      </w:r>
      <w:r w:rsidR="00C82A17">
        <w:rPr>
          <w:rFonts w:ascii="Times New Roman" w:hAnsi="Times New Roman" w:cs="Times New Roman"/>
          <w:bCs/>
          <w:sz w:val="24"/>
          <w:szCs w:val="24"/>
        </w:rPr>
        <w:t>, 2009</w:t>
      </w:r>
      <w:r w:rsidR="00C225EA" w:rsidRPr="00DB3115">
        <w:rPr>
          <w:rFonts w:ascii="Times New Roman" w:hAnsi="Times New Roman" w:cs="Times New Roman"/>
          <w:sz w:val="24"/>
          <w:szCs w:val="24"/>
        </w:rPr>
        <w:t>).</w:t>
      </w:r>
      <w:r w:rsidRPr="00DB3115">
        <w:rPr>
          <w:rFonts w:ascii="Times New Roman" w:hAnsi="Times New Roman" w:cs="Times New Roman"/>
          <w:sz w:val="24"/>
          <w:szCs w:val="24"/>
        </w:rPr>
        <w:t xml:space="preserve"> Si estos cambios persisten, </w:t>
      </w:r>
      <w:r w:rsidR="00C225EA" w:rsidRPr="00DB3115">
        <w:rPr>
          <w:rFonts w:ascii="Times New Roman" w:hAnsi="Times New Roman" w:cs="Times New Roman"/>
          <w:sz w:val="24"/>
          <w:szCs w:val="24"/>
        </w:rPr>
        <w:t>esta</w:t>
      </w:r>
      <w:r w:rsidRPr="00DB3115">
        <w:rPr>
          <w:rFonts w:ascii="Times New Roman" w:hAnsi="Times New Roman" w:cs="Times New Roman"/>
          <w:sz w:val="24"/>
          <w:szCs w:val="24"/>
        </w:rPr>
        <w:t xml:space="preserve"> respuesta puede conducir a una pérdida considerable de masa corporal, disfunción orgánica y disminución de las funciones c</w:t>
      </w:r>
      <w:r w:rsidR="00C225EA" w:rsidRPr="00DB3115">
        <w:rPr>
          <w:rFonts w:ascii="Times New Roman" w:hAnsi="Times New Roman" w:cs="Times New Roman"/>
          <w:sz w:val="24"/>
          <w:szCs w:val="24"/>
        </w:rPr>
        <w:t>orporales reparativas e inmunes (</w:t>
      </w:r>
      <w:r w:rsidR="00C82A17" w:rsidRPr="00DB3115">
        <w:rPr>
          <w:rFonts w:ascii="Times New Roman" w:hAnsi="Times New Roman" w:cs="Times New Roman"/>
          <w:sz w:val="24"/>
          <w:szCs w:val="24"/>
        </w:rPr>
        <w:t>Torres</w:t>
      </w:r>
      <w:r w:rsidR="00C82A17">
        <w:rPr>
          <w:rFonts w:ascii="Times New Roman" w:hAnsi="Times New Roman" w:cs="Times New Roman"/>
          <w:sz w:val="24"/>
          <w:szCs w:val="24"/>
        </w:rPr>
        <w:t xml:space="preserve"> </w:t>
      </w:r>
      <w:r w:rsidR="00C82A17" w:rsidRPr="003F3FAF">
        <w:rPr>
          <w:rFonts w:ascii="Times New Roman" w:hAnsi="Times New Roman" w:cs="Times New Roman"/>
          <w:i/>
          <w:iCs/>
          <w:sz w:val="24"/>
          <w:szCs w:val="24"/>
        </w:rPr>
        <w:t>et al</w:t>
      </w:r>
      <w:r w:rsidR="00C82A17">
        <w:rPr>
          <w:rFonts w:ascii="Times New Roman" w:hAnsi="Times New Roman" w:cs="Times New Roman"/>
          <w:sz w:val="24"/>
          <w:szCs w:val="24"/>
        </w:rPr>
        <w:t>., 2008;</w:t>
      </w:r>
      <w:r w:rsidR="00C82A17" w:rsidRPr="00C82A17">
        <w:rPr>
          <w:rFonts w:ascii="Times New Roman" w:hAnsi="Times New Roman" w:cs="Times New Roman"/>
          <w:sz w:val="24"/>
          <w:szCs w:val="24"/>
        </w:rPr>
        <w:t xml:space="preserve"> </w:t>
      </w:r>
      <w:r w:rsidR="00C82A17" w:rsidRPr="00DB3115">
        <w:rPr>
          <w:rFonts w:ascii="Times New Roman" w:hAnsi="Times New Roman" w:cs="Times New Roman"/>
          <w:sz w:val="24"/>
          <w:szCs w:val="24"/>
        </w:rPr>
        <w:t>Rodríguez</w:t>
      </w:r>
      <w:r w:rsidR="00C82A17">
        <w:rPr>
          <w:rFonts w:ascii="Times New Roman" w:hAnsi="Times New Roman" w:cs="Times New Roman"/>
          <w:sz w:val="24"/>
          <w:szCs w:val="24"/>
        </w:rPr>
        <w:t>, 2012</w:t>
      </w:r>
      <w:r w:rsidR="00C225EA" w:rsidRPr="00DB3115">
        <w:rPr>
          <w:rFonts w:ascii="Times New Roman" w:hAnsi="Times New Roman" w:cs="Times New Roman"/>
          <w:sz w:val="24"/>
          <w:szCs w:val="24"/>
        </w:rPr>
        <w:t xml:space="preserve">). </w:t>
      </w:r>
      <w:r w:rsidRPr="00DB3115">
        <w:rPr>
          <w:rFonts w:ascii="Times New Roman" w:hAnsi="Times New Roman" w:cs="Times New Roman"/>
          <w:sz w:val="24"/>
          <w:szCs w:val="24"/>
        </w:rPr>
        <w:t>Tales procesos, especialmente si son exagerados, pueden producir malnutrición calórico-proteica, mayor morbilidad infecciosa, prolongada dependencia del ventilador, mayor estancia hospitalari</w:t>
      </w:r>
      <w:r w:rsidR="00C225EA" w:rsidRPr="00DB3115">
        <w:rPr>
          <w:rFonts w:ascii="Times New Roman" w:hAnsi="Times New Roman" w:cs="Times New Roman"/>
          <w:sz w:val="24"/>
          <w:szCs w:val="24"/>
        </w:rPr>
        <w:t>a e incremento en la mortalidad (</w:t>
      </w:r>
      <w:proofErr w:type="spellStart"/>
      <w:r w:rsidR="00C82A17" w:rsidRPr="00DB3115">
        <w:rPr>
          <w:rFonts w:ascii="Times New Roman" w:hAnsi="Times New Roman" w:cs="Times New Roman"/>
          <w:sz w:val="24"/>
          <w:szCs w:val="24"/>
        </w:rPr>
        <w:t>Kompan</w:t>
      </w:r>
      <w:proofErr w:type="spellEnd"/>
      <w:r w:rsidR="00C82A17" w:rsidRPr="00DB3115">
        <w:rPr>
          <w:rFonts w:ascii="Times New Roman" w:hAnsi="Times New Roman" w:cs="Times New Roman"/>
          <w:sz w:val="24"/>
          <w:szCs w:val="24"/>
        </w:rPr>
        <w:t xml:space="preserve">, </w:t>
      </w:r>
      <w:proofErr w:type="spellStart"/>
      <w:r w:rsidR="00C82A17" w:rsidRPr="00DB3115">
        <w:rPr>
          <w:rFonts w:ascii="Times New Roman" w:hAnsi="Times New Roman" w:cs="Times New Roman"/>
          <w:sz w:val="24"/>
          <w:szCs w:val="24"/>
        </w:rPr>
        <w:t>Kremzar</w:t>
      </w:r>
      <w:proofErr w:type="spellEnd"/>
      <w:r w:rsidR="00604F20">
        <w:rPr>
          <w:rFonts w:ascii="Times New Roman" w:hAnsi="Times New Roman" w:cs="Times New Roman"/>
          <w:sz w:val="24"/>
          <w:szCs w:val="24"/>
        </w:rPr>
        <w:t xml:space="preserve"> y</w:t>
      </w:r>
      <w:r w:rsidR="00C82A17" w:rsidRPr="00DB3115">
        <w:rPr>
          <w:rFonts w:ascii="Times New Roman" w:hAnsi="Times New Roman" w:cs="Times New Roman"/>
          <w:sz w:val="24"/>
          <w:szCs w:val="24"/>
        </w:rPr>
        <w:t xml:space="preserve"> </w:t>
      </w:r>
      <w:proofErr w:type="spellStart"/>
      <w:r w:rsidR="00C82A17" w:rsidRPr="00DB3115">
        <w:rPr>
          <w:rFonts w:ascii="Times New Roman" w:hAnsi="Times New Roman" w:cs="Times New Roman"/>
          <w:sz w:val="24"/>
          <w:szCs w:val="24"/>
        </w:rPr>
        <w:t>Gardzijev</w:t>
      </w:r>
      <w:proofErr w:type="spellEnd"/>
      <w:r w:rsidR="00C82A17">
        <w:rPr>
          <w:rFonts w:ascii="Times New Roman" w:hAnsi="Times New Roman" w:cs="Times New Roman"/>
          <w:sz w:val="24"/>
          <w:szCs w:val="24"/>
        </w:rPr>
        <w:t xml:space="preserve">, 1999; </w:t>
      </w:r>
      <w:proofErr w:type="spellStart"/>
      <w:r w:rsidR="00C82A17" w:rsidRPr="00C82A17">
        <w:rPr>
          <w:rFonts w:ascii="Times New Roman" w:hAnsi="Times New Roman" w:cs="Times New Roman"/>
          <w:sz w:val="24"/>
          <w:szCs w:val="24"/>
        </w:rPr>
        <w:t>Omura</w:t>
      </w:r>
      <w:proofErr w:type="spellEnd"/>
      <w:r w:rsidR="00C82A17" w:rsidRPr="00C82A17">
        <w:rPr>
          <w:rFonts w:ascii="Times New Roman" w:hAnsi="Times New Roman" w:cs="Times New Roman"/>
          <w:sz w:val="24"/>
          <w:szCs w:val="24"/>
        </w:rPr>
        <w:t>,</w:t>
      </w:r>
      <w:r w:rsidR="00C82A17">
        <w:rPr>
          <w:rFonts w:ascii="Times New Roman" w:hAnsi="Times New Roman" w:cs="Times New Roman"/>
          <w:sz w:val="24"/>
          <w:szCs w:val="24"/>
        </w:rPr>
        <w:t xml:space="preserve"> 2000</w:t>
      </w:r>
      <w:r w:rsidR="00C225EA" w:rsidRPr="00DB3115">
        <w:rPr>
          <w:rFonts w:ascii="Times New Roman" w:hAnsi="Times New Roman" w:cs="Times New Roman"/>
          <w:sz w:val="24"/>
          <w:szCs w:val="24"/>
        </w:rPr>
        <w:t>).</w:t>
      </w:r>
    </w:p>
    <w:p w14:paraId="1D7A84ED" w14:textId="3B5F1BE8" w:rsidR="006D63A5" w:rsidRPr="00DB3115" w:rsidRDefault="006D63A5" w:rsidP="003F3FAF">
      <w:pPr>
        <w:autoSpaceDE w:val="0"/>
        <w:autoSpaceDN w:val="0"/>
        <w:adjustRightInd w:val="0"/>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t>Estos hallazgos han ocasionado un cambio en la orientación de la terapia nutricional</w:t>
      </w:r>
      <w:r w:rsidR="00604F20">
        <w:rPr>
          <w:rFonts w:ascii="Times New Roman" w:hAnsi="Times New Roman" w:cs="Times New Roman"/>
          <w:sz w:val="24"/>
          <w:szCs w:val="24"/>
        </w:rPr>
        <w:t>:</w:t>
      </w:r>
      <w:r w:rsidR="00604F20" w:rsidRPr="00DB3115">
        <w:rPr>
          <w:rFonts w:ascii="Times New Roman" w:hAnsi="Times New Roman" w:cs="Times New Roman"/>
          <w:sz w:val="24"/>
          <w:szCs w:val="24"/>
        </w:rPr>
        <w:t xml:space="preserve"> </w:t>
      </w:r>
      <w:r w:rsidRPr="00DB3115">
        <w:rPr>
          <w:rFonts w:ascii="Times New Roman" w:hAnsi="Times New Roman" w:cs="Times New Roman"/>
          <w:sz w:val="24"/>
          <w:szCs w:val="24"/>
        </w:rPr>
        <w:t>de simplemente ser un soporte en un estado hipermetabólico y alcanzar los requerimientos nutricionales a tener la oportunidad de manipular la respuesta inflamatoria e inmune local y sistémica</w:t>
      </w:r>
      <w:r w:rsidR="00C225EA" w:rsidRPr="00DB3115">
        <w:rPr>
          <w:rFonts w:ascii="Times New Roman" w:hAnsi="Times New Roman" w:cs="Times New Roman"/>
          <w:sz w:val="24"/>
          <w:szCs w:val="24"/>
        </w:rPr>
        <w:t xml:space="preserve"> </w:t>
      </w:r>
      <w:r w:rsidR="00443460">
        <w:rPr>
          <w:rFonts w:ascii="Times New Roman" w:hAnsi="Times New Roman" w:cs="Times New Roman"/>
          <w:sz w:val="24"/>
          <w:szCs w:val="24"/>
        </w:rPr>
        <w:t>(</w:t>
      </w:r>
      <w:proofErr w:type="spellStart"/>
      <w:r w:rsidR="00443460" w:rsidRPr="00DB3115">
        <w:rPr>
          <w:rFonts w:ascii="Times New Roman" w:hAnsi="Times New Roman" w:cs="Times New Roman"/>
          <w:sz w:val="24"/>
          <w:szCs w:val="24"/>
        </w:rPr>
        <w:t>Seron</w:t>
      </w:r>
      <w:proofErr w:type="spellEnd"/>
      <w:r w:rsidR="00443460" w:rsidRPr="00DB3115">
        <w:rPr>
          <w:rFonts w:ascii="Times New Roman" w:hAnsi="Times New Roman" w:cs="Times New Roman"/>
          <w:sz w:val="24"/>
          <w:szCs w:val="24"/>
        </w:rPr>
        <w:t>, Zamora, Labarta</w:t>
      </w:r>
      <w:r w:rsidR="00604F20">
        <w:rPr>
          <w:rFonts w:ascii="Times New Roman" w:hAnsi="Times New Roman" w:cs="Times New Roman"/>
          <w:sz w:val="24"/>
          <w:szCs w:val="24"/>
        </w:rPr>
        <w:t xml:space="preserve"> y</w:t>
      </w:r>
      <w:r w:rsidR="00443460" w:rsidRPr="00DB3115">
        <w:rPr>
          <w:rFonts w:ascii="Times New Roman" w:hAnsi="Times New Roman" w:cs="Times New Roman"/>
          <w:sz w:val="24"/>
          <w:szCs w:val="24"/>
        </w:rPr>
        <w:t xml:space="preserve"> </w:t>
      </w:r>
      <w:proofErr w:type="spellStart"/>
      <w:r w:rsidR="00443460" w:rsidRPr="00DB3115">
        <w:rPr>
          <w:rFonts w:ascii="Times New Roman" w:hAnsi="Times New Roman" w:cs="Times New Roman"/>
          <w:sz w:val="24"/>
          <w:szCs w:val="24"/>
        </w:rPr>
        <w:t>Mallor</w:t>
      </w:r>
      <w:proofErr w:type="spellEnd"/>
      <w:r w:rsidR="00604F20">
        <w:rPr>
          <w:rFonts w:ascii="Times New Roman" w:hAnsi="Times New Roman" w:cs="Times New Roman"/>
          <w:sz w:val="24"/>
          <w:szCs w:val="24"/>
        </w:rPr>
        <w:t>,</w:t>
      </w:r>
      <w:r w:rsidR="00443460" w:rsidRPr="00DB3115">
        <w:rPr>
          <w:rFonts w:ascii="Times New Roman" w:hAnsi="Times New Roman" w:cs="Times New Roman"/>
          <w:sz w:val="24"/>
          <w:szCs w:val="24"/>
        </w:rPr>
        <w:t xml:space="preserve"> </w:t>
      </w:r>
      <w:r w:rsidR="00443460" w:rsidRPr="00443460">
        <w:rPr>
          <w:rFonts w:ascii="Times New Roman" w:hAnsi="Times New Roman" w:cs="Times New Roman"/>
          <w:color w:val="000000" w:themeColor="text1"/>
          <w:sz w:val="24"/>
          <w:szCs w:val="24"/>
        </w:rPr>
        <w:t xml:space="preserve">2013; </w:t>
      </w:r>
      <w:r w:rsidR="00443460" w:rsidRPr="00DB3115">
        <w:rPr>
          <w:rFonts w:ascii="Times New Roman" w:hAnsi="Times New Roman" w:cs="Times New Roman"/>
          <w:iCs/>
          <w:sz w:val="24"/>
          <w:szCs w:val="24"/>
        </w:rPr>
        <w:t xml:space="preserve">Hernández </w:t>
      </w:r>
      <w:r w:rsidR="00604F20">
        <w:rPr>
          <w:rFonts w:ascii="Times New Roman" w:hAnsi="Times New Roman" w:cs="Times New Roman"/>
          <w:iCs/>
          <w:sz w:val="24"/>
          <w:szCs w:val="24"/>
        </w:rPr>
        <w:t>y</w:t>
      </w:r>
      <w:r w:rsidR="00443460" w:rsidRPr="00DB3115">
        <w:rPr>
          <w:rFonts w:ascii="Times New Roman" w:hAnsi="Times New Roman" w:cs="Times New Roman"/>
          <w:sz w:val="24"/>
          <w:szCs w:val="24"/>
        </w:rPr>
        <w:t xml:space="preserve"> </w:t>
      </w:r>
      <w:r w:rsidR="00443460" w:rsidRPr="00DB3115">
        <w:rPr>
          <w:rFonts w:ascii="Times New Roman" w:hAnsi="Times New Roman" w:cs="Times New Roman"/>
          <w:iCs/>
          <w:sz w:val="24"/>
          <w:szCs w:val="24"/>
        </w:rPr>
        <w:t>Chávez</w:t>
      </w:r>
      <w:r w:rsidR="00443460">
        <w:rPr>
          <w:rFonts w:ascii="Times New Roman" w:hAnsi="Times New Roman" w:cs="Times New Roman"/>
          <w:sz w:val="24"/>
          <w:szCs w:val="24"/>
        </w:rPr>
        <w:t>, 2008).</w:t>
      </w:r>
    </w:p>
    <w:p w14:paraId="2905F6FA" w14:textId="77777777" w:rsidR="00C2461C" w:rsidRDefault="00C2461C" w:rsidP="003F3FAF">
      <w:pPr>
        <w:autoSpaceDE w:val="0"/>
        <w:autoSpaceDN w:val="0"/>
        <w:adjustRightInd w:val="0"/>
        <w:spacing w:after="0" w:line="360" w:lineRule="auto"/>
        <w:ind w:right="49" w:firstLine="708"/>
        <w:jc w:val="both"/>
        <w:rPr>
          <w:rFonts w:ascii="Times New Roman" w:hAnsi="Times New Roman" w:cs="Times New Roman"/>
          <w:sz w:val="24"/>
          <w:szCs w:val="24"/>
        </w:rPr>
      </w:pPr>
    </w:p>
    <w:p w14:paraId="004A4A00" w14:textId="5114C7AE" w:rsidR="006D63A5" w:rsidRPr="00DB3115" w:rsidRDefault="006D63A5" w:rsidP="003F3FAF">
      <w:pPr>
        <w:autoSpaceDE w:val="0"/>
        <w:autoSpaceDN w:val="0"/>
        <w:adjustRightInd w:val="0"/>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lastRenderedPageBreak/>
        <w:t xml:space="preserve">Las implicaciones de la terapia nutricional no son exclusivamente dietéticas, sino también un medio farmacológico a través del cual se mejora la función y estructura intestinal (con lo que se limita la progresión de la falla orgánica múltiple), un medio para mejorar la respuesta inmune y modificar la respuesta </w:t>
      </w:r>
      <w:r w:rsidR="00C225EA" w:rsidRPr="00DB3115">
        <w:rPr>
          <w:rFonts w:ascii="Times New Roman" w:hAnsi="Times New Roman" w:cs="Times New Roman"/>
          <w:sz w:val="24"/>
          <w:szCs w:val="24"/>
        </w:rPr>
        <w:t xml:space="preserve">inflamatoria </w:t>
      </w:r>
      <w:r w:rsidR="00443460">
        <w:rPr>
          <w:rFonts w:ascii="Times New Roman" w:hAnsi="Times New Roman" w:cs="Times New Roman"/>
          <w:sz w:val="24"/>
          <w:szCs w:val="24"/>
        </w:rPr>
        <w:t>(</w:t>
      </w:r>
      <w:proofErr w:type="spellStart"/>
      <w:r w:rsidR="002F4269" w:rsidRPr="00443460">
        <w:rPr>
          <w:rFonts w:ascii="Times New Roman" w:eastAsia="Times New Roman" w:hAnsi="Times New Roman" w:cs="Times New Roman"/>
          <w:sz w:val="24"/>
          <w:szCs w:val="24"/>
        </w:rPr>
        <w:t>Helmy</w:t>
      </w:r>
      <w:proofErr w:type="spellEnd"/>
      <w:r w:rsidR="00443460" w:rsidRPr="00443460">
        <w:rPr>
          <w:rFonts w:ascii="Times New Roman" w:eastAsia="Times New Roman" w:hAnsi="Times New Roman" w:cs="Times New Roman"/>
          <w:sz w:val="24"/>
          <w:szCs w:val="24"/>
        </w:rPr>
        <w:t>, </w:t>
      </w:r>
      <w:proofErr w:type="spellStart"/>
      <w:r w:rsidR="002F4269" w:rsidRPr="00443460">
        <w:rPr>
          <w:rFonts w:ascii="Times New Roman" w:eastAsia="Times New Roman" w:hAnsi="Times New Roman" w:cs="Times New Roman"/>
          <w:sz w:val="24"/>
          <w:szCs w:val="24"/>
        </w:rPr>
        <w:t>Vizcaychipi</w:t>
      </w:r>
      <w:proofErr w:type="spellEnd"/>
      <w:r w:rsidR="002F4269">
        <w:rPr>
          <w:rFonts w:ascii="Times New Roman" w:eastAsia="Times New Roman" w:hAnsi="Times New Roman" w:cs="Times New Roman"/>
          <w:sz w:val="24"/>
          <w:szCs w:val="24"/>
        </w:rPr>
        <w:t xml:space="preserve"> y</w:t>
      </w:r>
      <w:r w:rsidR="00443460" w:rsidRPr="00443460">
        <w:rPr>
          <w:rFonts w:ascii="Times New Roman" w:hAnsi="Times New Roman" w:cs="Times New Roman"/>
          <w:sz w:val="24"/>
          <w:szCs w:val="24"/>
        </w:rPr>
        <w:t xml:space="preserve"> </w:t>
      </w:r>
      <w:proofErr w:type="spellStart"/>
      <w:r w:rsidR="002F4269" w:rsidRPr="00443460">
        <w:rPr>
          <w:rFonts w:ascii="Times New Roman" w:eastAsia="Times New Roman" w:hAnsi="Times New Roman" w:cs="Times New Roman"/>
          <w:sz w:val="24"/>
          <w:szCs w:val="24"/>
        </w:rPr>
        <w:t>Gupta</w:t>
      </w:r>
      <w:proofErr w:type="spellEnd"/>
      <w:r w:rsidR="00443460">
        <w:rPr>
          <w:rFonts w:ascii="Times New Roman" w:eastAsia="Times New Roman" w:hAnsi="Times New Roman" w:cs="Times New Roman"/>
          <w:sz w:val="24"/>
          <w:szCs w:val="24"/>
        </w:rPr>
        <w:t xml:space="preserve"> </w:t>
      </w:r>
      <w:r w:rsidR="00443460" w:rsidRPr="00443460">
        <w:rPr>
          <w:rFonts w:ascii="Times New Roman" w:eastAsia="Times New Roman" w:hAnsi="Times New Roman" w:cs="Times New Roman"/>
          <w:sz w:val="24"/>
          <w:szCs w:val="24"/>
        </w:rPr>
        <w:t>2007</w:t>
      </w:r>
      <w:r w:rsidR="00443460">
        <w:rPr>
          <w:rFonts w:ascii="Times New Roman" w:hAnsi="Times New Roman" w:cs="Times New Roman"/>
          <w:sz w:val="24"/>
          <w:szCs w:val="24"/>
        </w:rPr>
        <w:t xml:space="preserve">; </w:t>
      </w:r>
      <w:r w:rsidR="00257844" w:rsidRPr="00865610">
        <w:rPr>
          <w:rFonts w:ascii="Times New Roman" w:hAnsi="Times New Roman" w:cs="Times New Roman"/>
          <w:sz w:val="24"/>
          <w:szCs w:val="24"/>
        </w:rPr>
        <w:t>Wang</w:t>
      </w:r>
      <w:r w:rsidR="00B35AEC" w:rsidRPr="00865610">
        <w:rPr>
          <w:rFonts w:ascii="Times New Roman" w:hAnsi="Times New Roman" w:cs="Times New Roman"/>
          <w:sz w:val="24"/>
          <w:szCs w:val="24"/>
        </w:rPr>
        <w:t xml:space="preserve"> </w:t>
      </w:r>
      <w:r w:rsidR="00B35AEC" w:rsidRPr="00865610">
        <w:rPr>
          <w:rFonts w:ascii="Times New Roman" w:hAnsi="Times New Roman" w:cs="Times New Roman"/>
          <w:i/>
          <w:iCs/>
          <w:sz w:val="24"/>
          <w:szCs w:val="24"/>
        </w:rPr>
        <w:t>et al</w:t>
      </w:r>
      <w:r w:rsidR="00B35AEC">
        <w:rPr>
          <w:rFonts w:ascii="Times New Roman" w:hAnsi="Times New Roman" w:cs="Times New Roman"/>
          <w:i/>
          <w:iCs/>
          <w:sz w:val="24"/>
          <w:szCs w:val="24"/>
        </w:rPr>
        <w:t>.</w:t>
      </w:r>
      <w:r w:rsidR="00443460" w:rsidRPr="00443460">
        <w:rPr>
          <w:rFonts w:ascii="Times New Roman" w:hAnsi="Times New Roman" w:cs="Times New Roman"/>
          <w:sz w:val="24"/>
          <w:szCs w:val="24"/>
        </w:rPr>
        <w:t>,</w:t>
      </w:r>
      <w:r w:rsidR="00443460">
        <w:rPr>
          <w:rFonts w:ascii="Times New Roman" w:hAnsi="Times New Roman" w:cs="Times New Roman"/>
          <w:sz w:val="24"/>
          <w:szCs w:val="24"/>
        </w:rPr>
        <w:t xml:space="preserve"> 2013)</w:t>
      </w:r>
      <w:r w:rsidR="00C225EA" w:rsidRPr="00DB3115">
        <w:rPr>
          <w:rFonts w:ascii="Times New Roman" w:hAnsi="Times New Roman" w:cs="Times New Roman"/>
          <w:sz w:val="24"/>
          <w:szCs w:val="24"/>
        </w:rPr>
        <w:t>.</w:t>
      </w:r>
    </w:p>
    <w:p w14:paraId="35E93F24" w14:textId="40AFE4E3" w:rsidR="00937E38" w:rsidRPr="00443460" w:rsidRDefault="006D63A5" w:rsidP="003F3FAF">
      <w:pPr>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t>Dos terceras partes de todos los pacientes experimentan deterioro de su estado nutricional d</w:t>
      </w:r>
      <w:r w:rsidR="00C225EA" w:rsidRPr="00DB3115">
        <w:rPr>
          <w:rFonts w:ascii="Times New Roman" w:hAnsi="Times New Roman" w:cs="Times New Roman"/>
          <w:sz w:val="24"/>
          <w:szCs w:val="24"/>
        </w:rPr>
        <w:t>urante su estancia hospitalaria (</w:t>
      </w:r>
      <w:proofErr w:type="spellStart"/>
      <w:r w:rsidR="00443460" w:rsidRPr="00DB3115">
        <w:rPr>
          <w:rFonts w:ascii="Times New Roman" w:hAnsi="Times New Roman" w:cs="Times New Roman"/>
          <w:sz w:val="24"/>
          <w:szCs w:val="24"/>
        </w:rPr>
        <w:t>Ninska</w:t>
      </w:r>
      <w:proofErr w:type="spellEnd"/>
      <w:r w:rsidR="00443460" w:rsidRPr="00DB3115">
        <w:rPr>
          <w:rFonts w:ascii="Times New Roman" w:hAnsi="Times New Roman" w:cs="Times New Roman"/>
          <w:sz w:val="24"/>
          <w:szCs w:val="24"/>
        </w:rPr>
        <w:t xml:space="preserve"> de la Hoz, Camargo </w:t>
      </w:r>
      <w:r w:rsidR="00B35AEC">
        <w:rPr>
          <w:rFonts w:ascii="Times New Roman" w:hAnsi="Times New Roman" w:cs="Times New Roman"/>
          <w:sz w:val="24"/>
          <w:szCs w:val="24"/>
        </w:rPr>
        <w:t>y</w:t>
      </w:r>
      <w:r w:rsidR="00443460" w:rsidRPr="00DB3115">
        <w:rPr>
          <w:rFonts w:ascii="Times New Roman" w:hAnsi="Times New Roman" w:cs="Times New Roman"/>
          <w:sz w:val="24"/>
          <w:szCs w:val="24"/>
        </w:rPr>
        <w:t xml:space="preserve"> Vargas</w:t>
      </w:r>
      <w:r w:rsidR="00443460">
        <w:rPr>
          <w:rFonts w:ascii="Times New Roman" w:hAnsi="Times New Roman" w:cs="Times New Roman"/>
          <w:sz w:val="24"/>
          <w:szCs w:val="24"/>
        </w:rPr>
        <w:t>, 2013</w:t>
      </w:r>
      <w:r w:rsidR="00C225EA" w:rsidRPr="00DB3115">
        <w:rPr>
          <w:rFonts w:ascii="Times New Roman" w:hAnsi="Times New Roman" w:cs="Times New Roman"/>
          <w:sz w:val="24"/>
          <w:szCs w:val="24"/>
        </w:rPr>
        <w:t>).</w:t>
      </w:r>
      <w:r w:rsidRPr="00DB3115">
        <w:rPr>
          <w:rFonts w:ascii="Times New Roman" w:hAnsi="Times New Roman" w:cs="Times New Roman"/>
          <w:sz w:val="24"/>
          <w:szCs w:val="24"/>
        </w:rPr>
        <w:t xml:space="preserve"> La enfermedad aguda exacerba el pobre estado nutricional del paciente al aumentar las demandas metabólicas y dificultar la utilización de los sustratos nutricionales. </w:t>
      </w:r>
      <w:r w:rsidR="00B41310">
        <w:rPr>
          <w:rFonts w:ascii="Times New Roman" w:hAnsi="Times New Roman" w:cs="Times New Roman"/>
          <w:sz w:val="24"/>
          <w:szCs w:val="24"/>
        </w:rPr>
        <w:t>En nuestro caso, l</w:t>
      </w:r>
      <w:r w:rsidRPr="00DB3115">
        <w:rPr>
          <w:rFonts w:ascii="Times New Roman" w:hAnsi="Times New Roman" w:cs="Times New Roman"/>
          <w:sz w:val="24"/>
          <w:szCs w:val="24"/>
        </w:rPr>
        <w:t xml:space="preserve">os pacientes en estado crítico frecuentemente reciben un inadecuado soporte nutricional durante su estancia en la </w:t>
      </w:r>
      <w:r w:rsidR="00C65158" w:rsidRPr="00DB3115">
        <w:rPr>
          <w:rFonts w:ascii="Times New Roman" w:hAnsi="Times New Roman" w:cs="Times New Roman"/>
          <w:sz w:val="24"/>
          <w:szCs w:val="24"/>
        </w:rPr>
        <w:t xml:space="preserve">unidad de cuidados intensivos </w:t>
      </w:r>
      <w:r w:rsidRPr="00DB3115">
        <w:rPr>
          <w:rFonts w:ascii="Times New Roman" w:hAnsi="Times New Roman" w:cs="Times New Roman"/>
          <w:sz w:val="24"/>
          <w:szCs w:val="24"/>
        </w:rPr>
        <w:t xml:space="preserve">(UCI), debido a que los médicos subestiman sus necesidades </w:t>
      </w:r>
      <w:r w:rsidR="00937E38" w:rsidRPr="00DB3115">
        <w:rPr>
          <w:rFonts w:ascii="Times New Roman" w:hAnsi="Times New Roman" w:cs="Times New Roman"/>
          <w:sz w:val="24"/>
          <w:szCs w:val="24"/>
        </w:rPr>
        <w:t>nutricionales</w:t>
      </w:r>
      <w:r w:rsidR="00937E38">
        <w:rPr>
          <w:rFonts w:ascii="Times New Roman" w:hAnsi="Times New Roman" w:cs="Times New Roman"/>
          <w:sz w:val="24"/>
          <w:szCs w:val="24"/>
        </w:rPr>
        <w:t xml:space="preserve">, </w:t>
      </w:r>
      <w:r w:rsidR="00937E38" w:rsidRPr="00DB3115">
        <w:rPr>
          <w:rFonts w:ascii="Times New Roman" w:hAnsi="Times New Roman" w:cs="Times New Roman"/>
          <w:sz w:val="24"/>
          <w:szCs w:val="24"/>
        </w:rPr>
        <w:t>aunado</w:t>
      </w:r>
      <w:r w:rsidR="00937E38">
        <w:rPr>
          <w:rFonts w:ascii="Times New Roman" w:hAnsi="Times New Roman" w:cs="Times New Roman"/>
          <w:sz w:val="24"/>
          <w:szCs w:val="24"/>
        </w:rPr>
        <w:t xml:space="preserve"> a que las dietas enterales con </w:t>
      </w:r>
      <w:proofErr w:type="spellStart"/>
      <w:r w:rsidR="00937E38">
        <w:rPr>
          <w:rFonts w:ascii="Times New Roman" w:hAnsi="Times New Roman" w:cs="Times New Roman"/>
          <w:sz w:val="24"/>
          <w:szCs w:val="24"/>
        </w:rPr>
        <w:t>inmunonutrientes</w:t>
      </w:r>
      <w:proofErr w:type="spellEnd"/>
      <w:r w:rsidR="00937E38">
        <w:rPr>
          <w:rFonts w:ascii="Times New Roman" w:hAnsi="Times New Roman" w:cs="Times New Roman"/>
          <w:sz w:val="24"/>
          <w:szCs w:val="24"/>
        </w:rPr>
        <w:t xml:space="preserve"> no se contemplan </w:t>
      </w:r>
      <w:r w:rsidR="00937E38" w:rsidRPr="00832424">
        <w:rPr>
          <w:rFonts w:ascii="Times New Roman" w:hAnsi="Times New Roman" w:cs="Times New Roman"/>
          <w:sz w:val="24"/>
          <w:szCs w:val="24"/>
        </w:rPr>
        <w:t>dentro del cuadro básico de medicamentos de las instituciones de salud, lo que implica un gasto para el paciente</w:t>
      </w:r>
      <w:r w:rsidR="00C65158">
        <w:rPr>
          <w:rFonts w:ascii="Times New Roman" w:hAnsi="Times New Roman" w:cs="Times New Roman"/>
          <w:sz w:val="24"/>
          <w:szCs w:val="24"/>
        </w:rPr>
        <w:t>;</w:t>
      </w:r>
      <w:r w:rsidR="00C65158" w:rsidRPr="00832424">
        <w:rPr>
          <w:rFonts w:ascii="Times New Roman" w:hAnsi="Times New Roman" w:cs="Times New Roman"/>
          <w:sz w:val="24"/>
          <w:szCs w:val="24"/>
        </w:rPr>
        <w:t xml:space="preserve"> </w:t>
      </w:r>
      <w:r w:rsidR="00937E38" w:rsidRPr="00832424">
        <w:rPr>
          <w:rFonts w:ascii="Times New Roman" w:hAnsi="Times New Roman" w:cs="Times New Roman"/>
          <w:sz w:val="24"/>
          <w:szCs w:val="24"/>
        </w:rPr>
        <w:t xml:space="preserve">motivos por los cuales </w:t>
      </w:r>
      <w:r w:rsidR="00937E38" w:rsidRPr="00DB3115">
        <w:rPr>
          <w:rFonts w:ascii="Times New Roman" w:hAnsi="Times New Roman" w:cs="Times New Roman"/>
          <w:sz w:val="24"/>
          <w:szCs w:val="24"/>
        </w:rPr>
        <w:t>el</w:t>
      </w:r>
      <w:r w:rsidRPr="00DB3115">
        <w:rPr>
          <w:rFonts w:ascii="Times New Roman" w:hAnsi="Times New Roman" w:cs="Times New Roman"/>
          <w:sz w:val="24"/>
          <w:szCs w:val="24"/>
        </w:rPr>
        <w:t xml:space="preserve"> inicio del apo</w:t>
      </w:r>
      <w:r w:rsidR="00C225EA" w:rsidRPr="00DB3115">
        <w:rPr>
          <w:rFonts w:ascii="Times New Roman" w:hAnsi="Times New Roman" w:cs="Times New Roman"/>
          <w:sz w:val="24"/>
          <w:szCs w:val="24"/>
        </w:rPr>
        <w:t>yo nutricio a menudo se retrasa</w:t>
      </w:r>
      <w:r w:rsidR="00C65158">
        <w:rPr>
          <w:rFonts w:ascii="Times New Roman" w:hAnsi="Times New Roman" w:cs="Times New Roman"/>
          <w:sz w:val="24"/>
          <w:szCs w:val="24"/>
        </w:rPr>
        <w:t>. A</w:t>
      </w:r>
      <w:r w:rsidR="00C65158" w:rsidRPr="00832424">
        <w:rPr>
          <w:rFonts w:ascii="Times New Roman" w:hAnsi="Times New Roman" w:cs="Times New Roman"/>
          <w:sz w:val="24"/>
          <w:szCs w:val="24"/>
        </w:rPr>
        <w:t>demás</w:t>
      </w:r>
      <w:r w:rsidR="00443460" w:rsidRPr="00832424">
        <w:rPr>
          <w:rFonts w:ascii="Times New Roman" w:hAnsi="Times New Roman" w:cs="Times New Roman"/>
          <w:sz w:val="24"/>
          <w:szCs w:val="24"/>
        </w:rPr>
        <w:t xml:space="preserve">, no se lleva un registro de los beneficios de la </w:t>
      </w:r>
      <w:r w:rsidR="00C65158" w:rsidRPr="00DB3115">
        <w:rPr>
          <w:rFonts w:ascii="Times New Roman" w:hAnsi="Times New Roman" w:cs="Times New Roman"/>
          <w:sz w:val="24"/>
          <w:szCs w:val="24"/>
        </w:rPr>
        <w:t xml:space="preserve">nutrición enteral temprana con </w:t>
      </w:r>
      <w:proofErr w:type="spellStart"/>
      <w:r w:rsidR="00C65158" w:rsidRPr="00DB3115">
        <w:rPr>
          <w:rFonts w:ascii="Times New Roman" w:hAnsi="Times New Roman" w:cs="Times New Roman"/>
          <w:sz w:val="24"/>
          <w:szCs w:val="24"/>
        </w:rPr>
        <w:t>inmunonutrientes</w:t>
      </w:r>
      <w:proofErr w:type="spellEnd"/>
      <w:r w:rsidR="00C65158" w:rsidRPr="00832424" w:rsidDel="00C65158">
        <w:rPr>
          <w:rFonts w:ascii="Times New Roman" w:hAnsi="Times New Roman" w:cs="Times New Roman"/>
          <w:sz w:val="24"/>
          <w:szCs w:val="24"/>
        </w:rPr>
        <w:t xml:space="preserve"> </w:t>
      </w:r>
      <w:r w:rsidR="00C65158">
        <w:rPr>
          <w:rFonts w:ascii="Times New Roman" w:hAnsi="Times New Roman" w:cs="Times New Roman"/>
          <w:sz w:val="24"/>
          <w:szCs w:val="24"/>
        </w:rPr>
        <w:t>(NETI)</w:t>
      </w:r>
      <w:r w:rsidR="00443460" w:rsidRPr="00832424">
        <w:rPr>
          <w:rFonts w:ascii="Times New Roman" w:hAnsi="Times New Roman" w:cs="Times New Roman"/>
          <w:sz w:val="24"/>
          <w:szCs w:val="24"/>
        </w:rPr>
        <w:t>, lo que hace que el médico no lo considere necesario</w:t>
      </w:r>
      <w:r w:rsidR="00443460" w:rsidRPr="00832424">
        <w:rPr>
          <w:rFonts w:ascii="Times New Roman" w:hAnsi="Times New Roman" w:cs="Times New Roman"/>
          <w:color w:val="FF0000"/>
          <w:sz w:val="24"/>
          <w:szCs w:val="24"/>
        </w:rPr>
        <w:t xml:space="preserve"> </w:t>
      </w:r>
      <w:r w:rsidR="00C225EA" w:rsidRPr="00DB3115">
        <w:rPr>
          <w:rFonts w:ascii="Times New Roman" w:hAnsi="Times New Roman" w:cs="Times New Roman"/>
          <w:sz w:val="24"/>
          <w:szCs w:val="24"/>
        </w:rPr>
        <w:t>(</w:t>
      </w:r>
      <w:r w:rsidR="00443460" w:rsidRPr="00DB3115">
        <w:rPr>
          <w:rFonts w:ascii="Times New Roman" w:hAnsi="Times New Roman" w:cs="Times New Roman"/>
          <w:sz w:val="24"/>
          <w:szCs w:val="24"/>
        </w:rPr>
        <w:t xml:space="preserve">Fernández, </w:t>
      </w:r>
      <w:r w:rsidR="00443460" w:rsidRPr="00DB3115">
        <w:rPr>
          <w:rFonts w:ascii="Times New Roman" w:hAnsi="Times New Roman" w:cs="Times New Roman"/>
          <w:bCs/>
          <w:sz w:val="24"/>
          <w:szCs w:val="24"/>
        </w:rPr>
        <w:t>Lobo, Ruiz</w:t>
      </w:r>
      <w:r w:rsidR="00C65158">
        <w:rPr>
          <w:rFonts w:ascii="Times New Roman" w:hAnsi="Times New Roman" w:cs="Times New Roman"/>
          <w:bCs/>
          <w:sz w:val="24"/>
          <w:szCs w:val="24"/>
        </w:rPr>
        <w:t xml:space="preserve"> y</w:t>
      </w:r>
      <w:r w:rsidR="00443460" w:rsidRPr="00DB3115">
        <w:rPr>
          <w:rFonts w:ascii="Times New Roman" w:hAnsi="Times New Roman" w:cs="Times New Roman"/>
          <w:sz w:val="24"/>
          <w:szCs w:val="24"/>
        </w:rPr>
        <w:t xml:space="preserve"> </w:t>
      </w:r>
      <w:r w:rsidR="00443460" w:rsidRPr="00DB3115">
        <w:rPr>
          <w:rFonts w:ascii="Times New Roman" w:hAnsi="Times New Roman" w:cs="Times New Roman"/>
          <w:bCs/>
          <w:sz w:val="24"/>
          <w:szCs w:val="24"/>
        </w:rPr>
        <w:t>Pérez de la Cruz</w:t>
      </w:r>
      <w:r w:rsidRPr="00DB3115">
        <w:rPr>
          <w:rFonts w:ascii="Times New Roman" w:hAnsi="Times New Roman" w:cs="Times New Roman"/>
          <w:sz w:val="24"/>
          <w:szCs w:val="24"/>
        </w:rPr>
        <w:t>,</w:t>
      </w:r>
      <w:r w:rsidR="00C65158">
        <w:rPr>
          <w:rFonts w:ascii="Times New Roman" w:hAnsi="Times New Roman" w:cs="Times New Roman"/>
          <w:sz w:val="24"/>
          <w:szCs w:val="24"/>
        </w:rPr>
        <w:t xml:space="preserve"> </w:t>
      </w:r>
      <w:r w:rsidR="00443460">
        <w:rPr>
          <w:rFonts w:ascii="Times New Roman" w:hAnsi="Times New Roman" w:cs="Times New Roman"/>
          <w:sz w:val="24"/>
          <w:szCs w:val="24"/>
        </w:rPr>
        <w:t xml:space="preserve">2009; </w:t>
      </w:r>
      <w:r w:rsidR="00443460" w:rsidRPr="00DB3115">
        <w:rPr>
          <w:rFonts w:ascii="Times New Roman" w:hAnsi="Times New Roman" w:cs="Times New Roman"/>
          <w:sz w:val="24"/>
          <w:szCs w:val="24"/>
        </w:rPr>
        <w:t>Sánchez</w:t>
      </w:r>
      <w:r w:rsidR="00C65158">
        <w:rPr>
          <w:rFonts w:ascii="Times New Roman" w:hAnsi="Times New Roman" w:cs="Times New Roman"/>
          <w:sz w:val="24"/>
          <w:szCs w:val="24"/>
        </w:rPr>
        <w:t>,</w:t>
      </w:r>
      <w:r w:rsidR="00443460" w:rsidRPr="00DB3115">
        <w:rPr>
          <w:rFonts w:ascii="Times New Roman" w:hAnsi="Times New Roman" w:cs="Times New Roman"/>
          <w:sz w:val="24"/>
          <w:szCs w:val="24"/>
        </w:rPr>
        <w:t xml:space="preserve"> Gutiérrez</w:t>
      </w:r>
      <w:r w:rsidR="00C65158">
        <w:rPr>
          <w:rFonts w:ascii="Times New Roman" w:hAnsi="Times New Roman" w:cs="Times New Roman"/>
          <w:sz w:val="24"/>
          <w:szCs w:val="24"/>
        </w:rPr>
        <w:t xml:space="preserve"> y</w:t>
      </w:r>
      <w:r w:rsidR="00443460" w:rsidRPr="00DB3115">
        <w:rPr>
          <w:rFonts w:ascii="Times New Roman" w:hAnsi="Times New Roman" w:cs="Times New Roman"/>
          <w:sz w:val="24"/>
          <w:szCs w:val="24"/>
        </w:rPr>
        <w:t xml:space="preserve"> Arzola</w:t>
      </w:r>
      <w:r w:rsidR="00443460">
        <w:rPr>
          <w:rFonts w:ascii="Times New Roman" w:hAnsi="Times New Roman" w:cs="Times New Roman"/>
          <w:sz w:val="24"/>
          <w:szCs w:val="24"/>
        </w:rPr>
        <w:t>, 2006</w:t>
      </w:r>
      <w:r w:rsidR="00C225EA" w:rsidRPr="00DB3115">
        <w:rPr>
          <w:rFonts w:ascii="Times New Roman" w:hAnsi="Times New Roman" w:cs="Times New Roman"/>
          <w:sz w:val="24"/>
          <w:szCs w:val="24"/>
        </w:rPr>
        <w:t xml:space="preserve">). </w:t>
      </w:r>
    </w:p>
    <w:p w14:paraId="179539E8" w14:textId="7C8D9634" w:rsidR="006D63A5" w:rsidRPr="00DB3115" w:rsidRDefault="006D63A5" w:rsidP="003F3FAF">
      <w:pPr>
        <w:autoSpaceDE w:val="0"/>
        <w:autoSpaceDN w:val="0"/>
        <w:adjustRightInd w:val="0"/>
        <w:spacing w:after="0" w:line="360" w:lineRule="auto"/>
        <w:ind w:right="49" w:firstLine="708"/>
        <w:jc w:val="both"/>
        <w:rPr>
          <w:rFonts w:ascii="Times New Roman" w:hAnsi="Times New Roman" w:cs="Times New Roman"/>
          <w:sz w:val="24"/>
          <w:szCs w:val="24"/>
          <w:vertAlign w:val="superscript"/>
        </w:rPr>
      </w:pPr>
      <w:r w:rsidRPr="00DB3115">
        <w:rPr>
          <w:rFonts w:ascii="Times New Roman" w:hAnsi="Times New Roman" w:cs="Times New Roman"/>
          <w:sz w:val="24"/>
          <w:szCs w:val="24"/>
        </w:rPr>
        <w:t xml:space="preserve">La respuesta a la agresión puede manifestarse con </w:t>
      </w:r>
      <w:r w:rsidR="00C65158">
        <w:rPr>
          <w:rFonts w:ascii="Times New Roman" w:hAnsi="Times New Roman" w:cs="Times New Roman"/>
          <w:sz w:val="24"/>
          <w:szCs w:val="24"/>
        </w:rPr>
        <w:t xml:space="preserve">una </w:t>
      </w:r>
      <w:r w:rsidRPr="00DB3115">
        <w:rPr>
          <w:rFonts w:ascii="Times New Roman" w:hAnsi="Times New Roman" w:cs="Times New Roman"/>
          <w:sz w:val="24"/>
          <w:szCs w:val="24"/>
        </w:rPr>
        <w:t>intensidad variable, dependiendo del grado de lesión</w:t>
      </w:r>
      <w:r w:rsidR="00C65158">
        <w:rPr>
          <w:rFonts w:ascii="Times New Roman" w:hAnsi="Times New Roman" w:cs="Times New Roman"/>
          <w:sz w:val="24"/>
          <w:szCs w:val="24"/>
        </w:rPr>
        <w:t>.</w:t>
      </w:r>
      <w:r w:rsidR="00C65158" w:rsidRPr="00DB3115">
        <w:rPr>
          <w:rFonts w:ascii="Times New Roman" w:hAnsi="Times New Roman" w:cs="Times New Roman"/>
          <w:sz w:val="24"/>
          <w:szCs w:val="24"/>
        </w:rPr>
        <w:t xml:space="preserve"> </w:t>
      </w:r>
      <w:r w:rsidR="00C65158">
        <w:rPr>
          <w:rFonts w:ascii="Times New Roman" w:hAnsi="Times New Roman" w:cs="Times New Roman"/>
          <w:sz w:val="24"/>
          <w:szCs w:val="24"/>
        </w:rPr>
        <w:t>S</w:t>
      </w:r>
      <w:r w:rsidR="00C65158" w:rsidRPr="00DB3115">
        <w:rPr>
          <w:rFonts w:ascii="Times New Roman" w:hAnsi="Times New Roman" w:cs="Times New Roman"/>
          <w:sz w:val="24"/>
          <w:szCs w:val="24"/>
        </w:rPr>
        <w:t xml:space="preserve">in </w:t>
      </w:r>
      <w:r w:rsidRPr="00DB3115">
        <w:rPr>
          <w:rFonts w:ascii="Times New Roman" w:hAnsi="Times New Roman" w:cs="Times New Roman"/>
          <w:sz w:val="24"/>
          <w:szCs w:val="24"/>
        </w:rPr>
        <w:t xml:space="preserve">embargo, el síndrome de desnutrición se presentará si no se cuenta con un ingreso nutrimental adecuado y oportuno. Al presentarse la desnutrición se puede comprometer la supervivencia y una evolución satisfactoria del paciente, </w:t>
      </w:r>
      <w:r w:rsidR="00C65158">
        <w:rPr>
          <w:rFonts w:ascii="Times New Roman" w:hAnsi="Times New Roman" w:cs="Times New Roman"/>
          <w:sz w:val="24"/>
          <w:szCs w:val="24"/>
        </w:rPr>
        <w:t>lo que aumenta</w:t>
      </w:r>
      <w:r w:rsidR="00C65158" w:rsidRPr="00DB3115">
        <w:rPr>
          <w:rFonts w:ascii="Times New Roman" w:hAnsi="Times New Roman" w:cs="Times New Roman"/>
          <w:sz w:val="24"/>
          <w:szCs w:val="24"/>
        </w:rPr>
        <w:t xml:space="preserve"> </w:t>
      </w:r>
      <w:r w:rsidRPr="00DB3115">
        <w:rPr>
          <w:rFonts w:ascii="Times New Roman" w:hAnsi="Times New Roman" w:cs="Times New Roman"/>
          <w:sz w:val="24"/>
          <w:szCs w:val="24"/>
        </w:rPr>
        <w:t xml:space="preserve">el riesgo de complicaciones infecciosas, días de estancia hospitalaria e incluso la disfunción orgánica múltiple </w:t>
      </w:r>
      <w:r w:rsidR="00C65158">
        <w:rPr>
          <w:rFonts w:ascii="Times New Roman" w:hAnsi="Times New Roman" w:cs="Times New Roman"/>
          <w:sz w:val="24"/>
          <w:szCs w:val="24"/>
        </w:rPr>
        <w:t>y</w:t>
      </w:r>
      <w:r w:rsidR="00197422">
        <w:rPr>
          <w:rFonts w:ascii="Times New Roman" w:hAnsi="Times New Roman" w:cs="Times New Roman"/>
          <w:sz w:val="24"/>
          <w:szCs w:val="24"/>
        </w:rPr>
        <w:t>, por tanto,</w:t>
      </w:r>
      <w:r w:rsidR="00C65158">
        <w:rPr>
          <w:rFonts w:ascii="Times New Roman" w:hAnsi="Times New Roman" w:cs="Times New Roman"/>
          <w:sz w:val="24"/>
          <w:szCs w:val="24"/>
        </w:rPr>
        <w:t xml:space="preserve"> ocasionar</w:t>
      </w:r>
      <w:r w:rsidR="00C225EA" w:rsidRPr="00DB3115">
        <w:rPr>
          <w:rFonts w:ascii="Times New Roman" w:hAnsi="Times New Roman" w:cs="Times New Roman"/>
          <w:sz w:val="24"/>
          <w:szCs w:val="24"/>
        </w:rPr>
        <w:t xml:space="preserve"> la </w:t>
      </w:r>
      <w:r w:rsidR="00C225EA" w:rsidRPr="00C65158">
        <w:rPr>
          <w:rFonts w:ascii="Times New Roman" w:hAnsi="Times New Roman" w:cs="Times New Roman"/>
          <w:sz w:val="24"/>
          <w:szCs w:val="24"/>
        </w:rPr>
        <w:t>muerte (</w:t>
      </w:r>
      <w:proofErr w:type="spellStart"/>
      <w:r w:rsidR="00443460" w:rsidRPr="003F3FAF">
        <w:rPr>
          <w:rFonts w:ascii="Times New Roman" w:hAnsi="Times New Roman" w:cs="Times New Roman"/>
          <w:sz w:val="24"/>
          <w:szCs w:val="24"/>
          <w:lang w:val="fr-MC"/>
        </w:rPr>
        <w:t>Vizzini</w:t>
      </w:r>
      <w:proofErr w:type="spellEnd"/>
      <w:r w:rsidR="00443460" w:rsidRPr="003F3FAF">
        <w:rPr>
          <w:rFonts w:ascii="Times New Roman" w:hAnsi="Times New Roman" w:cs="Times New Roman"/>
          <w:sz w:val="24"/>
          <w:szCs w:val="24"/>
          <w:lang w:val="fr-MC"/>
        </w:rPr>
        <w:t xml:space="preserve"> </w:t>
      </w:r>
      <w:r w:rsidR="00C65158">
        <w:rPr>
          <w:rFonts w:ascii="Times New Roman" w:hAnsi="Times New Roman" w:cs="Times New Roman"/>
          <w:sz w:val="24"/>
          <w:szCs w:val="24"/>
          <w:lang w:val="fr-MC"/>
        </w:rPr>
        <w:t>y</w:t>
      </w:r>
      <w:r w:rsidR="00443460" w:rsidRPr="003F3FAF">
        <w:rPr>
          <w:rFonts w:ascii="Times New Roman" w:hAnsi="Times New Roman" w:cs="Times New Roman"/>
          <w:sz w:val="24"/>
          <w:szCs w:val="24"/>
        </w:rPr>
        <w:t xml:space="preserve"> </w:t>
      </w:r>
      <w:r w:rsidR="00443460" w:rsidRPr="003F3FAF">
        <w:rPr>
          <w:rFonts w:ascii="Times New Roman" w:hAnsi="Times New Roman" w:cs="Times New Roman"/>
          <w:sz w:val="24"/>
          <w:szCs w:val="24"/>
          <w:lang w:val="fr-MC"/>
        </w:rPr>
        <w:t>Aranda</w:t>
      </w:r>
      <w:r w:rsidR="00C65158">
        <w:rPr>
          <w:rFonts w:ascii="Times New Roman" w:hAnsi="Times New Roman" w:cs="Times New Roman"/>
          <w:sz w:val="24"/>
          <w:szCs w:val="24"/>
          <w:lang w:val="fr-MC"/>
        </w:rPr>
        <w:t>,</w:t>
      </w:r>
      <w:r w:rsidR="00443460" w:rsidRPr="003F3FAF">
        <w:rPr>
          <w:rFonts w:ascii="Times New Roman" w:hAnsi="Times New Roman" w:cs="Times New Roman"/>
          <w:sz w:val="24"/>
          <w:szCs w:val="24"/>
          <w:lang w:val="fr-MC"/>
        </w:rPr>
        <w:t xml:space="preserve"> 2011; </w:t>
      </w:r>
      <w:proofErr w:type="spellStart"/>
      <w:r w:rsidR="00443460" w:rsidRPr="00C65158">
        <w:rPr>
          <w:rFonts w:ascii="Times New Roman" w:hAnsi="Times New Roman" w:cs="Times New Roman"/>
          <w:sz w:val="24"/>
          <w:szCs w:val="24"/>
        </w:rPr>
        <w:t>Martinuzzi</w:t>
      </w:r>
      <w:proofErr w:type="spellEnd"/>
      <w:r w:rsidR="00443460" w:rsidRPr="00C65158">
        <w:rPr>
          <w:rFonts w:ascii="Times New Roman" w:hAnsi="Times New Roman" w:cs="Times New Roman"/>
          <w:sz w:val="24"/>
          <w:szCs w:val="24"/>
        </w:rPr>
        <w:t xml:space="preserve"> </w:t>
      </w:r>
      <w:r w:rsidR="00C65158">
        <w:rPr>
          <w:rFonts w:ascii="Times New Roman" w:hAnsi="Times New Roman" w:cs="Times New Roman"/>
          <w:sz w:val="24"/>
          <w:szCs w:val="24"/>
        </w:rPr>
        <w:t>y</w:t>
      </w:r>
      <w:r w:rsidR="00443460" w:rsidRPr="00C65158">
        <w:rPr>
          <w:rFonts w:ascii="Times New Roman" w:hAnsi="Times New Roman" w:cs="Times New Roman"/>
          <w:sz w:val="24"/>
          <w:szCs w:val="24"/>
        </w:rPr>
        <w:t xml:space="preserve"> </w:t>
      </w:r>
      <w:proofErr w:type="spellStart"/>
      <w:r w:rsidR="00443460" w:rsidRPr="00C65158">
        <w:rPr>
          <w:rFonts w:ascii="Times New Roman" w:hAnsi="Times New Roman" w:cs="Times New Roman"/>
          <w:sz w:val="24"/>
          <w:szCs w:val="24"/>
        </w:rPr>
        <w:t>Ferraresi</w:t>
      </w:r>
      <w:proofErr w:type="spellEnd"/>
      <w:r w:rsidR="00443460" w:rsidRPr="00C65158">
        <w:rPr>
          <w:rFonts w:ascii="Times New Roman" w:hAnsi="Times New Roman" w:cs="Times New Roman"/>
          <w:sz w:val="24"/>
          <w:szCs w:val="24"/>
        </w:rPr>
        <w:t xml:space="preserve">, 2011; </w:t>
      </w:r>
      <w:r w:rsidR="00443460" w:rsidRPr="00C65158">
        <w:rPr>
          <w:rFonts w:ascii="Times New Roman" w:hAnsi="Times New Roman" w:cs="Times New Roman"/>
          <w:sz w:val="24"/>
          <w:szCs w:val="24"/>
          <w:shd w:val="clear" w:color="auto" w:fill="FFFFFF"/>
        </w:rPr>
        <w:t xml:space="preserve">Jacobs </w:t>
      </w:r>
      <w:r w:rsidR="00443460" w:rsidRPr="003F3FAF">
        <w:rPr>
          <w:rFonts w:ascii="Times New Roman" w:hAnsi="Times New Roman" w:cs="Times New Roman"/>
          <w:i/>
          <w:iCs/>
          <w:sz w:val="24"/>
          <w:szCs w:val="24"/>
        </w:rPr>
        <w:t>et al</w:t>
      </w:r>
      <w:r w:rsidR="00443460" w:rsidRPr="00C65158">
        <w:rPr>
          <w:rFonts w:ascii="Times New Roman" w:hAnsi="Times New Roman" w:cs="Times New Roman"/>
          <w:sz w:val="24"/>
          <w:szCs w:val="24"/>
        </w:rPr>
        <w:t>., 2004)</w:t>
      </w:r>
      <w:r w:rsidR="00C225EA" w:rsidRPr="00C65158">
        <w:rPr>
          <w:rFonts w:ascii="Times New Roman" w:hAnsi="Times New Roman" w:cs="Times New Roman"/>
          <w:sz w:val="24"/>
          <w:szCs w:val="24"/>
        </w:rPr>
        <w:t>.</w:t>
      </w:r>
    </w:p>
    <w:p w14:paraId="52DB2E2E" w14:textId="3C8F239B" w:rsidR="006D63A5" w:rsidRPr="00DB3115" w:rsidRDefault="006D63A5" w:rsidP="003F3FAF">
      <w:pPr>
        <w:autoSpaceDE w:val="0"/>
        <w:autoSpaceDN w:val="0"/>
        <w:adjustRightInd w:val="0"/>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t xml:space="preserve">Diversos estudios sugieren que el inicio del soporte nutricional en los pacientes dentro de las primeras 24 horas </w:t>
      </w:r>
      <w:r w:rsidR="0014441F">
        <w:rPr>
          <w:rFonts w:ascii="Times New Roman" w:hAnsi="Times New Roman" w:cs="Times New Roman"/>
          <w:sz w:val="24"/>
          <w:szCs w:val="24"/>
        </w:rPr>
        <w:t>una vez ingresados a</w:t>
      </w:r>
      <w:r w:rsidR="0014441F" w:rsidRPr="00DB3115">
        <w:rPr>
          <w:rFonts w:ascii="Times New Roman" w:hAnsi="Times New Roman" w:cs="Times New Roman"/>
          <w:sz w:val="24"/>
          <w:szCs w:val="24"/>
        </w:rPr>
        <w:t xml:space="preserve"> la UCI</w:t>
      </w:r>
      <w:r w:rsidRPr="00DB3115">
        <w:rPr>
          <w:rFonts w:ascii="Times New Roman" w:hAnsi="Times New Roman" w:cs="Times New Roman"/>
          <w:sz w:val="24"/>
          <w:szCs w:val="24"/>
        </w:rPr>
        <w:t xml:space="preserve"> está asociado con una mejoría en el desenlace clínico, menores porcentajes de infección y una disminución del tiempo de hospitalización</w:t>
      </w:r>
      <w:r w:rsidR="00C225EA" w:rsidRPr="00DB3115">
        <w:rPr>
          <w:rFonts w:ascii="Times New Roman" w:hAnsi="Times New Roman" w:cs="Times New Roman"/>
          <w:sz w:val="24"/>
          <w:szCs w:val="24"/>
        </w:rPr>
        <w:t xml:space="preserve"> (</w:t>
      </w:r>
      <w:r w:rsidR="007F0912" w:rsidRPr="00DB3115">
        <w:rPr>
          <w:rFonts w:ascii="Times New Roman" w:hAnsi="Times New Roman" w:cs="Times New Roman"/>
          <w:iCs/>
          <w:sz w:val="24"/>
          <w:szCs w:val="24"/>
        </w:rPr>
        <w:t>Fuchs</w:t>
      </w:r>
      <w:r w:rsidR="007F0912">
        <w:rPr>
          <w:rFonts w:ascii="Times New Roman" w:hAnsi="Times New Roman" w:cs="Times New Roman"/>
          <w:iCs/>
          <w:sz w:val="24"/>
          <w:szCs w:val="24"/>
        </w:rPr>
        <w:t xml:space="preserve">, 2009; </w:t>
      </w:r>
      <w:r w:rsidR="007F0912" w:rsidRPr="00DB3115">
        <w:rPr>
          <w:rFonts w:ascii="Times New Roman" w:hAnsi="Times New Roman" w:cs="Times New Roman"/>
          <w:sz w:val="24"/>
          <w:szCs w:val="24"/>
          <w:shd w:val="clear" w:color="auto" w:fill="FFFFFF"/>
        </w:rPr>
        <w:t xml:space="preserve">Agudelo </w:t>
      </w:r>
      <w:r w:rsidR="00307FB0">
        <w:rPr>
          <w:rFonts w:ascii="Times New Roman" w:hAnsi="Times New Roman" w:cs="Times New Roman"/>
          <w:sz w:val="24"/>
          <w:szCs w:val="24"/>
          <w:shd w:val="clear" w:color="auto" w:fill="FFFFFF"/>
        </w:rPr>
        <w:t>y</w:t>
      </w:r>
      <w:r w:rsidR="007F0912" w:rsidRPr="00DB3115">
        <w:rPr>
          <w:rFonts w:ascii="Times New Roman" w:hAnsi="Times New Roman" w:cs="Times New Roman"/>
          <w:sz w:val="24"/>
          <w:szCs w:val="24"/>
        </w:rPr>
        <w:t xml:space="preserve"> </w:t>
      </w:r>
      <w:r w:rsidR="007F0912" w:rsidRPr="00DB3115">
        <w:rPr>
          <w:rFonts w:ascii="Times New Roman" w:hAnsi="Times New Roman" w:cs="Times New Roman"/>
          <w:sz w:val="24"/>
          <w:szCs w:val="24"/>
          <w:shd w:val="clear" w:color="auto" w:fill="FFFFFF"/>
        </w:rPr>
        <w:t>Giraldo</w:t>
      </w:r>
      <w:r w:rsidR="00307FB0">
        <w:rPr>
          <w:rFonts w:ascii="Times New Roman" w:hAnsi="Times New Roman" w:cs="Times New Roman"/>
          <w:sz w:val="24"/>
          <w:szCs w:val="24"/>
          <w:shd w:val="clear" w:color="auto" w:fill="FFFFFF"/>
        </w:rPr>
        <w:t>,</w:t>
      </w:r>
      <w:r w:rsidR="007F0912" w:rsidRPr="00DB3115">
        <w:rPr>
          <w:rFonts w:ascii="Times New Roman" w:hAnsi="Times New Roman" w:cs="Times New Roman"/>
          <w:sz w:val="24"/>
          <w:szCs w:val="24"/>
          <w:shd w:val="clear" w:color="auto" w:fill="FFFFFF"/>
        </w:rPr>
        <w:t xml:space="preserve"> </w:t>
      </w:r>
      <w:r w:rsidR="007F0912">
        <w:rPr>
          <w:rFonts w:ascii="Times New Roman" w:hAnsi="Times New Roman" w:cs="Times New Roman"/>
          <w:sz w:val="24"/>
          <w:szCs w:val="24"/>
          <w:shd w:val="clear" w:color="auto" w:fill="FFFFFF"/>
        </w:rPr>
        <w:t>2008)</w:t>
      </w:r>
      <w:r w:rsidR="00C225EA" w:rsidRPr="00DB3115">
        <w:rPr>
          <w:rFonts w:ascii="Times New Roman" w:hAnsi="Times New Roman" w:cs="Times New Roman"/>
          <w:sz w:val="24"/>
          <w:szCs w:val="24"/>
        </w:rPr>
        <w:t>.</w:t>
      </w:r>
      <w:r w:rsidRPr="00DB3115">
        <w:rPr>
          <w:rFonts w:ascii="Times New Roman" w:hAnsi="Times New Roman" w:cs="Times New Roman"/>
          <w:sz w:val="24"/>
          <w:szCs w:val="24"/>
          <w:vertAlign w:val="superscript"/>
        </w:rPr>
        <w:t xml:space="preserve"> </w:t>
      </w:r>
      <w:r w:rsidRPr="00DB3115">
        <w:rPr>
          <w:rFonts w:ascii="Times New Roman" w:hAnsi="Times New Roman" w:cs="Times New Roman"/>
          <w:sz w:val="24"/>
          <w:szCs w:val="24"/>
        </w:rPr>
        <w:t>La nutrición enteral</w:t>
      </w:r>
      <w:r w:rsidR="00B272B4">
        <w:rPr>
          <w:rFonts w:ascii="Times New Roman" w:hAnsi="Times New Roman" w:cs="Times New Roman"/>
          <w:sz w:val="24"/>
          <w:szCs w:val="24"/>
        </w:rPr>
        <w:t xml:space="preserve"> </w:t>
      </w:r>
      <w:r w:rsidRPr="00DB3115">
        <w:rPr>
          <w:rFonts w:ascii="Times New Roman" w:hAnsi="Times New Roman" w:cs="Times New Roman"/>
          <w:sz w:val="24"/>
          <w:szCs w:val="24"/>
        </w:rPr>
        <w:t xml:space="preserve">se prefiere </w:t>
      </w:r>
      <w:r w:rsidRPr="00DB3115">
        <w:rPr>
          <w:rFonts w:ascii="Times New Roman" w:hAnsi="Times New Roman" w:cs="Times New Roman"/>
          <w:sz w:val="24"/>
          <w:szCs w:val="24"/>
        </w:rPr>
        <w:lastRenderedPageBreak/>
        <w:t>frente a la parenteral</w:t>
      </w:r>
      <w:r w:rsidR="00B272B4">
        <w:rPr>
          <w:rFonts w:ascii="Times New Roman" w:hAnsi="Times New Roman" w:cs="Times New Roman"/>
          <w:sz w:val="24"/>
          <w:szCs w:val="24"/>
        </w:rPr>
        <w:t xml:space="preserve"> debido a</w:t>
      </w:r>
      <w:r w:rsidRPr="00DB3115">
        <w:rPr>
          <w:rFonts w:ascii="Times New Roman" w:hAnsi="Times New Roman" w:cs="Times New Roman"/>
          <w:sz w:val="24"/>
          <w:szCs w:val="24"/>
        </w:rPr>
        <w:t xml:space="preserve"> que es más fisiológica, se asocia menos </w:t>
      </w:r>
      <w:r w:rsidR="00B10CA1">
        <w:rPr>
          <w:rFonts w:ascii="Times New Roman" w:hAnsi="Times New Roman" w:cs="Times New Roman"/>
          <w:sz w:val="24"/>
          <w:szCs w:val="24"/>
        </w:rPr>
        <w:t>con la</w:t>
      </w:r>
      <w:r w:rsidR="00B10CA1" w:rsidRPr="00DB3115">
        <w:rPr>
          <w:rFonts w:ascii="Times New Roman" w:hAnsi="Times New Roman" w:cs="Times New Roman"/>
          <w:sz w:val="24"/>
          <w:szCs w:val="24"/>
        </w:rPr>
        <w:t xml:space="preserve"> </w:t>
      </w:r>
      <w:r w:rsidRPr="00DB3115">
        <w:rPr>
          <w:rFonts w:ascii="Times New Roman" w:hAnsi="Times New Roman" w:cs="Times New Roman"/>
          <w:sz w:val="24"/>
          <w:szCs w:val="24"/>
        </w:rPr>
        <w:t>disfunción hepatobiliar y trastornos metabólicos y es mucho más económica</w:t>
      </w:r>
      <w:r w:rsidR="00C225EA" w:rsidRPr="00DB3115">
        <w:rPr>
          <w:rFonts w:ascii="Times New Roman" w:hAnsi="Times New Roman" w:cs="Times New Roman"/>
          <w:sz w:val="24"/>
          <w:szCs w:val="24"/>
        </w:rPr>
        <w:t xml:space="preserve"> (</w:t>
      </w:r>
      <w:r w:rsidR="007F0912" w:rsidRPr="00DB3115">
        <w:rPr>
          <w:rFonts w:ascii="Times New Roman" w:hAnsi="Times New Roman" w:cs="Times New Roman"/>
          <w:sz w:val="24"/>
          <w:szCs w:val="24"/>
        </w:rPr>
        <w:t>Ramírez, Gutiérrez</w:t>
      </w:r>
      <w:r w:rsidR="00B10CA1">
        <w:rPr>
          <w:rFonts w:ascii="Times New Roman" w:hAnsi="Times New Roman" w:cs="Times New Roman"/>
          <w:sz w:val="24"/>
          <w:szCs w:val="24"/>
        </w:rPr>
        <w:t>,</w:t>
      </w:r>
      <w:r w:rsidR="007F0912" w:rsidRPr="00DB3115">
        <w:rPr>
          <w:rFonts w:ascii="Times New Roman" w:hAnsi="Times New Roman" w:cs="Times New Roman"/>
          <w:sz w:val="24"/>
          <w:szCs w:val="24"/>
        </w:rPr>
        <w:t xml:space="preserve"> Domínguez</w:t>
      </w:r>
      <w:r w:rsidR="00B10CA1">
        <w:rPr>
          <w:rFonts w:ascii="Times New Roman" w:hAnsi="Times New Roman" w:cs="Times New Roman"/>
          <w:sz w:val="24"/>
          <w:szCs w:val="24"/>
        </w:rPr>
        <w:t xml:space="preserve"> y</w:t>
      </w:r>
      <w:r w:rsidR="007F0912" w:rsidRPr="00DB3115">
        <w:rPr>
          <w:rFonts w:ascii="Times New Roman" w:hAnsi="Times New Roman" w:cs="Times New Roman"/>
          <w:sz w:val="24"/>
          <w:szCs w:val="24"/>
        </w:rPr>
        <w:t xml:space="preserve"> Barba</w:t>
      </w:r>
      <w:r w:rsidR="00B10CA1">
        <w:rPr>
          <w:rFonts w:ascii="Times New Roman" w:hAnsi="Times New Roman" w:cs="Times New Roman"/>
          <w:sz w:val="24"/>
          <w:szCs w:val="24"/>
        </w:rPr>
        <w:t>,</w:t>
      </w:r>
      <w:r w:rsidR="007F0912">
        <w:rPr>
          <w:rFonts w:ascii="Times New Roman" w:hAnsi="Times New Roman" w:cs="Times New Roman"/>
          <w:sz w:val="24"/>
          <w:szCs w:val="24"/>
        </w:rPr>
        <w:t xml:space="preserve"> 2008</w:t>
      </w:r>
      <w:r w:rsidR="00C225EA" w:rsidRPr="00DB3115">
        <w:rPr>
          <w:rFonts w:ascii="Times New Roman" w:hAnsi="Times New Roman" w:cs="Times New Roman"/>
          <w:sz w:val="24"/>
          <w:szCs w:val="24"/>
        </w:rPr>
        <w:t>).</w:t>
      </w:r>
    </w:p>
    <w:p w14:paraId="3D877DB1" w14:textId="3A5A5E68" w:rsidR="006D63A5" w:rsidRPr="00DB3115" w:rsidRDefault="006D63A5" w:rsidP="003F3FAF">
      <w:pPr>
        <w:autoSpaceDE w:val="0"/>
        <w:autoSpaceDN w:val="0"/>
        <w:adjustRightInd w:val="0"/>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t xml:space="preserve">La </w:t>
      </w:r>
      <w:r w:rsidR="00B272B4" w:rsidRPr="00DB3115">
        <w:rPr>
          <w:rFonts w:ascii="Times New Roman" w:hAnsi="Times New Roman" w:cs="Times New Roman"/>
          <w:sz w:val="24"/>
          <w:szCs w:val="24"/>
        </w:rPr>
        <w:t xml:space="preserve">nutrición enteral </w:t>
      </w:r>
      <w:r w:rsidRPr="00DB3115">
        <w:rPr>
          <w:rFonts w:ascii="Times New Roman" w:hAnsi="Times New Roman" w:cs="Times New Roman"/>
          <w:sz w:val="24"/>
          <w:szCs w:val="24"/>
        </w:rPr>
        <w:t>se basa en el aporte de nutrientes con formulación químicamente definida por vía digestiva, utilizando el tracto gastrointestinal viable para su correcta absorción. Es un arma terapéutica para el médico, además de disminuir la translocación bacteriana y permitir un adecuado funcionamiento del sistema inmune intestina</w:t>
      </w:r>
      <w:r w:rsidR="00C225EA" w:rsidRPr="00DB3115">
        <w:rPr>
          <w:rFonts w:ascii="Times New Roman" w:hAnsi="Times New Roman" w:cs="Times New Roman"/>
          <w:sz w:val="24"/>
          <w:szCs w:val="24"/>
        </w:rPr>
        <w:t>l (</w:t>
      </w:r>
      <w:r w:rsidR="007F0912" w:rsidRPr="00DB3115">
        <w:rPr>
          <w:rFonts w:ascii="Times New Roman" w:hAnsi="Times New Roman" w:cs="Times New Roman"/>
          <w:bCs/>
          <w:sz w:val="24"/>
          <w:szCs w:val="24"/>
          <w:shd w:val="clear" w:color="auto" w:fill="FFFFFF"/>
        </w:rPr>
        <w:t xml:space="preserve">Rodríguez </w:t>
      </w:r>
      <w:r w:rsidR="007F0912" w:rsidRPr="003F3FAF">
        <w:rPr>
          <w:rFonts w:ascii="Times New Roman" w:hAnsi="Times New Roman" w:cs="Times New Roman"/>
          <w:i/>
          <w:iCs/>
          <w:sz w:val="24"/>
          <w:szCs w:val="24"/>
        </w:rPr>
        <w:t>et al</w:t>
      </w:r>
      <w:r w:rsidR="007F0912">
        <w:rPr>
          <w:rFonts w:ascii="Times New Roman" w:hAnsi="Times New Roman" w:cs="Times New Roman"/>
          <w:sz w:val="24"/>
          <w:szCs w:val="24"/>
        </w:rPr>
        <w:t>., 2012</w:t>
      </w:r>
      <w:r w:rsidR="00C225EA" w:rsidRPr="00DB3115">
        <w:rPr>
          <w:rFonts w:ascii="Times New Roman" w:hAnsi="Times New Roman" w:cs="Times New Roman"/>
          <w:sz w:val="24"/>
          <w:szCs w:val="24"/>
        </w:rPr>
        <w:t>).</w:t>
      </w:r>
    </w:p>
    <w:p w14:paraId="11EDC71F" w14:textId="44DD00D9" w:rsidR="006D63A5" w:rsidRPr="00DB3115" w:rsidRDefault="006D63A5" w:rsidP="003F3FAF">
      <w:pPr>
        <w:autoSpaceDE w:val="0"/>
        <w:autoSpaceDN w:val="0"/>
        <w:adjustRightInd w:val="0"/>
        <w:spacing w:after="0" w:line="360" w:lineRule="auto"/>
        <w:ind w:right="49" w:firstLine="708"/>
        <w:jc w:val="both"/>
        <w:rPr>
          <w:rFonts w:ascii="Times New Roman" w:hAnsi="Times New Roman" w:cs="Times New Roman"/>
          <w:bCs/>
          <w:sz w:val="24"/>
          <w:szCs w:val="24"/>
          <w:vertAlign w:val="superscript"/>
        </w:rPr>
      </w:pPr>
      <w:r w:rsidRPr="00DB3115">
        <w:rPr>
          <w:rFonts w:ascii="Times New Roman" w:hAnsi="Times New Roman" w:cs="Times New Roman"/>
          <w:bCs/>
          <w:sz w:val="24"/>
          <w:szCs w:val="24"/>
        </w:rPr>
        <w:t xml:space="preserve">Por otra parte, </w:t>
      </w:r>
      <w:r w:rsidR="00045813">
        <w:rPr>
          <w:rFonts w:ascii="Times New Roman" w:hAnsi="Times New Roman" w:cs="Times New Roman"/>
          <w:bCs/>
          <w:sz w:val="24"/>
          <w:szCs w:val="24"/>
        </w:rPr>
        <w:t>si bien es</w:t>
      </w:r>
      <w:r w:rsidR="00045813" w:rsidRPr="00DB3115">
        <w:rPr>
          <w:rFonts w:ascii="Times New Roman" w:hAnsi="Times New Roman" w:cs="Times New Roman"/>
          <w:bCs/>
          <w:sz w:val="24"/>
          <w:szCs w:val="24"/>
        </w:rPr>
        <w:t xml:space="preserve"> </w:t>
      </w:r>
      <w:r w:rsidRPr="00DB3115">
        <w:rPr>
          <w:rFonts w:ascii="Times New Roman" w:hAnsi="Times New Roman" w:cs="Times New Roman"/>
          <w:bCs/>
          <w:sz w:val="24"/>
          <w:szCs w:val="24"/>
        </w:rPr>
        <w:t>una técnica que</w:t>
      </w:r>
      <w:r w:rsidR="00045813">
        <w:rPr>
          <w:rFonts w:ascii="Times New Roman" w:hAnsi="Times New Roman" w:cs="Times New Roman"/>
          <w:bCs/>
          <w:sz w:val="24"/>
          <w:szCs w:val="24"/>
        </w:rPr>
        <w:t xml:space="preserve"> ha sido</w:t>
      </w:r>
      <w:r w:rsidRPr="00DB3115">
        <w:rPr>
          <w:rFonts w:ascii="Times New Roman" w:hAnsi="Times New Roman" w:cs="Times New Roman"/>
          <w:bCs/>
          <w:sz w:val="24"/>
          <w:szCs w:val="24"/>
        </w:rPr>
        <w:t xml:space="preserve"> utilizada desde tiempos inmemoriales, en los últimos 25 años </w:t>
      </w:r>
      <w:r w:rsidR="00D950E9">
        <w:rPr>
          <w:rFonts w:ascii="Times New Roman" w:hAnsi="Times New Roman" w:cs="Times New Roman"/>
          <w:bCs/>
          <w:sz w:val="24"/>
          <w:szCs w:val="24"/>
        </w:rPr>
        <w:t>se</w:t>
      </w:r>
      <w:r w:rsidR="00D950E9" w:rsidRPr="00DB3115">
        <w:rPr>
          <w:rFonts w:ascii="Times New Roman" w:hAnsi="Times New Roman" w:cs="Times New Roman"/>
          <w:bCs/>
          <w:sz w:val="24"/>
          <w:szCs w:val="24"/>
        </w:rPr>
        <w:t xml:space="preserve"> </w:t>
      </w:r>
      <w:r w:rsidRPr="00DB3115">
        <w:rPr>
          <w:rFonts w:ascii="Times New Roman" w:hAnsi="Times New Roman" w:cs="Times New Roman"/>
          <w:bCs/>
          <w:sz w:val="24"/>
          <w:szCs w:val="24"/>
        </w:rPr>
        <w:t>ha experimentado un desarrollo considerable</w:t>
      </w:r>
      <w:r w:rsidR="00D950E9">
        <w:rPr>
          <w:rFonts w:ascii="Times New Roman" w:hAnsi="Times New Roman" w:cs="Times New Roman"/>
          <w:bCs/>
          <w:sz w:val="24"/>
          <w:szCs w:val="24"/>
        </w:rPr>
        <w:t>: pasó</w:t>
      </w:r>
      <w:r w:rsidRPr="00DB3115">
        <w:rPr>
          <w:rFonts w:ascii="Times New Roman" w:hAnsi="Times New Roman" w:cs="Times New Roman"/>
          <w:bCs/>
          <w:sz w:val="24"/>
          <w:szCs w:val="24"/>
        </w:rPr>
        <w:t xml:space="preserve"> de ser un elemento terapéutico secundario, destinado exclusivamente a alimentar al paciente, a ocupar en la actualidad un papel importante que va mucho más</w:t>
      </w:r>
      <w:r w:rsidR="00C225EA" w:rsidRPr="00DB3115">
        <w:rPr>
          <w:rFonts w:ascii="Times New Roman" w:hAnsi="Times New Roman" w:cs="Times New Roman"/>
          <w:bCs/>
          <w:sz w:val="24"/>
          <w:szCs w:val="24"/>
        </w:rPr>
        <w:t xml:space="preserve"> allá del simple acto de nutrir (</w:t>
      </w:r>
      <w:r w:rsidR="007F0912" w:rsidRPr="00DB3115">
        <w:rPr>
          <w:rFonts w:ascii="Times New Roman" w:hAnsi="Times New Roman" w:cs="Times New Roman"/>
          <w:sz w:val="24"/>
          <w:szCs w:val="24"/>
        </w:rPr>
        <w:t xml:space="preserve">González </w:t>
      </w:r>
      <w:r w:rsidR="00D950E9">
        <w:rPr>
          <w:rFonts w:ascii="Times New Roman" w:hAnsi="Times New Roman" w:cs="Times New Roman"/>
          <w:sz w:val="24"/>
          <w:szCs w:val="24"/>
        </w:rPr>
        <w:t>y</w:t>
      </w:r>
      <w:r w:rsidR="007F0912" w:rsidRPr="00DB3115">
        <w:rPr>
          <w:rFonts w:ascii="Times New Roman" w:hAnsi="Times New Roman" w:cs="Times New Roman"/>
          <w:sz w:val="24"/>
          <w:szCs w:val="24"/>
        </w:rPr>
        <w:t xml:space="preserve"> García</w:t>
      </w:r>
      <w:r w:rsidR="007F0912">
        <w:rPr>
          <w:rFonts w:ascii="Times New Roman" w:hAnsi="Times New Roman" w:cs="Times New Roman"/>
          <w:sz w:val="24"/>
          <w:szCs w:val="24"/>
        </w:rPr>
        <w:t>, 2013</w:t>
      </w:r>
      <w:r w:rsidR="00C225EA" w:rsidRPr="00DB3115">
        <w:rPr>
          <w:rFonts w:ascii="Times New Roman" w:hAnsi="Times New Roman" w:cs="Times New Roman"/>
          <w:bCs/>
          <w:sz w:val="24"/>
          <w:szCs w:val="24"/>
        </w:rPr>
        <w:t>).</w:t>
      </w:r>
    </w:p>
    <w:p w14:paraId="69FC9F3D" w14:textId="5825B806" w:rsidR="0010277A" w:rsidRPr="00DB3115" w:rsidRDefault="006D63A5" w:rsidP="003F3FAF">
      <w:pPr>
        <w:pStyle w:val="NormalWeb"/>
        <w:spacing w:before="0" w:beforeAutospacing="0" w:after="0" w:afterAutospacing="0" w:line="360" w:lineRule="auto"/>
        <w:ind w:right="49" w:firstLine="708"/>
        <w:jc w:val="both"/>
        <w:rPr>
          <w:lang w:val="es-MX"/>
        </w:rPr>
      </w:pPr>
      <w:r w:rsidRPr="00DB3115">
        <w:rPr>
          <w:lang w:val="es-MX"/>
        </w:rPr>
        <w:t>La nutrición enteral temprana</w:t>
      </w:r>
      <w:r w:rsidR="001E2B04">
        <w:rPr>
          <w:lang w:val="es-MX"/>
        </w:rPr>
        <w:t xml:space="preserve">, </w:t>
      </w:r>
      <w:r w:rsidRPr="00DB3115">
        <w:rPr>
          <w:lang w:val="es-MX"/>
        </w:rPr>
        <w:t xml:space="preserve">definida como aquella que se inicia durante las primeras 24-48 horas de la lesión o ingreso a la UCI, es un método de soporte nutricional </w:t>
      </w:r>
      <w:r w:rsidR="00C13D49">
        <w:rPr>
          <w:lang w:val="es-MX"/>
        </w:rPr>
        <w:t>d</w:t>
      </w:r>
      <w:r w:rsidRPr="00DB3115">
        <w:rPr>
          <w:lang w:val="es-MX"/>
        </w:rPr>
        <w:t>el cual se han descrito efectos benéficos para el paciente, adicionales al aporte calórico y proteico, como son el mantenimiento del tropismo intestinal y su implicación en la prevención de translocación bacteriana, estimulación de la motilidad intestinal y mejoría en la resistencia de los tejidos en cicatrización</w:t>
      </w:r>
      <w:r w:rsidR="00C225EA" w:rsidRPr="00DB3115">
        <w:rPr>
          <w:lang w:val="es-MX"/>
        </w:rPr>
        <w:t xml:space="preserve"> (</w:t>
      </w:r>
      <w:r w:rsidR="007F0912" w:rsidRPr="007F0912">
        <w:rPr>
          <w:lang w:val="es-MX"/>
        </w:rPr>
        <w:t>Guzmán</w:t>
      </w:r>
      <w:r w:rsidR="007F0912">
        <w:rPr>
          <w:lang w:val="es-MX"/>
        </w:rPr>
        <w:t xml:space="preserve">, 2008; </w:t>
      </w:r>
      <w:r w:rsidR="007F0912" w:rsidRPr="007F0912">
        <w:rPr>
          <w:rFonts w:eastAsia="Arial Unicode MS"/>
          <w:shd w:val="clear" w:color="auto" w:fill="FFFFFF"/>
          <w:lang w:val="es-MX"/>
        </w:rPr>
        <w:t>Alted, Bermejo</w:t>
      </w:r>
      <w:r w:rsidR="009F5D81">
        <w:rPr>
          <w:rFonts w:eastAsia="Arial Unicode MS"/>
          <w:shd w:val="clear" w:color="auto" w:fill="FFFFFF"/>
          <w:lang w:val="es-MX"/>
        </w:rPr>
        <w:t xml:space="preserve"> y</w:t>
      </w:r>
      <w:r w:rsidR="007F0912" w:rsidRPr="007F0912">
        <w:rPr>
          <w:lang w:val="es-MX"/>
        </w:rPr>
        <w:t xml:space="preserve"> </w:t>
      </w:r>
      <w:r w:rsidR="007F0912" w:rsidRPr="007F0912">
        <w:rPr>
          <w:rFonts w:eastAsia="Arial Unicode MS"/>
          <w:shd w:val="clear" w:color="auto" w:fill="FFFFFF"/>
          <w:lang w:val="es-MX"/>
        </w:rPr>
        <w:t>Chico</w:t>
      </w:r>
      <w:r w:rsidR="009F5D81">
        <w:rPr>
          <w:rFonts w:eastAsia="Arial Unicode MS"/>
          <w:shd w:val="clear" w:color="auto" w:fill="FFFFFF"/>
          <w:lang w:val="es-MX"/>
        </w:rPr>
        <w:t>,</w:t>
      </w:r>
      <w:r w:rsidR="007F0912" w:rsidRPr="007F0912">
        <w:rPr>
          <w:rFonts w:eastAsia="Arial Unicode MS"/>
          <w:shd w:val="clear" w:color="auto" w:fill="FFFFFF"/>
          <w:lang w:val="es-MX"/>
        </w:rPr>
        <w:t xml:space="preserve"> </w:t>
      </w:r>
      <w:r w:rsidR="007F0912">
        <w:rPr>
          <w:rFonts w:eastAsia="Arial Unicode MS"/>
          <w:shd w:val="clear" w:color="auto" w:fill="FFFFFF"/>
          <w:lang w:val="es-MX"/>
        </w:rPr>
        <w:t xml:space="preserve">2009; </w:t>
      </w:r>
      <w:proofErr w:type="spellStart"/>
      <w:r w:rsidR="007F0912" w:rsidRPr="007F0912">
        <w:rPr>
          <w:rFonts w:eastAsia="Arial Unicode MS"/>
          <w:shd w:val="clear" w:color="auto" w:fill="FFFFFF"/>
          <w:lang w:val="es-MX"/>
        </w:rPr>
        <w:t>MacFie</w:t>
      </w:r>
      <w:proofErr w:type="spellEnd"/>
      <w:r w:rsidR="007F0912" w:rsidRPr="007F0912">
        <w:rPr>
          <w:rFonts w:eastAsia="Arial Unicode MS"/>
          <w:shd w:val="clear" w:color="auto" w:fill="FFFFFF"/>
          <w:lang w:val="es-MX"/>
        </w:rPr>
        <w:t>,</w:t>
      </w:r>
      <w:r w:rsidR="007F0912">
        <w:rPr>
          <w:rFonts w:eastAsia="Arial Unicode MS"/>
          <w:shd w:val="clear" w:color="auto" w:fill="FFFFFF"/>
          <w:lang w:val="es-MX"/>
        </w:rPr>
        <w:t xml:space="preserve"> 2000).</w:t>
      </w:r>
      <w:r w:rsidR="0010277A" w:rsidRPr="00DB3115">
        <w:rPr>
          <w:lang w:val="es-MX"/>
        </w:rPr>
        <w:t xml:space="preserve"> </w:t>
      </w:r>
    </w:p>
    <w:p w14:paraId="1B75E318" w14:textId="20EE7546" w:rsidR="006D63A5" w:rsidRDefault="006D63A5" w:rsidP="003F3FAF">
      <w:pPr>
        <w:pStyle w:val="NormalWeb"/>
        <w:spacing w:before="0" w:beforeAutospacing="0" w:after="0" w:afterAutospacing="0" w:line="360" w:lineRule="auto"/>
        <w:ind w:right="49" w:firstLine="708"/>
        <w:jc w:val="both"/>
        <w:rPr>
          <w:lang w:val="es-MX"/>
        </w:rPr>
      </w:pPr>
      <w:r w:rsidRPr="00DB3115">
        <w:rPr>
          <w:lang w:val="es-MX"/>
        </w:rPr>
        <w:t xml:space="preserve">Es </w:t>
      </w:r>
      <w:r w:rsidR="009F5D81">
        <w:rPr>
          <w:lang w:val="es-MX"/>
        </w:rPr>
        <w:t>sabido</w:t>
      </w:r>
      <w:r w:rsidR="009F5D81" w:rsidRPr="00DB3115">
        <w:rPr>
          <w:lang w:val="es-MX"/>
        </w:rPr>
        <w:t xml:space="preserve"> </w:t>
      </w:r>
      <w:r w:rsidRPr="00DB3115">
        <w:rPr>
          <w:lang w:val="es-MX"/>
        </w:rPr>
        <w:t>que el tiempo de hospitalización posterior a la lesión está en relación directa con el momento en que se reinicia la alimentación. Estas consideraciones permiten advertir la trascendencia del inicio temprano de la alimentación enteral, ya que los enfermos desnutridos se ven expuestos a periodos de curación más largos, padecen más complicaciones y presentan índices elevados de morbimortalidad con un</w:t>
      </w:r>
      <w:r w:rsidR="00C225EA" w:rsidRPr="00DB3115">
        <w:rPr>
          <w:lang w:val="es-MX"/>
        </w:rPr>
        <w:t xml:space="preserve"> incremento de los costos (</w:t>
      </w:r>
      <w:r w:rsidR="007F0912" w:rsidRPr="007F0912">
        <w:rPr>
          <w:lang w:val="es-MX"/>
        </w:rPr>
        <w:t>Montoya</w:t>
      </w:r>
      <w:r w:rsidR="00E96C09">
        <w:rPr>
          <w:lang w:val="es-MX"/>
        </w:rPr>
        <w:t xml:space="preserve"> y</w:t>
      </w:r>
      <w:r w:rsidR="007F0912" w:rsidRPr="007F0912">
        <w:rPr>
          <w:lang w:val="es-MX"/>
        </w:rPr>
        <w:t xml:space="preserve"> Múnera</w:t>
      </w:r>
      <w:r w:rsidR="007F0912">
        <w:rPr>
          <w:lang w:val="es-MX"/>
        </w:rPr>
        <w:t xml:space="preserve">, 2014; </w:t>
      </w:r>
      <w:r w:rsidR="007F0912" w:rsidRPr="007F0912">
        <w:rPr>
          <w:lang w:val="es-MX"/>
        </w:rPr>
        <w:t xml:space="preserve">Abdel, Abdel, Sánchez </w:t>
      </w:r>
      <w:r w:rsidR="00E96C09">
        <w:rPr>
          <w:lang w:val="es-MX"/>
        </w:rPr>
        <w:t>y</w:t>
      </w:r>
      <w:r w:rsidR="007F0912" w:rsidRPr="007F0912">
        <w:rPr>
          <w:lang w:val="es-MX"/>
        </w:rPr>
        <w:t xml:space="preserve"> Gómez</w:t>
      </w:r>
      <w:r w:rsidR="007F0912">
        <w:rPr>
          <w:lang w:val="es-MX"/>
        </w:rPr>
        <w:t xml:space="preserve">, 2005; </w:t>
      </w:r>
      <w:proofErr w:type="spellStart"/>
      <w:r w:rsidR="007F0912" w:rsidRPr="007F0912">
        <w:rPr>
          <w:lang w:val="es-MX"/>
        </w:rPr>
        <w:t>Leibson</w:t>
      </w:r>
      <w:proofErr w:type="spellEnd"/>
      <w:r w:rsidR="007F0912" w:rsidRPr="007F0912">
        <w:rPr>
          <w:lang w:val="es-MX"/>
        </w:rPr>
        <w:t xml:space="preserve"> </w:t>
      </w:r>
      <w:r w:rsidR="007F0912" w:rsidRPr="003F3FAF">
        <w:rPr>
          <w:i/>
          <w:iCs/>
          <w:lang w:val="es-MX"/>
        </w:rPr>
        <w:t>et al</w:t>
      </w:r>
      <w:r w:rsidR="007F0912">
        <w:rPr>
          <w:lang w:val="es-MX"/>
        </w:rPr>
        <w:t>., 2012).</w:t>
      </w:r>
    </w:p>
    <w:p w14:paraId="64E09D59" w14:textId="77777777" w:rsidR="00C2461C" w:rsidRPr="00DB3115" w:rsidRDefault="00C2461C" w:rsidP="003F3FAF">
      <w:pPr>
        <w:pStyle w:val="NormalWeb"/>
        <w:spacing w:before="0" w:beforeAutospacing="0" w:after="0" w:afterAutospacing="0" w:line="360" w:lineRule="auto"/>
        <w:ind w:right="49" w:firstLine="708"/>
        <w:jc w:val="both"/>
        <w:rPr>
          <w:lang w:val="es-MX"/>
        </w:rPr>
      </w:pPr>
    </w:p>
    <w:p w14:paraId="1495D3D5" w14:textId="558047AD" w:rsidR="006D63A5" w:rsidRPr="00DB3115" w:rsidRDefault="006D63A5" w:rsidP="003F3FAF">
      <w:pPr>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lastRenderedPageBreak/>
        <w:t>Desde el punto de vista biológico, además de su rol en la digestión y la absorción de nutrientes, el tubo digestivo regula y procesa activamente los sustratos circulantes y desempeña importantes funciones endocrinas, metabólicas e inmunológicas, al tiempo que actúa como una barrera eficiente evitando el pase de microorganismos y de sus productos de degradación a la circulación</w:t>
      </w:r>
      <w:r w:rsidR="00C225EA" w:rsidRPr="00DB3115">
        <w:rPr>
          <w:rFonts w:ascii="Times New Roman" w:hAnsi="Times New Roman" w:cs="Times New Roman"/>
          <w:sz w:val="24"/>
          <w:szCs w:val="24"/>
        </w:rPr>
        <w:t>.</w:t>
      </w:r>
      <w:r w:rsidRPr="00DB3115">
        <w:rPr>
          <w:rFonts w:ascii="Times New Roman" w:hAnsi="Times New Roman" w:cs="Times New Roman"/>
          <w:sz w:val="24"/>
          <w:szCs w:val="24"/>
        </w:rPr>
        <w:t xml:space="preserve"> </w:t>
      </w:r>
    </w:p>
    <w:p w14:paraId="52EC4A20" w14:textId="7D002E1B" w:rsidR="006D63A5" w:rsidRPr="00DB3115" w:rsidRDefault="006D63A5" w:rsidP="003F3FAF">
      <w:pPr>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t>A su vez</w:t>
      </w:r>
      <w:r w:rsidR="001E2B04">
        <w:rPr>
          <w:rFonts w:ascii="Times New Roman" w:hAnsi="Times New Roman" w:cs="Times New Roman"/>
          <w:sz w:val="24"/>
          <w:szCs w:val="24"/>
        </w:rPr>
        <w:t>,</w:t>
      </w:r>
      <w:r w:rsidRPr="00DB3115">
        <w:rPr>
          <w:rFonts w:ascii="Times New Roman" w:hAnsi="Times New Roman" w:cs="Times New Roman"/>
          <w:sz w:val="24"/>
          <w:szCs w:val="24"/>
        </w:rPr>
        <w:t xml:space="preserve"> el tubo digestivo se mantiene en gran parte a través de los elementos que se encuentran en su luz. La alimentación enteral aporta la mitad de los nutrientes de</w:t>
      </w:r>
      <w:r w:rsidR="001E2B04">
        <w:rPr>
          <w:rFonts w:ascii="Times New Roman" w:hAnsi="Times New Roman" w:cs="Times New Roman"/>
          <w:sz w:val="24"/>
          <w:szCs w:val="24"/>
        </w:rPr>
        <w:t>l</w:t>
      </w:r>
      <w:r w:rsidRPr="00DB3115">
        <w:rPr>
          <w:rFonts w:ascii="Times New Roman" w:hAnsi="Times New Roman" w:cs="Times New Roman"/>
          <w:sz w:val="24"/>
          <w:szCs w:val="24"/>
        </w:rPr>
        <w:t xml:space="preserve"> intestino delgado y más de 80</w:t>
      </w:r>
      <w:r w:rsidR="001E2B04">
        <w:rPr>
          <w:rFonts w:ascii="Times New Roman" w:hAnsi="Times New Roman" w:cs="Times New Roman"/>
          <w:sz w:val="24"/>
          <w:szCs w:val="24"/>
        </w:rPr>
        <w:t xml:space="preserve"> </w:t>
      </w:r>
      <w:r w:rsidRPr="00DB3115">
        <w:rPr>
          <w:rFonts w:ascii="Times New Roman" w:hAnsi="Times New Roman" w:cs="Times New Roman"/>
          <w:sz w:val="24"/>
          <w:szCs w:val="24"/>
        </w:rPr>
        <w:t>% de los del intestino grueso</w:t>
      </w:r>
      <w:r w:rsidR="009A1870">
        <w:rPr>
          <w:rFonts w:ascii="Times New Roman" w:hAnsi="Times New Roman" w:cs="Times New Roman"/>
          <w:sz w:val="24"/>
          <w:szCs w:val="24"/>
        </w:rPr>
        <w:t>; es</w:t>
      </w:r>
      <w:r w:rsidRPr="00DB3115">
        <w:rPr>
          <w:rFonts w:ascii="Times New Roman" w:hAnsi="Times New Roman" w:cs="Times New Roman"/>
          <w:sz w:val="24"/>
          <w:szCs w:val="24"/>
        </w:rPr>
        <w:t xml:space="preserve"> la presencia de alimentos el estímulo más importante para su tropismo. De no existir ingesta, el tubo digestivo depende de principios endógenos como la glutamina o los cuerpos cetónicos que rápidamente se agotan, por lo que es imperioso reinstalar la alimentación lo más tempranamente posible</w:t>
      </w:r>
      <w:r w:rsidR="00C225EA" w:rsidRPr="00DB3115">
        <w:rPr>
          <w:rFonts w:ascii="Times New Roman" w:hAnsi="Times New Roman" w:cs="Times New Roman"/>
          <w:sz w:val="24"/>
          <w:szCs w:val="24"/>
        </w:rPr>
        <w:t xml:space="preserve"> (</w:t>
      </w:r>
      <w:r w:rsidR="007F0912" w:rsidRPr="00DB3115">
        <w:rPr>
          <w:rFonts w:ascii="Times New Roman" w:hAnsi="Times New Roman" w:cs="Times New Roman"/>
          <w:sz w:val="24"/>
          <w:szCs w:val="24"/>
        </w:rPr>
        <w:t xml:space="preserve">García </w:t>
      </w:r>
      <w:r w:rsidR="009A1870">
        <w:rPr>
          <w:rFonts w:ascii="Times New Roman" w:hAnsi="Times New Roman" w:cs="Times New Roman"/>
          <w:sz w:val="24"/>
          <w:szCs w:val="24"/>
        </w:rPr>
        <w:t>y</w:t>
      </w:r>
      <w:r w:rsidR="007F0912" w:rsidRPr="00DB3115">
        <w:rPr>
          <w:rFonts w:ascii="Times New Roman" w:hAnsi="Times New Roman" w:cs="Times New Roman"/>
          <w:sz w:val="24"/>
          <w:szCs w:val="24"/>
        </w:rPr>
        <w:t xml:space="preserve"> Grau</w:t>
      </w:r>
      <w:r w:rsidR="007F0912">
        <w:rPr>
          <w:rFonts w:ascii="Times New Roman" w:hAnsi="Times New Roman" w:cs="Times New Roman"/>
          <w:sz w:val="24"/>
          <w:szCs w:val="24"/>
        </w:rPr>
        <w:t>, 2005)</w:t>
      </w:r>
      <w:r w:rsidR="00C225EA" w:rsidRPr="00DB3115">
        <w:rPr>
          <w:rFonts w:ascii="Times New Roman" w:hAnsi="Times New Roman" w:cs="Times New Roman"/>
          <w:sz w:val="24"/>
          <w:szCs w:val="24"/>
        </w:rPr>
        <w:t>.</w:t>
      </w:r>
    </w:p>
    <w:p w14:paraId="4DE48CDC" w14:textId="566EE1B2" w:rsidR="006D63A5" w:rsidRPr="00DB3115" w:rsidRDefault="006D63A5" w:rsidP="003F3FAF">
      <w:pPr>
        <w:pStyle w:val="Textoindependiente"/>
        <w:spacing w:line="360" w:lineRule="auto"/>
        <w:ind w:right="49" w:firstLine="708"/>
        <w:rPr>
          <w:rFonts w:ascii="Times New Roman" w:hAnsi="Times New Roman"/>
          <w:sz w:val="24"/>
          <w:szCs w:val="24"/>
          <w:vertAlign w:val="superscript"/>
        </w:rPr>
      </w:pPr>
      <w:r w:rsidRPr="00DB3115">
        <w:rPr>
          <w:rFonts w:ascii="Times New Roman" w:hAnsi="Times New Roman"/>
          <w:sz w:val="24"/>
          <w:szCs w:val="24"/>
        </w:rPr>
        <w:t>La inanición conduce al acortamiento del yeyuno e íleon con disminución de la altura de las vellosidades, la caída de la celularidad y</w:t>
      </w:r>
      <w:r w:rsidR="00D82EAA">
        <w:rPr>
          <w:rFonts w:ascii="Times New Roman" w:hAnsi="Times New Roman"/>
          <w:sz w:val="24"/>
          <w:szCs w:val="24"/>
        </w:rPr>
        <w:t xml:space="preserve"> el</w:t>
      </w:r>
      <w:r w:rsidRPr="00DB3115">
        <w:rPr>
          <w:rFonts w:ascii="Times New Roman" w:hAnsi="Times New Roman"/>
          <w:sz w:val="24"/>
          <w:szCs w:val="24"/>
        </w:rPr>
        <w:t xml:space="preserve"> deterioro de las uniones intercelulares (responsables de la función de barrera). En cambio, el reinicio de la alimentación estimula la producción de hormonas </w:t>
      </w:r>
      <w:proofErr w:type="spellStart"/>
      <w:r w:rsidRPr="00DB3115">
        <w:rPr>
          <w:rFonts w:ascii="Times New Roman" w:hAnsi="Times New Roman"/>
          <w:sz w:val="24"/>
          <w:szCs w:val="24"/>
        </w:rPr>
        <w:t>enterotróficas</w:t>
      </w:r>
      <w:proofErr w:type="spellEnd"/>
      <w:r w:rsidRPr="00DB3115">
        <w:rPr>
          <w:rFonts w:ascii="Times New Roman" w:hAnsi="Times New Roman"/>
          <w:sz w:val="24"/>
          <w:szCs w:val="24"/>
        </w:rPr>
        <w:t xml:space="preserve"> (</w:t>
      </w:r>
      <w:proofErr w:type="spellStart"/>
      <w:r w:rsidRPr="00DB3115">
        <w:rPr>
          <w:rFonts w:ascii="Times New Roman" w:hAnsi="Times New Roman"/>
          <w:sz w:val="24"/>
          <w:szCs w:val="24"/>
        </w:rPr>
        <w:t>enteroglucagón</w:t>
      </w:r>
      <w:proofErr w:type="spellEnd"/>
      <w:r w:rsidRPr="00DB3115">
        <w:rPr>
          <w:rFonts w:ascii="Times New Roman" w:hAnsi="Times New Roman"/>
          <w:sz w:val="24"/>
          <w:szCs w:val="24"/>
        </w:rPr>
        <w:t xml:space="preserve"> y gastrina), potencia la renovación de enterocitos y contribuye a mantene</w:t>
      </w:r>
      <w:r w:rsidR="00C225EA" w:rsidRPr="00DB3115">
        <w:rPr>
          <w:rFonts w:ascii="Times New Roman" w:hAnsi="Times New Roman"/>
          <w:sz w:val="24"/>
          <w:szCs w:val="24"/>
        </w:rPr>
        <w:t>r la altura de las vellosidades (</w:t>
      </w:r>
      <w:r w:rsidR="007F0912" w:rsidRPr="00DB3115">
        <w:rPr>
          <w:rFonts w:ascii="Times New Roman" w:hAnsi="Times New Roman"/>
          <w:sz w:val="24"/>
          <w:szCs w:val="24"/>
        </w:rPr>
        <w:t xml:space="preserve">García </w:t>
      </w:r>
      <w:r w:rsidR="00D82EAA">
        <w:rPr>
          <w:rFonts w:ascii="Times New Roman" w:hAnsi="Times New Roman"/>
          <w:sz w:val="24"/>
          <w:szCs w:val="24"/>
        </w:rPr>
        <w:t>y</w:t>
      </w:r>
      <w:r w:rsidR="007F0912" w:rsidRPr="00DB3115">
        <w:rPr>
          <w:rFonts w:ascii="Times New Roman" w:hAnsi="Times New Roman"/>
          <w:sz w:val="24"/>
          <w:szCs w:val="24"/>
        </w:rPr>
        <w:t xml:space="preserve"> Grau</w:t>
      </w:r>
      <w:r w:rsidR="007F0912">
        <w:rPr>
          <w:rFonts w:ascii="Times New Roman" w:hAnsi="Times New Roman"/>
          <w:sz w:val="24"/>
          <w:szCs w:val="24"/>
        </w:rPr>
        <w:t>, 2005</w:t>
      </w:r>
      <w:r w:rsidR="00C225EA" w:rsidRPr="00DB3115">
        <w:rPr>
          <w:rFonts w:ascii="Times New Roman" w:hAnsi="Times New Roman"/>
          <w:sz w:val="24"/>
          <w:szCs w:val="24"/>
        </w:rPr>
        <w:t>).</w:t>
      </w:r>
    </w:p>
    <w:p w14:paraId="53FCA897" w14:textId="3D3C2180" w:rsidR="006D63A5" w:rsidRPr="00DB3115" w:rsidRDefault="006D63A5" w:rsidP="003F3FAF">
      <w:pPr>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t xml:space="preserve">La alimentación enteral contribuye también a mantener la función intestinal, potencia la absorción de aminoácidos esenciales y estimula la defecación, </w:t>
      </w:r>
      <w:r w:rsidR="00B7581D">
        <w:rPr>
          <w:rFonts w:ascii="Times New Roman" w:hAnsi="Times New Roman" w:cs="Times New Roman"/>
          <w:sz w:val="24"/>
          <w:szCs w:val="24"/>
        </w:rPr>
        <w:t>lo que reduce</w:t>
      </w:r>
      <w:r w:rsidR="00B7581D" w:rsidRPr="00DB3115">
        <w:rPr>
          <w:rFonts w:ascii="Times New Roman" w:hAnsi="Times New Roman" w:cs="Times New Roman"/>
          <w:sz w:val="24"/>
          <w:szCs w:val="24"/>
        </w:rPr>
        <w:t xml:space="preserve"> </w:t>
      </w:r>
      <w:r w:rsidRPr="00DB3115">
        <w:rPr>
          <w:rFonts w:ascii="Times New Roman" w:hAnsi="Times New Roman" w:cs="Times New Roman"/>
          <w:sz w:val="24"/>
          <w:szCs w:val="24"/>
        </w:rPr>
        <w:t>la presión de penetración de las endotoxinas y bacterias. Igualmente, la respuesta inmune (celular y humoral) está influencia</w:t>
      </w:r>
      <w:r w:rsidR="00C225EA" w:rsidRPr="00DB3115">
        <w:rPr>
          <w:rFonts w:ascii="Times New Roman" w:hAnsi="Times New Roman" w:cs="Times New Roman"/>
          <w:sz w:val="24"/>
          <w:szCs w:val="24"/>
        </w:rPr>
        <w:t>da por el ingreso de nutrientes (</w:t>
      </w:r>
      <w:proofErr w:type="spellStart"/>
      <w:r w:rsidR="007F0912" w:rsidRPr="00DB3115">
        <w:rPr>
          <w:rFonts w:ascii="Times New Roman" w:hAnsi="Times New Roman" w:cs="Times New Roman"/>
          <w:sz w:val="24"/>
          <w:szCs w:val="24"/>
        </w:rPr>
        <w:t>Mesejo</w:t>
      </w:r>
      <w:proofErr w:type="spellEnd"/>
      <w:r w:rsidR="007F0912" w:rsidRPr="00DB3115">
        <w:rPr>
          <w:rFonts w:ascii="Times New Roman" w:hAnsi="Times New Roman" w:cs="Times New Roman"/>
          <w:sz w:val="24"/>
          <w:szCs w:val="24"/>
        </w:rPr>
        <w:t xml:space="preserve"> </w:t>
      </w:r>
      <w:r w:rsidR="009353FD">
        <w:rPr>
          <w:rFonts w:ascii="Times New Roman" w:hAnsi="Times New Roman" w:cs="Times New Roman"/>
          <w:sz w:val="24"/>
          <w:szCs w:val="24"/>
        </w:rPr>
        <w:t>y</w:t>
      </w:r>
      <w:r w:rsidR="007F0912" w:rsidRPr="00DB3115">
        <w:rPr>
          <w:rFonts w:ascii="Times New Roman" w:hAnsi="Times New Roman" w:cs="Times New Roman"/>
          <w:sz w:val="24"/>
          <w:szCs w:val="24"/>
        </w:rPr>
        <w:t xml:space="preserve"> Blasco</w:t>
      </w:r>
      <w:r w:rsidR="007F0912">
        <w:rPr>
          <w:rFonts w:ascii="Times New Roman" w:hAnsi="Times New Roman" w:cs="Times New Roman"/>
          <w:sz w:val="24"/>
          <w:szCs w:val="24"/>
        </w:rPr>
        <w:t>, 2000</w:t>
      </w:r>
      <w:r w:rsidR="00C225EA" w:rsidRPr="00DB3115">
        <w:rPr>
          <w:rFonts w:ascii="Times New Roman" w:hAnsi="Times New Roman" w:cs="Times New Roman"/>
          <w:sz w:val="24"/>
          <w:szCs w:val="24"/>
        </w:rPr>
        <w:t>).</w:t>
      </w:r>
      <w:r w:rsidRPr="00DB3115">
        <w:rPr>
          <w:rFonts w:ascii="Times New Roman" w:hAnsi="Times New Roman" w:cs="Times New Roman"/>
          <w:sz w:val="24"/>
          <w:szCs w:val="24"/>
        </w:rPr>
        <w:t xml:space="preserve"> </w:t>
      </w:r>
    </w:p>
    <w:p w14:paraId="486AAC95" w14:textId="0EA89346" w:rsidR="005274A4" w:rsidRDefault="006D63A5" w:rsidP="003F3FAF">
      <w:pPr>
        <w:autoSpaceDE w:val="0"/>
        <w:autoSpaceDN w:val="0"/>
        <w:adjustRightInd w:val="0"/>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t xml:space="preserve">Por otra parte, la </w:t>
      </w:r>
      <w:proofErr w:type="spellStart"/>
      <w:r w:rsidRPr="00DB3115">
        <w:rPr>
          <w:rFonts w:ascii="Times New Roman" w:hAnsi="Times New Roman" w:cs="Times New Roman"/>
          <w:sz w:val="24"/>
          <w:szCs w:val="24"/>
        </w:rPr>
        <w:t>inmunonutrición</w:t>
      </w:r>
      <w:proofErr w:type="spellEnd"/>
      <w:r w:rsidRPr="00DB3115">
        <w:rPr>
          <w:rFonts w:ascii="Times New Roman" w:hAnsi="Times New Roman" w:cs="Times New Roman"/>
          <w:sz w:val="24"/>
          <w:szCs w:val="24"/>
        </w:rPr>
        <w:t xml:space="preserve"> nació a principios de los 90 con la idea de ser una vía con la cual</w:t>
      </w:r>
      <w:r w:rsidR="00125BB1">
        <w:rPr>
          <w:rFonts w:ascii="Times New Roman" w:hAnsi="Times New Roman" w:cs="Times New Roman"/>
          <w:sz w:val="24"/>
          <w:szCs w:val="24"/>
        </w:rPr>
        <w:t>,</w:t>
      </w:r>
      <w:r w:rsidRPr="00DB3115">
        <w:rPr>
          <w:rFonts w:ascii="Times New Roman" w:hAnsi="Times New Roman" w:cs="Times New Roman"/>
          <w:sz w:val="24"/>
          <w:szCs w:val="24"/>
        </w:rPr>
        <w:t xml:space="preserve"> además de administrar al paciente los requerimientos nutricionales, se pudiera mejorar su estado inmunológico con el aporte de sustratos nutricionales con capacidad </w:t>
      </w:r>
      <w:proofErr w:type="spellStart"/>
      <w:r w:rsidRPr="00DB3115">
        <w:rPr>
          <w:rFonts w:ascii="Times New Roman" w:hAnsi="Times New Roman" w:cs="Times New Roman"/>
          <w:sz w:val="24"/>
          <w:szCs w:val="24"/>
        </w:rPr>
        <w:t>inmunomoduladora</w:t>
      </w:r>
      <w:proofErr w:type="spellEnd"/>
      <w:r w:rsidR="00D1699A">
        <w:rPr>
          <w:rFonts w:ascii="Times New Roman" w:hAnsi="Times New Roman" w:cs="Times New Roman"/>
          <w:sz w:val="24"/>
          <w:szCs w:val="24"/>
        </w:rPr>
        <w:t xml:space="preserve"> y así</w:t>
      </w:r>
      <w:r w:rsidRPr="00DB3115">
        <w:rPr>
          <w:rFonts w:ascii="Times New Roman" w:hAnsi="Times New Roman" w:cs="Times New Roman"/>
          <w:sz w:val="24"/>
          <w:szCs w:val="24"/>
        </w:rPr>
        <w:t xml:space="preserve"> minimizar la respuesta a la agresión quirúrgica o traumática</w:t>
      </w:r>
      <w:r w:rsidR="00C225EA" w:rsidRPr="00DB3115">
        <w:rPr>
          <w:rFonts w:ascii="Times New Roman" w:hAnsi="Times New Roman" w:cs="Times New Roman"/>
          <w:sz w:val="24"/>
          <w:szCs w:val="24"/>
        </w:rPr>
        <w:t xml:space="preserve"> (</w:t>
      </w:r>
      <w:r w:rsidR="00403A4F" w:rsidRPr="00DB3115">
        <w:rPr>
          <w:rFonts w:ascii="Times New Roman" w:hAnsi="Times New Roman" w:cs="Times New Roman"/>
          <w:sz w:val="24"/>
          <w:szCs w:val="24"/>
        </w:rPr>
        <w:t xml:space="preserve">Silva </w:t>
      </w:r>
      <w:r w:rsidR="00403A4F" w:rsidRPr="003F3FAF">
        <w:rPr>
          <w:rFonts w:ascii="Times New Roman" w:hAnsi="Times New Roman" w:cs="Times New Roman"/>
          <w:i/>
          <w:iCs/>
          <w:sz w:val="24"/>
          <w:szCs w:val="24"/>
        </w:rPr>
        <w:t>et al</w:t>
      </w:r>
      <w:r w:rsidR="00403A4F">
        <w:rPr>
          <w:rFonts w:ascii="Times New Roman" w:hAnsi="Times New Roman" w:cs="Times New Roman"/>
          <w:sz w:val="24"/>
          <w:szCs w:val="24"/>
        </w:rPr>
        <w:t>.,</w:t>
      </w:r>
      <w:r w:rsidR="00270BFE">
        <w:rPr>
          <w:rFonts w:ascii="Times New Roman" w:hAnsi="Times New Roman" w:cs="Times New Roman"/>
          <w:sz w:val="24"/>
          <w:szCs w:val="24"/>
        </w:rPr>
        <w:t xml:space="preserve"> </w:t>
      </w:r>
      <w:r w:rsidR="00403A4F">
        <w:rPr>
          <w:rFonts w:ascii="Times New Roman" w:hAnsi="Times New Roman" w:cs="Times New Roman"/>
          <w:sz w:val="24"/>
          <w:szCs w:val="24"/>
        </w:rPr>
        <w:t>2016</w:t>
      </w:r>
      <w:r w:rsidR="00C225EA" w:rsidRPr="00DB3115">
        <w:rPr>
          <w:rFonts w:ascii="Times New Roman" w:hAnsi="Times New Roman" w:cs="Times New Roman"/>
          <w:sz w:val="24"/>
          <w:szCs w:val="24"/>
        </w:rPr>
        <w:t>).</w:t>
      </w:r>
      <w:r w:rsidR="005274A4" w:rsidRPr="005274A4">
        <w:t xml:space="preserve"> </w:t>
      </w:r>
      <w:r w:rsidR="005274A4" w:rsidRPr="00403A4F">
        <w:rPr>
          <w:rFonts w:ascii="Times New Roman" w:hAnsi="Times New Roman" w:cs="Times New Roman"/>
          <w:sz w:val="24"/>
          <w:szCs w:val="24"/>
        </w:rPr>
        <w:t xml:space="preserve">Los componentes de estas dietas han demostrado la modificación de la respuesta inmune: </w:t>
      </w:r>
      <w:r w:rsidR="00D1699A">
        <w:rPr>
          <w:rFonts w:ascii="Times New Roman" w:hAnsi="Times New Roman" w:cs="Times New Roman"/>
          <w:sz w:val="24"/>
          <w:szCs w:val="24"/>
        </w:rPr>
        <w:t>favorece</w:t>
      </w:r>
      <w:r w:rsidR="00CE62EB">
        <w:rPr>
          <w:rFonts w:ascii="Times New Roman" w:hAnsi="Times New Roman" w:cs="Times New Roman"/>
          <w:sz w:val="24"/>
          <w:szCs w:val="24"/>
        </w:rPr>
        <w:t>n</w:t>
      </w:r>
      <w:r w:rsidR="00D1699A" w:rsidRPr="00403A4F">
        <w:rPr>
          <w:rFonts w:ascii="Times New Roman" w:hAnsi="Times New Roman" w:cs="Times New Roman"/>
          <w:sz w:val="24"/>
          <w:szCs w:val="24"/>
        </w:rPr>
        <w:t xml:space="preserve"> </w:t>
      </w:r>
      <w:r w:rsidR="005274A4" w:rsidRPr="00403A4F">
        <w:rPr>
          <w:rFonts w:ascii="Times New Roman" w:hAnsi="Times New Roman" w:cs="Times New Roman"/>
          <w:sz w:val="24"/>
          <w:szCs w:val="24"/>
        </w:rPr>
        <w:t xml:space="preserve">la replicación de los linfocitos, </w:t>
      </w:r>
      <w:r w:rsidR="001C7CD6">
        <w:rPr>
          <w:rFonts w:ascii="Times New Roman" w:hAnsi="Times New Roman" w:cs="Times New Roman"/>
          <w:sz w:val="24"/>
          <w:szCs w:val="24"/>
        </w:rPr>
        <w:t>estimulan</w:t>
      </w:r>
      <w:r w:rsidR="001C7CD6" w:rsidRPr="00403A4F">
        <w:rPr>
          <w:rFonts w:ascii="Times New Roman" w:hAnsi="Times New Roman" w:cs="Times New Roman"/>
          <w:sz w:val="24"/>
          <w:szCs w:val="24"/>
        </w:rPr>
        <w:t xml:space="preserve"> </w:t>
      </w:r>
      <w:r w:rsidR="005274A4" w:rsidRPr="00403A4F">
        <w:rPr>
          <w:rFonts w:ascii="Times New Roman" w:hAnsi="Times New Roman" w:cs="Times New Roman"/>
          <w:sz w:val="24"/>
          <w:szCs w:val="24"/>
        </w:rPr>
        <w:t xml:space="preserve">la producción de determinados tipos de citoquinas y eicosanoides y </w:t>
      </w:r>
      <w:r w:rsidR="001C7CD6">
        <w:rPr>
          <w:rFonts w:ascii="Times New Roman" w:hAnsi="Times New Roman" w:cs="Times New Roman"/>
          <w:sz w:val="24"/>
          <w:szCs w:val="24"/>
        </w:rPr>
        <w:t>disminuyen</w:t>
      </w:r>
      <w:r w:rsidR="001C7CD6" w:rsidRPr="00403A4F">
        <w:rPr>
          <w:rFonts w:ascii="Times New Roman" w:hAnsi="Times New Roman" w:cs="Times New Roman"/>
          <w:sz w:val="24"/>
          <w:szCs w:val="24"/>
        </w:rPr>
        <w:t xml:space="preserve"> </w:t>
      </w:r>
      <w:r w:rsidR="005274A4" w:rsidRPr="00403A4F">
        <w:rPr>
          <w:rFonts w:ascii="Times New Roman" w:hAnsi="Times New Roman" w:cs="Times New Roman"/>
          <w:sz w:val="24"/>
          <w:szCs w:val="24"/>
        </w:rPr>
        <w:t xml:space="preserve">la liberación </w:t>
      </w:r>
      <w:r w:rsidR="005274A4" w:rsidRPr="00403A4F">
        <w:rPr>
          <w:rFonts w:ascii="Times New Roman" w:hAnsi="Times New Roman" w:cs="Times New Roman"/>
          <w:sz w:val="24"/>
          <w:szCs w:val="24"/>
        </w:rPr>
        <w:lastRenderedPageBreak/>
        <w:t xml:space="preserve">de otros, </w:t>
      </w:r>
      <w:r w:rsidR="001C7CD6">
        <w:rPr>
          <w:rFonts w:ascii="Times New Roman" w:hAnsi="Times New Roman" w:cs="Times New Roman"/>
          <w:sz w:val="24"/>
          <w:szCs w:val="24"/>
        </w:rPr>
        <w:t>lo que lleva</w:t>
      </w:r>
      <w:r w:rsidR="001C7CD6" w:rsidRPr="00403A4F">
        <w:rPr>
          <w:rFonts w:ascii="Times New Roman" w:hAnsi="Times New Roman" w:cs="Times New Roman"/>
          <w:sz w:val="24"/>
          <w:szCs w:val="24"/>
        </w:rPr>
        <w:t xml:space="preserve"> </w:t>
      </w:r>
      <w:r w:rsidR="0086663A">
        <w:rPr>
          <w:rFonts w:ascii="Times New Roman" w:hAnsi="Times New Roman" w:cs="Times New Roman"/>
          <w:sz w:val="24"/>
          <w:szCs w:val="24"/>
        </w:rPr>
        <w:t>a</w:t>
      </w:r>
      <w:r w:rsidR="0086663A" w:rsidRPr="00403A4F">
        <w:rPr>
          <w:rFonts w:ascii="Times New Roman" w:hAnsi="Times New Roman" w:cs="Times New Roman"/>
          <w:sz w:val="24"/>
          <w:szCs w:val="24"/>
        </w:rPr>
        <w:t xml:space="preserve"> </w:t>
      </w:r>
      <w:r w:rsidR="005274A4" w:rsidRPr="00403A4F">
        <w:rPr>
          <w:rFonts w:ascii="Times New Roman" w:hAnsi="Times New Roman" w:cs="Times New Roman"/>
          <w:sz w:val="24"/>
          <w:szCs w:val="24"/>
        </w:rPr>
        <w:t>la respuesta inflamatoria</w:t>
      </w:r>
      <w:r w:rsidR="0086663A">
        <w:rPr>
          <w:rFonts w:ascii="Times New Roman" w:hAnsi="Times New Roman" w:cs="Times New Roman"/>
          <w:sz w:val="24"/>
          <w:szCs w:val="24"/>
        </w:rPr>
        <w:t xml:space="preserve"> a un equilibrio</w:t>
      </w:r>
      <w:r w:rsidR="00033EEB">
        <w:rPr>
          <w:rFonts w:ascii="Times New Roman" w:hAnsi="Times New Roman" w:cs="Times New Roman"/>
          <w:sz w:val="24"/>
          <w:szCs w:val="24"/>
        </w:rPr>
        <w:t>,</w:t>
      </w:r>
      <w:r w:rsidR="005274A4" w:rsidRPr="00403A4F">
        <w:rPr>
          <w:rFonts w:ascii="Times New Roman" w:hAnsi="Times New Roman" w:cs="Times New Roman"/>
          <w:sz w:val="24"/>
          <w:szCs w:val="24"/>
        </w:rPr>
        <w:t xml:space="preserve"> </w:t>
      </w:r>
      <w:r w:rsidR="001C7CD6">
        <w:rPr>
          <w:rFonts w:ascii="Times New Roman" w:hAnsi="Times New Roman" w:cs="Times New Roman"/>
          <w:sz w:val="24"/>
          <w:szCs w:val="24"/>
        </w:rPr>
        <w:t>todo lo cual</w:t>
      </w:r>
      <w:r w:rsidR="00106DBC" w:rsidRPr="00106DBC">
        <w:rPr>
          <w:rFonts w:ascii="Times New Roman" w:hAnsi="Times New Roman" w:cs="Times New Roman"/>
          <w:sz w:val="24"/>
          <w:szCs w:val="24"/>
        </w:rPr>
        <w:t xml:space="preserve"> redit</w:t>
      </w:r>
      <w:r w:rsidR="00CE4034">
        <w:rPr>
          <w:rFonts w:ascii="Times New Roman" w:hAnsi="Times New Roman" w:cs="Times New Roman"/>
          <w:sz w:val="24"/>
          <w:szCs w:val="24"/>
        </w:rPr>
        <w:t>ú</w:t>
      </w:r>
      <w:r w:rsidR="00106DBC" w:rsidRPr="00106DBC">
        <w:rPr>
          <w:rFonts w:ascii="Times New Roman" w:hAnsi="Times New Roman" w:cs="Times New Roman"/>
          <w:sz w:val="24"/>
          <w:szCs w:val="24"/>
        </w:rPr>
        <w:t xml:space="preserve">a en una recuperación más rápida del paciente </w:t>
      </w:r>
      <w:r w:rsidR="001C7CD6">
        <w:rPr>
          <w:rFonts w:ascii="Times New Roman" w:hAnsi="Times New Roman" w:cs="Times New Roman"/>
          <w:sz w:val="24"/>
          <w:szCs w:val="24"/>
        </w:rPr>
        <w:t>y</w:t>
      </w:r>
      <w:r w:rsidR="007D782A">
        <w:rPr>
          <w:rFonts w:ascii="Times New Roman" w:hAnsi="Times New Roman" w:cs="Times New Roman"/>
          <w:sz w:val="24"/>
          <w:szCs w:val="24"/>
        </w:rPr>
        <w:t>, como se ha observado, en</w:t>
      </w:r>
      <w:r w:rsidR="001C7CD6" w:rsidRPr="00106DBC">
        <w:rPr>
          <w:rFonts w:ascii="Times New Roman" w:hAnsi="Times New Roman" w:cs="Times New Roman"/>
          <w:sz w:val="24"/>
          <w:szCs w:val="24"/>
        </w:rPr>
        <w:t xml:space="preserve"> </w:t>
      </w:r>
      <w:r w:rsidR="00106DBC" w:rsidRPr="00106DBC">
        <w:rPr>
          <w:rFonts w:ascii="Times New Roman" w:hAnsi="Times New Roman" w:cs="Times New Roman"/>
          <w:sz w:val="24"/>
          <w:szCs w:val="24"/>
        </w:rPr>
        <w:t xml:space="preserve">una </w:t>
      </w:r>
      <w:r w:rsidR="005274A4" w:rsidRPr="00106DBC">
        <w:rPr>
          <w:rFonts w:ascii="Times New Roman" w:hAnsi="Times New Roman" w:cs="Times New Roman"/>
          <w:sz w:val="24"/>
          <w:szCs w:val="24"/>
        </w:rPr>
        <w:t xml:space="preserve">disminución </w:t>
      </w:r>
      <w:r w:rsidR="005274A4">
        <w:rPr>
          <w:rFonts w:ascii="Times New Roman" w:hAnsi="Times New Roman" w:cs="Times New Roman"/>
          <w:sz w:val="24"/>
          <w:szCs w:val="24"/>
        </w:rPr>
        <w:t>de la morbimortalidad</w:t>
      </w:r>
      <w:r w:rsidR="007D782A">
        <w:rPr>
          <w:rFonts w:ascii="Times New Roman" w:hAnsi="Times New Roman" w:cs="Times New Roman"/>
          <w:sz w:val="24"/>
          <w:szCs w:val="24"/>
        </w:rPr>
        <w:t xml:space="preserve">, </w:t>
      </w:r>
      <w:r w:rsidR="00C82AEC">
        <w:rPr>
          <w:rFonts w:ascii="Times New Roman" w:hAnsi="Times New Roman" w:cs="Times New Roman"/>
          <w:sz w:val="24"/>
          <w:szCs w:val="24"/>
        </w:rPr>
        <w:t>así como provoca el</w:t>
      </w:r>
      <w:r w:rsidR="00CE4034">
        <w:rPr>
          <w:rFonts w:ascii="Times New Roman" w:hAnsi="Times New Roman" w:cs="Times New Roman"/>
          <w:sz w:val="24"/>
          <w:szCs w:val="24"/>
        </w:rPr>
        <w:t xml:space="preserve"> </w:t>
      </w:r>
      <w:r w:rsidR="0034384F">
        <w:rPr>
          <w:rFonts w:ascii="Times New Roman" w:hAnsi="Times New Roman" w:cs="Times New Roman"/>
          <w:sz w:val="24"/>
          <w:szCs w:val="24"/>
        </w:rPr>
        <w:t xml:space="preserve">decremento </w:t>
      </w:r>
      <w:r w:rsidR="007D782A">
        <w:rPr>
          <w:rFonts w:ascii="Times New Roman" w:hAnsi="Times New Roman" w:cs="Times New Roman"/>
          <w:sz w:val="24"/>
          <w:szCs w:val="24"/>
        </w:rPr>
        <w:t>de</w:t>
      </w:r>
      <w:r w:rsidR="005274A4">
        <w:rPr>
          <w:rFonts w:ascii="Times New Roman" w:hAnsi="Times New Roman" w:cs="Times New Roman"/>
          <w:sz w:val="24"/>
          <w:szCs w:val="24"/>
        </w:rPr>
        <w:t xml:space="preserve"> los días de estancia hospitalaria </w:t>
      </w:r>
      <w:r w:rsidR="007D782A">
        <w:rPr>
          <w:rFonts w:ascii="Times New Roman" w:hAnsi="Times New Roman" w:cs="Times New Roman"/>
          <w:sz w:val="24"/>
          <w:szCs w:val="24"/>
        </w:rPr>
        <w:t xml:space="preserve">y, por extensión, </w:t>
      </w:r>
      <w:r w:rsidR="00C82AEC">
        <w:rPr>
          <w:rFonts w:ascii="Times New Roman" w:hAnsi="Times New Roman" w:cs="Times New Roman"/>
          <w:sz w:val="24"/>
          <w:szCs w:val="24"/>
        </w:rPr>
        <w:t>la</w:t>
      </w:r>
      <w:r w:rsidR="005274A4">
        <w:rPr>
          <w:rFonts w:ascii="Times New Roman" w:hAnsi="Times New Roman" w:cs="Times New Roman"/>
          <w:sz w:val="24"/>
          <w:szCs w:val="24"/>
        </w:rPr>
        <w:t xml:space="preserve"> reducción </w:t>
      </w:r>
      <w:r w:rsidR="00CE4034">
        <w:rPr>
          <w:rFonts w:ascii="Times New Roman" w:hAnsi="Times New Roman" w:cs="Times New Roman"/>
          <w:sz w:val="24"/>
          <w:szCs w:val="24"/>
        </w:rPr>
        <w:t>de</w:t>
      </w:r>
      <w:r w:rsidR="00CE4034" w:rsidRPr="00106DBC">
        <w:rPr>
          <w:rFonts w:ascii="Times New Roman" w:hAnsi="Times New Roman" w:cs="Times New Roman"/>
          <w:sz w:val="24"/>
          <w:szCs w:val="24"/>
        </w:rPr>
        <w:t xml:space="preserve"> </w:t>
      </w:r>
      <w:r w:rsidR="00106DBC" w:rsidRPr="00106DBC">
        <w:rPr>
          <w:rFonts w:ascii="Times New Roman" w:hAnsi="Times New Roman" w:cs="Times New Roman"/>
          <w:sz w:val="24"/>
          <w:szCs w:val="24"/>
        </w:rPr>
        <w:t xml:space="preserve">los costos tanto para el paciente como para la institución </w:t>
      </w:r>
      <w:r w:rsidR="00403A4F" w:rsidRPr="00DB3115">
        <w:rPr>
          <w:rFonts w:ascii="Times New Roman" w:hAnsi="Times New Roman" w:cs="Times New Roman"/>
          <w:sz w:val="24"/>
          <w:szCs w:val="24"/>
        </w:rPr>
        <w:t xml:space="preserve">(Silva </w:t>
      </w:r>
      <w:r w:rsidR="00403A4F" w:rsidRPr="003F3FAF">
        <w:rPr>
          <w:rFonts w:ascii="Times New Roman" w:hAnsi="Times New Roman" w:cs="Times New Roman"/>
          <w:i/>
          <w:iCs/>
          <w:sz w:val="24"/>
          <w:szCs w:val="24"/>
        </w:rPr>
        <w:t>et al</w:t>
      </w:r>
      <w:r w:rsidR="00403A4F">
        <w:rPr>
          <w:rFonts w:ascii="Times New Roman" w:hAnsi="Times New Roman" w:cs="Times New Roman"/>
          <w:sz w:val="24"/>
          <w:szCs w:val="24"/>
        </w:rPr>
        <w:t>.,</w:t>
      </w:r>
      <w:r w:rsidR="00033EEB">
        <w:rPr>
          <w:rFonts w:ascii="Times New Roman" w:hAnsi="Times New Roman" w:cs="Times New Roman"/>
          <w:sz w:val="24"/>
          <w:szCs w:val="24"/>
        </w:rPr>
        <w:t xml:space="preserve"> </w:t>
      </w:r>
      <w:r w:rsidR="00403A4F">
        <w:rPr>
          <w:rFonts w:ascii="Times New Roman" w:hAnsi="Times New Roman" w:cs="Times New Roman"/>
          <w:sz w:val="24"/>
          <w:szCs w:val="24"/>
        </w:rPr>
        <w:t>2016</w:t>
      </w:r>
      <w:r w:rsidR="00403A4F" w:rsidRPr="00DB3115">
        <w:rPr>
          <w:rFonts w:ascii="Times New Roman" w:hAnsi="Times New Roman" w:cs="Times New Roman"/>
          <w:sz w:val="24"/>
          <w:szCs w:val="24"/>
        </w:rPr>
        <w:t>)</w:t>
      </w:r>
      <w:r w:rsidR="00033EEB">
        <w:rPr>
          <w:rFonts w:ascii="Times New Roman" w:hAnsi="Times New Roman" w:cs="Times New Roman"/>
          <w:sz w:val="24"/>
          <w:szCs w:val="24"/>
        </w:rPr>
        <w:t>.</w:t>
      </w:r>
    </w:p>
    <w:p w14:paraId="740D936F" w14:textId="28ED3FDA" w:rsidR="0049744F" w:rsidRPr="00F870D1" w:rsidRDefault="001245A2" w:rsidP="003F3FAF">
      <w:pPr>
        <w:autoSpaceDE w:val="0"/>
        <w:autoSpaceDN w:val="0"/>
        <w:adjustRightInd w:val="0"/>
        <w:spacing w:after="0"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Teniendo en cuento todo lo hasta aquí mencionado</w:t>
      </w:r>
      <w:r w:rsidR="006D63A5" w:rsidRPr="00DB3115">
        <w:rPr>
          <w:rFonts w:ascii="Times New Roman" w:hAnsi="Times New Roman" w:cs="Times New Roman"/>
          <w:sz w:val="24"/>
          <w:szCs w:val="24"/>
        </w:rPr>
        <w:t xml:space="preserve">, el presente estudio tiene como objetivo determinar el impacto de la </w:t>
      </w:r>
      <w:r w:rsidR="00770825">
        <w:rPr>
          <w:rFonts w:ascii="Times New Roman" w:hAnsi="Times New Roman" w:cs="Times New Roman"/>
          <w:sz w:val="24"/>
          <w:szCs w:val="24"/>
        </w:rPr>
        <w:t>NETI</w:t>
      </w:r>
      <w:r w:rsidR="006D63A5" w:rsidRPr="00DB3115">
        <w:rPr>
          <w:rFonts w:ascii="Times New Roman" w:hAnsi="Times New Roman" w:cs="Times New Roman"/>
          <w:sz w:val="24"/>
          <w:szCs w:val="24"/>
        </w:rPr>
        <w:t xml:space="preserve"> en la morbimortalidad en pacientes con</w:t>
      </w:r>
      <w:r w:rsidR="00F56AD4">
        <w:rPr>
          <w:rFonts w:ascii="Times New Roman" w:hAnsi="Times New Roman" w:cs="Times New Roman"/>
          <w:sz w:val="24"/>
          <w:szCs w:val="24"/>
        </w:rPr>
        <w:t xml:space="preserve"> </w:t>
      </w:r>
      <w:r w:rsidR="00F56AD4" w:rsidRPr="00DB3115">
        <w:rPr>
          <w:rFonts w:ascii="Times New Roman" w:hAnsi="Times New Roman" w:cs="Times New Roman"/>
          <w:color w:val="000000"/>
          <w:sz w:val="24"/>
          <w:szCs w:val="24"/>
          <w:shd w:val="clear" w:color="auto" w:fill="FFFFFF"/>
        </w:rPr>
        <w:t>traumatismo craneoencefálico</w:t>
      </w:r>
      <w:r w:rsidR="006D63A5" w:rsidRPr="00DB3115">
        <w:rPr>
          <w:rFonts w:ascii="Times New Roman" w:hAnsi="Times New Roman" w:cs="Times New Roman"/>
          <w:sz w:val="24"/>
          <w:szCs w:val="24"/>
        </w:rPr>
        <w:t xml:space="preserve"> </w:t>
      </w:r>
      <w:r w:rsidR="00F56AD4">
        <w:rPr>
          <w:rFonts w:ascii="Times New Roman" w:hAnsi="Times New Roman" w:cs="Times New Roman"/>
          <w:sz w:val="24"/>
          <w:szCs w:val="24"/>
        </w:rPr>
        <w:t>(</w:t>
      </w:r>
      <w:r w:rsidR="006D63A5" w:rsidRPr="00DB3115">
        <w:rPr>
          <w:rFonts w:ascii="Times New Roman" w:hAnsi="Times New Roman" w:cs="Times New Roman"/>
          <w:sz w:val="24"/>
          <w:szCs w:val="24"/>
        </w:rPr>
        <w:t>TCE</w:t>
      </w:r>
      <w:r w:rsidR="00F56AD4">
        <w:rPr>
          <w:rFonts w:ascii="Times New Roman" w:hAnsi="Times New Roman" w:cs="Times New Roman"/>
          <w:sz w:val="24"/>
          <w:szCs w:val="24"/>
        </w:rPr>
        <w:t>)</w:t>
      </w:r>
      <w:r w:rsidR="006D63A5" w:rsidRPr="00DB3115">
        <w:rPr>
          <w:rFonts w:ascii="Times New Roman" w:hAnsi="Times New Roman" w:cs="Times New Roman"/>
          <w:sz w:val="24"/>
          <w:szCs w:val="24"/>
        </w:rPr>
        <w:t xml:space="preserve"> en la </w:t>
      </w:r>
      <w:r w:rsidRPr="00DB3115">
        <w:rPr>
          <w:rFonts w:ascii="Times New Roman" w:hAnsi="Times New Roman" w:cs="Times New Roman"/>
          <w:sz w:val="24"/>
          <w:szCs w:val="24"/>
        </w:rPr>
        <w:t xml:space="preserve">Unidad de Cuidados Intensivos </w:t>
      </w:r>
      <w:r w:rsidR="006D63A5" w:rsidRPr="00DB3115">
        <w:rPr>
          <w:rFonts w:ascii="Times New Roman" w:hAnsi="Times New Roman" w:cs="Times New Roman"/>
          <w:sz w:val="24"/>
          <w:szCs w:val="24"/>
        </w:rPr>
        <w:t xml:space="preserve">del Hospital General de </w:t>
      </w:r>
      <w:r w:rsidR="005D5B8C" w:rsidRPr="00DB3115">
        <w:rPr>
          <w:rFonts w:ascii="Times New Roman" w:hAnsi="Times New Roman" w:cs="Times New Roman"/>
          <w:sz w:val="24"/>
          <w:szCs w:val="24"/>
        </w:rPr>
        <w:t>Mexicali, México,</w:t>
      </w:r>
      <w:r w:rsidR="006D63A5" w:rsidRPr="00DB3115">
        <w:rPr>
          <w:rFonts w:ascii="Times New Roman" w:hAnsi="Times New Roman" w:cs="Times New Roman"/>
          <w:sz w:val="24"/>
          <w:szCs w:val="24"/>
        </w:rPr>
        <w:t xml:space="preserve"> con el propósito de que</w:t>
      </w:r>
      <w:r w:rsidR="0086663A">
        <w:rPr>
          <w:rFonts w:ascii="Times New Roman" w:hAnsi="Times New Roman" w:cs="Times New Roman"/>
          <w:sz w:val="24"/>
          <w:szCs w:val="24"/>
        </w:rPr>
        <w:t>,</w:t>
      </w:r>
      <w:r w:rsidR="006D63A5" w:rsidRPr="00DB3115">
        <w:rPr>
          <w:rFonts w:ascii="Times New Roman" w:hAnsi="Times New Roman" w:cs="Times New Roman"/>
          <w:sz w:val="24"/>
          <w:szCs w:val="24"/>
        </w:rPr>
        <w:t xml:space="preserve"> a partir de los resultados</w:t>
      </w:r>
      <w:r w:rsidR="0086663A">
        <w:rPr>
          <w:rFonts w:ascii="Times New Roman" w:hAnsi="Times New Roman" w:cs="Times New Roman"/>
          <w:sz w:val="24"/>
          <w:szCs w:val="24"/>
        </w:rPr>
        <w:t>,</w:t>
      </w:r>
      <w:r w:rsidR="006D63A5" w:rsidRPr="00DB3115">
        <w:rPr>
          <w:rFonts w:ascii="Times New Roman" w:hAnsi="Times New Roman" w:cs="Times New Roman"/>
          <w:sz w:val="24"/>
          <w:szCs w:val="24"/>
        </w:rPr>
        <w:t xml:space="preserve"> se brinde información actualizada y relevante para el beneficio en el manejo nutricional del paciente.</w:t>
      </w:r>
    </w:p>
    <w:p w14:paraId="4CCCA75A" w14:textId="77777777" w:rsidR="00505A5A" w:rsidRDefault="00505A5A" w:rsidP="003F3FAF">
      <w:pPr>
        <w:spacing w:after="0" w:line="360" w:lineRule="auto"/>
        <w:ind w:right="49"/>
        <w:jc w:val="both"/>
        <w:rPr>
          <w:rFonts w:ascii="Times New Roman" w:hAnsi="Times New Roman" w:cs="Times New Roman"/>
          <w:b/>
          <w:sz w:val="24"/>
          <w:szCs w:val="24"/>
        </w:rPr>
      </w:pPr>
    </w:p>
    <w:p w14:paraId="47DDFDFD" w14:textId="30B756A7" w:rsidR="00057B85" w:rsidRPr="003F3FAF" w:rsidRDefault="00505A5A" w:rsidP="00903856">
      <w:pPr>
        <w:spacing w:after="0" w:line="360" w:lineRule="auto"/>
        <w:ind w:right="49"/>
        <w:jc w:val="center"/>
        <w:rPr>
          <w:rFonts w:ascii="Times New Roman" w:hAnsi="Times New Roman" w:cs="Times New Roman"/>
          <w:b/>
          <w:sz w:val="32"/>
          <w:szCs w:val="32"/>
        </w:rPr>
      </w:pPr>
      <w:r>
        <w:rPr>
          <w:rFonts w:ascii="Times New Roman" w:hAnsi="Times New Roman" w:cs="Times New Roman"/>
          <w:b/>
          <w:sz w:val="32"/>
          <w:szCs w:val="32"/>
        </w:rPr>
        <w:t>M</w:t>
      </w:r>
      <w:r w:rsidRPr="003F3FAF">
        <w:rPr>
          <w:rFonts w:ascii="Times New Roman" w:hAnsi="Times New Roman" w:cs="Times New Roman"/>
          <w:b/>
          <w:sz w:val="32"/>
          <w:szCs w:val="32"/>
        </w:rPr>
        <w:t>aterial y métodos</w:t>
      </w:r>
    </w:p>
    <w:p w14:paraId="749EE943" w14:textId="6A2403C1" w:rsidR="00505A5A" w:rsidRDefault="0086663A" w:rsidP="003F3FAF">
      <w:pPr>
        <w:spacing w:after="0" w:line="360" w:lineRule="auto"/>
        <w:ind w:right="49" w:firstLine="708"/>
        <w:jc w:val="both"/>
        <w:rPr>
          <w:rFonts w:ascii="Times New Roman" w:hAnsi="Times New Roman" w:cs="Times New Roman"/>
          <w:sz w:val="24"/>
          <w:szCs w:val="24"/>
        </w:rPr>
      </w:pPr>
      <w:r>
        <w:rPr>
          <w:rFonts w:ascii="Times New Roman" w:eastAsia="Calibri" w:hAnsi="Times New Roman" w:cs="Times New Roman"/>
          <w:bCs/>
          <w:sz w:val="24"/>
          <w:szCs w:val="24"/>
        </w:rPr>
        <w:t>Se trató de</w:t>
      </w:r>
      <w:r w:rsidRPr="00DB3115">
        <w:rPr>
          <w:rFonts w:ascii="Times New Roman" w:eastAsia="Calibri" w:hAnsi="Times New Roman" w:cs="Times New Roman"/>
          <w:bCs/>
          <w:sz w:val="24"/>
          <w:szCs w:val="24"/>
        </w:rPr>
        <w:t xml:space="preserve"> </w:t>
      </w:r>
      <w:r w:rsidR="00D04667">
        <w:rPr>
          <w:rFonts w:ascii="Times New Roman" w:eastAsia="Calibri" w:hAnsi="Times New Roman" w:cs="Times New Roman"/>
          <w:bCs/>
          <w:sz w:val="24"/>
          <w:szCs w:val="24"/>
        </w:rPr>
        <w:t xml:space="preserve">un estudio </w:t>
      </w:r>
      <w:r w:rsidR="004D39F6" w:rsidRPr="00DB3115">
        <w:rPr>
          <w:rFonts w:ascii="Times New Roman" w:eastAsia="Calibri" w:hAnsi="Times New Roman" w:cs="Times New Roman"/>
          <w:bCs/>
          <w:sz w:val="24"/>
          <w:szCs w:val="24"/>
        </w:rPr>
        <w:t>clínico</w:t>
      </w:r>
      <w:r w:rsidR="00D04667">
        <w:rPr>
          <w:rFonts w:ascii="Times New Roman" w:eastAsia="Calibri" w:hAnsi="Times New Roman" w:cs="Times New Roman"/>
          <w:bCs/>
          <w:sz w:val="24"/>
          <w:szCs w:val="24"/>
        </w:rPr>
        <w:t xml:space="preserve"> </w:t>
      </w:r>
      <w:r w:rsidR="004D39F6" w:rsidRPr="00DB3115">
        <w:rPr>
          <w:rFonts w:ascii="Times New Roman" w:eastAsia="Calibri" w:hAnsi="Times New Roman" w:cs="Times New Roman"/>
          <w:bCs/>
          <w:sz w:val="24"/>
          <w:szCs w:val="24"/>
        </w:rPr>
        <w:t xml:space="preserve">aleatorizado </w:t>
      </w:r>
      <w:r w:rsidR="004D39F6" w:rsidRPr="00DB3115">
        <w:rPr>
          <w:rFonts w:ascii="Times New Roman" w:hAnsi="Times New Roman" w:cs="Times New Roman"/>
          <w:bCs/>
          <w:sz w:val="24"/>
          <w:szCs w:val="24"/>
        </w:rPr>
        <w:t xml:space="preserve">para determinar </w:t>
      </w:r>
      <w:r w:rsidR="004D39F6" w:rsidRPr="00DB3115">
        <w:rPr>
          <w:rFonts w:ascii="Times New Roman" w:hAnsi="Times New Roman" w:cs="Times New Roman"/>
          <w:sz w:val="24"/>
          <w:szCs w:val="24"/>
        </w:rPr>
        <w:t xml:space="preserve">si la </w:t>
      </w:r>
      <w:r w:rsidR="00770825">
        <w:rPr>
          <w:rFonts w:ascii="Times New Roman" w:hAnsi="Times New Roman" w:cs="Times New Roman"/>
          <w:sz w:val="24"/>
          <w:szCs w:val="24"/>
        </w:rPr>
        <w:t>NETI</w:t>
      </w:r>
      <w:r w:rsidR="000B213E">
        <w:rPr>
          <w:rFonts w:ascii="Times New Roman" w:hAnsi="Times New Roman" w:cs="Times New Roman"/>
          <w:sz w:val="24"/>
          <w:szCs w:val="24"/>
        </w:rPr>
        <w:t xml:space="preserve"> </w:t>
      </w:r>
      <w:r w:rsidR="004D39F6" w:rsidRPr="00DB3115">
        <w:rPr>
          <w:rFonts w:ascii="Times New Roman" w:hAnsi="Times New Roman" w:cs="Times New Roman"/>
          <w:sz w:val="24"/>
          <w:szCs w:val="24"/>
        </w:rPr>
        <w:t>en pacientes con TCE</w:t>
      </w:r>
      <w:r w:rsidR="00D04667">
        <w:rPr>
          <w:rFonts w:ascii="Times New Roman" w:hAnsi="Times New Roman" w:cs="Times New Roman"/>
          <w:sz w:val="24"/>
          <w:szCs w:val="24"/>
        </w:rPr>
        <w:t>,</w:t>
      </w:r>
      <w:r w:rsidR="004D39F6" w:rsidRPr="00DB3115">
        <w:rPr>
          <w:rFonts w:ascii="Times New Roman" w:hAnsi="Times New Roman" w:cs="Times New Roman"/>
          <w:sz w:val="24"/>
          <w:szCs w:val="24"/>
        </w:rPr>
        <w:t xml:space="preserve"> en comparación con la nutrición enteral licuada</w:t>
      </w:r>
      <w:r w:rsidR="00EE3512">
        <w:rPr>
          <w:rFonts w:ascii="Times New Roman" w:hAnsi="Times New Roman" w:cs="Times New Roman"/>
          <w:sz w:val="24"/>
          <w:szCs w:val="24"/>
        </w:rPr>
        <w:t xml:space="preserve"> (</w:t>
      </w:r>
      <w:r w:rsidR="00EE3512" w:rsidRPr="00DB3115">
        <w:rPr>
          <w:rFonts w:ascii="Times New Roman" w:hAnsi="Times New Roman" w:cs="Times New Roman"/>
          <w:sz w:val="24"/>
          <w:szCs w:val="24"/>
        </w:rPr>
        <w:t>NETL</w:t>
      </w:r>
      <w:r w:rsidR="00EE3512">
        <w:rPr>
          <w:rFonts w:ascii="Times New Roman" w:hAnsi="Times New Roman" w:cs="Times New Roman"/>
          <w:sz w:val="24"/>
          <w:szCs w:val="24"/>
        </w:rPr>
        <w:t>)</w:t>
      </w:r>
      <w:r w:rsidR="00D04667">
        <w:rPr>
          <w:rFonts w:ascii="Times New Roman" w:hAnsi="Times New Roman" w:cs="Times New Roman"/>
          <w:sz w:val="24"/>
          <w:szCs w:val="24"/>
        </w:rPr>
        <w:t>,</w:t>
      </w:r>
      <w:r w:rsidR="004D39F6" w:rsidRPr="00DB3115">
        <w:rPr>
          <w:rFonts w:ascii="Times New Roman" w:hAnsi="Times New Roman" w:cs="Times New Roman"/>
          <w:sz w:val="24"/>
          <w:szCs w:val="24"/>
        </w:rPr>
        <w:t xml:space="preserve"> disminuye la morbimortalidad en la Unidad de Cuidados Intensivos del Hospital General de Mexicali</w:t>
      </w:r>
      <w:r w:rsidR="00D04667">
        <w:rPr>
          <w:rFonts w:ascii="Times New Roman" w:hAnsi="Times New Roman" w:cs="Times New Roman"/>
          <w:sz w:val="24"/>
          <w:szCs w:val="24"/>
        </w:rPr>
        <w:t>. Dicho estudio se realizó del</w:t>
      </w:r>
      <w:r w:rsidR="004D39F6" w:rsidRPr="00DB3115">
        <w:rPr>
          <w:rFonts w:ascii="Times New Roman" w:hAnsi="Times New Roman" w:cs="Times New Roman"/>
          <w:sz w:val="24"/>
          <w:szCs w:val="24"/>
        </w:rPr>
        <w:t xml:space="preserve"> 1 de agosto de 201</w:t>
      </w:r>
      <w:r w:rsidR="000E1504" w:rsidRPr="00DB3115">
        <w:rPr>
          <w:rFonts w:ascii="Times New Roman" w:hAnsi="Times New Roman" w:cs="Times New Roman"/>
          <w:sz w:val="24"/>
          <w:szCs w:val="24"/>
        </w:rPr>
        <w:t>6</w:t>
      </w:r>
      <w:r w:rsidR="004D39F6" w:rsidRPr="00DB3115">
        <w:rPr>
          <w:rFonts w:ascii="Times New Roman" w:hAnsi="Times New Roman" w:cs="Times New Roman"/>
          <w:sz w:val="24"/>
          <w:szCs w:val="24"/>
        </w:rPr>
        <w:t xml:space="preserve"> al 30 de junio de 201</w:t>
      </w:r>
      <w:r w:rsidR="000E1504" w:rsidRPr="00DB3115">
        <w:rPr>
          <w:rFonts w:ascii="Times New Roman" w:hAnsi="Times New Roman" w:cs="Times New Roman"/>
          <w:sz w:val="24"/>
          <w:szCs w:val="24"/>
        </w:rPr>
        <w:t>7</w:t>
      </w:r>
      <w:r w:rsidR="004D39F6" w:rsidRPr="00DB3115">
        <w:rPr>
          <w:rFonts w:ascii="Times New Roman" w:hAnsi="Times New Roman" w:cs="Times New Roman"/>
          <w:sz w:val="24"/>
          <w:szCs w:val="24"/>
        </w:rPr>
        <w:t>.</w:t>
      </w:r>
      <w:r w:rsidR="00B12FA6" w:rsidRPr="00DB3115">
        <w:rPr>
          <w:rFonts w:ascii="Times New Roman" w:hAnsi="Times New Roman" w:cs="Times New Roman"/>
          <w:sz w:val="24"/>
          <w:szCs w:val="24"/>
        </w:rPr>
        <w:t xml:space="preserve"> </w:t>
      </w:r>
      <w:r w:rsidR="00B12FA6" w:rsidRPr="00DB3115">
        <w:rPr>
          <w:rFonts w:ascii="Times New Roman" w:hAnsi="Times New Roman" w:cs="Times New Roman"/>
          <w:sz w:val="24"/>
          <w:szCs w:val="24"/>
          <w:lang w:eastAsia="es-ES"/>
        </w:rPr>
        <w:t>La muestra fue probabilística, aleatorizada</w:t>
      </w:r>
      <w:r w:rsidR="00D04667">
        <w:rPr>
          <w:rFonts w:ascii="Times New Roman" w:hAnsi="Times New Roman" w:cs="Times New Roman"/>
          <w:sz w:val="24"/>
          <w:szCs w:val="24"/>
          <w:lang w:eastAsia="es-ES"/>
        </w:rPr>
        <w:t>.</w:t>
      </w:r>
      <w:r w:rsidR="00D04667" w:rsidRPr="00DB3115">
        <w:rPr>
          <w:rFonts w:ascii="Times New Roman" w:hAnsi="Times New Roman" w:cs="Times New Roman"/>
          <w:sz w:val="24"/>
          <w:szCs w:val="24"/>
          <w:lang w:eastAsia="es-ES"/>
        </w:rPr>
        <w:t xml:space="preserve"> </w:t>
      </w:r>
      <w:r w:rsidR="00D04667">
        <w:rPr>
          <w:rFonts w:ascii="Times New Roman" w:hAnsi="Times New Roman" w:cs="Times New Roman"/>
          <w:sz w:val="24"/>
          <w:szCs w:val="24"/>
          <w:lang w:eastAsia="es-ES"/>
        </w:rPr>
        <w:t>S</w:t>
      </w:r>
      <w:r w:rsidR="00D04667" w:rsidRPr="00DB3115">
        <w:rPr>
          <w:rFonts w:ascii="Times New Roman" w:hAnsi="Times New Roman" w:cs="Times New Roman"/>
          <w:sz w:val="24"/>
          <w:szCs w:val="24"/>
          <w:lang w:eastAsia="es-ES"/>
        </w:rPr>
        <w:t xml:space="preserve">e </w:t>
      </w:r>
      <w:r w:rsidR="00B12FA6" w:rsidRPr="00DB3115">
        <w:rPr>
          <w:rFonts w:ascii="Times New Roman" w:hAnsi="Times New Roman" w:cs="Times New Roman"/>
          <w:sz w:val="24"/>
          <w:szCs w:val="24"/>
          <w:lang w:eastAsia="es-ES"/>
        </w:rPr>
        <w:t xml:space="preserve">incluyeron </w:t>
      </w:r>
      <w:r w:rsidR="00B1439C">
        <w:rPr>
          <w:rFonts w:ascii="Times New Roman" w:hAnsi="Times New Roman" w:cs="Times New Roman"/>
          <w:sz w:val="24"/>
          <w:szCs w:val="24"/>
          <w:lang w:eastAsia="es-ES"/>
        </w:rPr>
        <w:t>22 pacientes</w:t>
      </w:r>
      <w:r w:rsidR="000B213E">
        <w:rPr>
          <w:rFonts w:ascii="Times New Roman" w:hAnsi="Times New Roman" w:cs="Times New Roman"/>
          <w:sz w:val="24"/>
          <w:szCs w:val="24"/>
          <w:lang w:eastAsia="es-ES"/>
        </w:rPr>
        <w:t xml:space="preserve"> de 30 que ingresaron a la UCI con TCE (</w:t>
      </w:r>
      <w:r w:rsidR="00D04667">
        <w:rPr>
          <w:rFonts w:ascii="Times New Roman" w:hAnsi="Times New Roman" w:cs="Times New Roman"/>
          <w:sz w:val="24"/>
          <w:szCs w:val="24"/>
          <w:lang w:eastAsia="es-ES"/>
        </w:rPr>
        <w:t xml:space="preserve">ver </w:t>
      </w:r>
      <w:r w:rsidR="000B213E">
        <w:rPr>
          <w:rFonts w:ascii="Times New Roman" w:hAnsi="Times New Roman" w:cs="Times New Roman"/>
          <w:sz w:val="24"/>
          <w:szCs w:val="24"/>
          <w:lang w:eastAsia="es-ES"/>
        </w:rPr>
        <w:t>figura 1</w:t>
      </w:r>
      <w:r w:rsidR="004A5B02">
        <w:rPr>
          <w:rFonts w:ascii="Times New Roman" w:hAnsi="Times New Roman" w:cs="Times New Roman"/>
          <w:sz w:val="24"/>
          <w:szCs w:val="24"/>
          <w:lang w:eastAsia="es-ES"/>
        </w:rPr>
        <w:t xml:space="preserve">); </w:t>
      </w:r>
      <w:r w:rsidR="00B12FA6" w:rsidRPr="00DB3115">
        <w:rPr>
          <w:rFonts w:ascii="Times New Roman" w:hAnsi="Times New Roman" w:cs="Times New Roman"/>
          <w:sz w:val="24"/>
          <w:szCs w:val="24"/>
          <w:lang w:eastAsia="es-ES"/>
        </w:rPr>
        <w:t>pacientes que en el periodo previamente establecido, con diagnóstico de TCE</w:t>
      </w:r>
      <w:r w:rsidR="00D04667">
        <w:rPr>
          <w:rFonts w:ascii="Times New Roman" w:hAnsi="Times New Roman" w:cs="Times New Roman"/>
          <w:sz w:val="24"/>
          <w:szCs w:val="24"/>
          <w:lang w:eastAsia="es-ES"/>
        </w:rPr>
        <w:t>,</w:t>
      </w:r>
      <w:r w:rsidR="00B12FA6" w:rsidRPr="00DB3115">
        <w:rPr>
          <w:rFonts w:ascii="Times New Roman" w:hAnsi="Times New Roman" w:cs="Times New Roman"/>
          <w:sz w:val="24"/>
          <w:szCs w:val="24"/>
          <w:lang w:eastAsia="es-ES"/>
        </w:rPr>
        <w:t xml:space="preserve"> cumplieron con todos los criteri</w:t>
      </w:r>
      <w:r w:rsidR="00F546C4" w:rsidRPr="00DB3115">
        <w:rPr>
          <w:rFonts w:ascii="Times New Roman" w:hAnsi="Times New Roman" w:cs="Times New Roman"/>
          <w:sz w:val="24"/>
          <w:szCs w:val="24"/>
          <w:lang w:eastAsia="es-ES"/>
        </w:rPr>
        <w:t>os de inclusión</w:t>
      </w:r>
      <w:r w:rsidR="006A11B3">
        <w:rPr>
          <w:rFonts w:ascii="Times New Roman" w:hAnsi="Times New Roman" w:cs="Times New Roman"/>
          <w:sz w:val="24"/>
          <w:szCs w:val="24"/>
          <w:lang w:eastAsia="es-ES"/>
        </w:rPr>
        <w:t xml:space="preserve"> (</w:t>
      </w:r>
      <w:r w:rsidR="00F546C4" w:rsidRPr="00DB3115">
        <w:rPr>
          <w:rFonts w:ascii="Times New Roman" w:hAnsi="Times New Roman" w:cs="Times New Roman"/>
          <w:sz w:val="24"/>
          <w:szCs w:val="24"/>
          <w:lang w:eastAsia="es-ES"/>
        </w:rPr>
        <w:t>mayores de 1</w:t>
      </w:r>
      <w:r w:rsidR="007731A6" w:rsidRPr="00DB3115">
        <w:rPr>
          <w:rFonts w:ascii="Times New Roman" w:hAnsi="Times New Roman" w:cs="Times New Roman"/>
          <w:sz w:val="24"/>
          <w:szCs w:val="24"/>
          <w:lang w:eastAsia="es-ES"/>
        </w:rPr>
        <w:t xml:space="preserve">8 años de edad, sexo indistinto, </w:t>
      </w:r>
      <w:r w:rsidR="00F546C4" w:rsidRPr="00DB3115">
        <w:rPr>
          <w:rFonts w:ascii="Times New Roman" w:hAnsi="Times New Roman" w:cs="Times New Roman"/>
          <w:sz w:val="24"/>
          <w:szCs w:val="24"/>
          <w:lang w:eastAsia="es-ES"/>
        </w:rPr>
        <w:t xml:space="preserve">Glasgow </w:t>
      </w:r>
      <w:r w:rsidR="00F546C4" w:rsidRPr="00DB3115">
        <w:rPr>
          <w:rFonts w:ascii="Times New Roman" w:hAnsi="Times New Roman" w:cs="Times New Roman"/>
          <w:sz w:val="24"/>
          <w:szCs w:val="24"/>
          <w:u w:val="single"/>
          <w:lang w:eastAsia="es-ES"/>
        </w:rPr>
        <w:t>&lt;</w:t>
      </w:r>
      <w:r w:rsidR="00F546C4" w:rsidRPr="00DB3115">
        <w:rPr>
          <w:rFonts w:ascii="Times New Roman" w:hAnsi="Times New Roman" w:cs="Times New Roman"/>
          <w:sz w:val="24"/>
          <w:szCs w:val="24"/>
          <w:lang w:eastAsia="es-ES"/>
        </w:rPr>
        <w:t xml:space="preserve"> 8 y </w:t>
      </w:r>
      <w:r w:rsidR="00F546C4" w:rsidRPr="00DB3115">
        <w:rPr>
          <w:rFonts w:ascii="Times New Roman" w:hAnsi="Times New Roman" w:cs="Times New Roman"/>
          <w:sz w:val="24"/>
          <w:szCs w:val="24"/>
        </w:rPr>
        <w:t>consentimiento informado por parte del familiar más cercano</w:t>
      </w:r>
      <w:r w:rsidR="006A11B3">
        <w:rPr>
          <w:rFonts w:ascii="Times New Roman" w:hAnsi="Times New Roman" w:cs="Times New Roman"/>
          <w:sz w:val="24"/>
          <w:szCs w:val="24"/>
        </w:rPr>
        <w:t>)</w:t>
      </w:r>
      <w:r w:rsidR="00D04667">
        <w:rPr>
          <w:rFonts w:ascii="Times New Roman" w:hAnsi="Times New Roman" w:cs="Times New Roman"/>
          <w:sz w:val="24"/>
          <w:szCs w:val="24"/>
          <w:lang w:eastAsia="es-ES"/>
        </w:rPr>
        <w:t>.</w:t>
      </w:r>
      <w:r w:rsidR="00D04667" w:rsidRPr="00DB3115">
        <w:rPr>
          <w:rFonts w:ascii="Times New Roman" w:hAnsi="Times New Roman" w:cs="Times New Roman"/>
          <w:sz w:val="24"/>
          <w:szCs w:val="24"/>
          <w:lang w:eastAsia="es-ES"/>
        </w:rPr>
        <w:t xml:space="preserve"> </w:t>
      </w:r>
      <w:r w:rsidR="00D04667">
        <w:rPr>
          <w:rFonts w:ascii="Times New Roman" w:hAnsi="Times New Roman" w:cs="Times New Roman"/>
          <w:sz w:val="24"/>
          <w:szCs w:val="24"/>
          <w:lang w:eastAsia="es-ES"/>
        </w:rPr>
        <w:t>S</w:t>
      </w:r>
      <w:r w:rsidR="00D04667" w:rsidRPr="00DB3115">
        <w:rPr>
          <w:rFonts w:ascii="Times New Roman" w:hAnsi="Times New Roman" w:cs="Times New Roman"/>
          <w:sz w:val="24"/>
          <w:szCs w:val="24"/>
          <w:lang w:eastAsia="es-ES"/>
        </w:rPr>
        <w:t xml:space="preserve">e </w:t>
      </w:r>
      <w:r w:rsidR="00F546C4" w:rsidRPr="00DB3115">
        <w:rPr>
          <w:rFonts w:ascii="Times New Roman" w:hAnsi="Times New Roman" w:cs="Times New Roman"/>
          <w:sz w:val="24"/>
          <w:szCs w:val="24"/>
          <w:lang w:eastAsia="es-ES"/>
        </w:rPr>
        <w:t>consideraron</w:t>
      </w:r>
      <w:r w:rsidR="004A5B02">
        <w:rPr>
          <w:rFonts w:ascii="Times New Roman" w:hAnsi="Times New Roman" w:cs="Times New Roman"/>
          <w:sz w:val="24"/>
          <w:szCs w:val="24"/>
          <w:lang w:eastAsia="es-ES"/>
        </w:rPr>
        <w:t>, por su parte,</w:t>
      </w:r>
      <w:r w:rsidR="00F546C4" w:rsidRPr="00DB3115">
        <w:rPr>
          <w:rFonts w:ascii="Times New Roman" w:hAnsi="Times New Roman" w:cs="Times New Roman"/>
          <w:sz w:val="24"/>
          <w:szCs w:val="24"/>
          <w:lang w:eastAsia="es-ES"/>
        </w:rPr>
        <w:t xml:space="preserve"> </w:t>
      </w:r>
      <w:r w:rsidR="00D04667">
        <w:rPr>
          <w:rFonts w:ascii="Times New Roman" w:hAnsi="Times New Roman" w:cs="Times New Roman"/>
          <w:sz w:val="24"/>
          <w:szCs w:val="24"/>
          <w:lang w:eastAsia="es-ES"/>
        </w:rPr>
        <w:t xml:space="preserve">los siguientes </w:t>
      </w:r>
      <w:r w:rsidR="00F546C4" w:rsidRPr="00DB3115">
        <w:rPr>
          <w:rFonts w:ascii="Times New Roman" w:hAnsi="Times New Roman" w:cs="Times New Roman"/>
          <w:sz w:val="24"/>
          <w:szCs w:val="24"/>
          <w:lang w:eastAsia="es-ES"/>
        </w:rPr>
        <w:t xml:space="preserve">criterios de exclusión: </w:t>
      </w:r>
      <w:r w:rsidR="004A5B02">
        <w:rPr>
          <w:rFonts w:ascii="Times New Roman" w:hAnsi="Times New Roman" w:cs="Times New Roman"/>
          <w:sz w:val="24"/>
          <w:szCs w:val="24"/>
        </w:rPr>
        <w:t>p</w:t>
      </w:r>
      <w:r w:rsidR="004A5B02" w:rsidRPr="00DB3115">
        <w:rPr>
          <w:rFonts w:ascii="Times New Roman" w:hAnsi="Times New Roman" w:cs="Times New Roman"/>
          <w:sz w:val="24"/>
          <w:szCs w:val="24"/>
        </w:rPr>
        <w:t>aciente</w:t>
      </w:r>
      <w:r w:rsidR="004A5B02">
        <w:rPr>
          <w:rFonts w:ascii="Times New Roman" w:hAnsi="Times New Roman" w:cs="Times New Roman"/>
          <w:sz w:val="24"/>
          <w:szCs w:val="24"/>
        </w:rPr>
        <w:t>s</w:t>
      </w:r>
      <w:r w:rsidR="004A5B02" w:rsidRPr="00DB3115">
        <w:rPr>
          <w:rFonts w:ascii="Times New Roman" w:hAnsi="Times New Roman" w:cs="Times New Roman"/>
          <w:sz w:val="24"/>
          <w:szCs w:val="24"/>
        </w:rPr>
        <w:t xml:space="preserve"> </w:t>
      </w:r>
      <w:r w:rsidR="00F546C4" w:rsidRPr="00DB3115">
        <w:rPr>
          <w:rFonts w:ascii="Times New Roman" w:hAnsi="Times New Roman" w:cs="Times New Roman"/>
          <w:sz w:val="24"/>
          <w:szCs w:val="24"/>
        </w:rPr>
        <w:t>con inestabilidad hemodinámica grave</w:t>
      </w:r>
      <w:r w:rsidR="004A5B02">
        <w:rPr>
          <w:rFonts w:ascii="Times New Roman" w:hAnsi="Times New Roman" w:cs="Times New Roman"/>
          <w:sz w:val="24"/>
          <w:szCs w:val="24"/>
        </w:rPr>
        <w:t>;</w:t>
      </w:r>
      <w:r w:rsidR="004A5B02" w:rsidRPr="00DB3115">
        <w:rPr>
          <w:rFonts w:ascii="Times New Roman" w:hAnsi="Times New Roman" w:cs="Times New Roman"/>
          <w:sz w:val="24"/>
          <w:szCs w:val="24"/>
        </w:rPr>
        <w:t xml:space="preserve"> </w:t>
      </w:r>
      <w:r w:rsidR="00F546C4" w:rsidRPr="00DB3115">
        <w:rPr>
          <w:rFonts w:ascii="Times New Roman" w:hAnsi="Times New Roman" w:cs="Times New Roman"/>
          <w:sz w:val="24"/>
          <w:szCs w:val="24"/>
        </w:rPr>
        <w:t xml:space="preserve">pacientes con </w:t>
      </w:r>
      <w:r w:rsidR="000B213E">
        <w:rPr>
          <w:rFonts w:ascii="Times New Roman" w:hAnsi="Times New Roman" w:cs="Times New Roman"/>
          <w:sz w:val="24"/>
          <w:szCs w:val="24"/>
        </w:rPr>
        <w:t xml:space="preserve">cualquier </w:t>
      </w:r>
      <w:r w:rsidR="00C77123">
        <w:rPr>
          <w:rFonts w:ascii="Times New Roman" w:hAnsi="Times New Roman" w:cs="Times New Roman"/>
          <w:sz w:val="24"/>
          <w:szCs w:val="24"/>
        </w:rPr>
        <w:t>patología</w:t>
      </w:r>
      <w:r w:rsidR="000B213E">
        <w:rPr>
          <w:rFonts w:ascii="Times New Roman" w:hAnsi="Times New Roman" w:cs="Times New Roman"/>
          <w:sz w:val="24"/>
          <w:szCs w:val="24"/>
        </w:rPr>
        <w:t xml:space="preserve"> gast</w:t>
      </w:r>
      <w:r w:rsidR="00F1104E">
        <w:rPr>
          <w:rFonts w:ascii="Times New Roman" w:hAnsi="Times New Roman" w:cs="Times New Roman"/>
          <w:sz w:val="24"/>
          <w:szCs w:val="24"/>
        </w:rPr>
        <w:t>r</w:t>
      </w:r>
      <w:r w:rsidR="000B213E">
        <w:rPr>
          <w:rFonts w:ascii="Times New Roman" w:hAnsi="Times New Roman" w:cs="Times New Roman"/>
          <w:sz w:val="24"/>
          <w:szCs w:val="24"/>
        </w:rPr>
        <w:t>ointestinal</w:t>
      </w:r>
      <w:r w:rsidR="00F546C4" w:rsidRPr="00DB3115">
        <w:rPr>
          <w:rFonts w:ascii="Times New Roman" w:hAnsi="Times New Roman" w:cs="Times New Roman"/>
          <w:sz w:val="24"/>
          <w:szCs w:val="24"/>
        </w:rPr>
        <w:t xml:space="preserve"> mecánica o funcional</w:t>
      </w:r>
      <w:r w:rsidR="004A5B02">
        <w:rPr>
          <w:rFonts w:ascii="Times New Roman" w:hAnsi="Times New Roman" w:cs="Times New Roman"/>
          <w:sz w:val="24"/>
          <w:szCs w:val="24"/>
        </w:rPr>
        <w:t>;</w:t>
      </w:r>
      <w:r w:rsidR="004A5B02" w:rsidRPr="00DB3115">
        <w:rPr>
          <w:rFonts w:ascii="Times New Roman" w:hAnsi="Times New Roman" w:cs="Times New Roman"/>
          <w:sz w:val="24"/>
          <w:szCs w:val="24"/>
        </w:rPr>
        <w:t xml:space="preserve"> </w:t>
      </w:r>
      <w:r w:rsidR="00F546C4" w:rsidRPr="00DB3115">
        <w:rPr>
          <w:rFonts w:ascii="Times New Roman" w:hAnsi="Times New Roman" w:cs="Times New Roman"/>
          <w:sz w:val="24"/>
          <w:szCs w:val="24"/>
        </w:rPr>
        <w:t>paciente</w:t>
      </w:r>
      <w:r w:rsidR="004A5B02">
        <w:rPr>
          <w:rFonts w:ascii="Times New Roman" w:hAnsi="Times New Roman" w:cs="Times New Roman"/>
          <w:sz w:val="24"/>
          <w:szCs w:val="24"/>
        </w:rPr>
        <w:t>s</w:t>
      </w:r>
      <w:r w:rsidR="00F546C4" w:rsidRPr="00DB3115">
        <w:rPr>
          <w:rFonts w:ascii="Times New Roman" w:hAnsi="Times New Roman" w:cs="Times New Roman"/>
          <w:sz w:val="24"/>
          <w:szCs w:val="24"/>
        </w:rPr>
        <w:t xml:space="preserve"> con expectativa de vida inferior a 24 horas</w:t>
      </w:r>
      <w:r w:rsidR="004A5B02">
        <w:rPr>
          <w:rFonts w:ascii="Times New Roman" w:hAnsi="Times New Roman" w:cs="Times New Roman"/>
          <w:sz w:val="24"/>
          <w:szCs w:val="24"/>
        </w:rPr>
        <w:t>;</w:t>
      </w:r>
      <w:r w:rsidR="004A5B02" w:rsidRPr="00DB3115">
        <w:rPr>
          <w:rFonts w:ascii="Times New Roman" w:hAnsi="Times New Roman" w:cs="Times New Roman"/>
          <w:sz w:val="24"/>
          <w:szCs w:val="24"/>
        </w:rPr>
        <w:t xml:space="preserve"> </w:t>
      </w:r>
      <w:r w:rsidR="00F546C4" w:rsidRPr="00DB3115">
        <w:rPr>
          <w:rFonts w:ascii="Times New Roman" w:hAnsi="Times New Roman" w:cs="Times New Roman"/>
          <w:sz w:val="24"/>
          <w:szCs w:val="24"/>
        </w:rPr>
        <w:t>pacientes con desnutrición grave con los siguientes parámetros: IMC &lt;</w:t>
      </w:r>
      <w:r w:rsidR="004A5B02">
        <w:rPr>
          <w:rFonts w:ascii="Times New Roman" w:hAnsi="Times New Roman" w:cs="Times New Roman"/>
          <w:sz w:val="24"/>
          <w:szCs w:val="24"/>
        </w:rPr>
        <w:t xml:space="preserve"> </w:t>
      </w:r>
      <w:r w:rsidR="00F546C4" w:rsidRPr="00DB3115">
        <w:rPr>
          <w:rFonts w:ascii="Times New Roman" w:hAnsi="Times New Roman" w:cs="Times New Roman"/>
          <w:sz w:val="24"/>
          <w:szCs w:val="24"/>
        </w:rPr>
        <w:t>16</w:t>
      </w:r>
      <w:r w:rsidR="00BD4303">
        <w:rPr>
          <w:rFonts w:ascii="Times New Roman" w:hAnsi="Times New Roman" w:cs="Times New Roman"/>
          <w:sz w:val="24"/>
          <w:szCs w:val="24"/>
        </w:rPr>
        <w:t xml:space="preserve"> </w:t>
      </w:r>
      <w:r w:rsidR="00F546C4" w:rsidRPr="00DB3115">
        <w:rPr>
          <w:rFonts w:ascii="Times New Roman" w:hAnsi="Times New Roman" w:cs="Times New Roman"/>
          <w:sz w:val="24"/>
          <w:szCs w:val="24"/>
        </w:rPr>
        <w:t>kg/m</w:t>
      </w:r>
      <w:r w:rsidR="00F546C4" w:rsidRPr="00DB3115">
        <w:rPr>
          <w:rFonts w:ascii="Times New Roman" w:hAnsi="Times New Roman" w:cs="Times New Roman"/>
          <w:sz w:val="24"/>
          <w:szCs w:val="24"/>
          <w:vertAlign w:val="superscript"/>
        </w:rPr>
        <w:t>2</w:t>
      </w:r>
      <w:r w:rsidR="003C211A">
        <w:rPr>
          <w:rFonts w:ascii="Times New Roman" w:hAnsi="Times New Roman" w:cs="Times New Roman"/>
          <w:sz w:val="24"/>
          <w:szCs w:val="24"/>
        </w:rPr>
        <w:t>,</w:t>
      </w:r>
      <w:r w:rsidR="003C211A" w:rsidRPr="00DB3115">
        <w:rPr>
          <w:rFonts w:ascii="Times New Roman" w:hAnsi="Times New Roman" w:cs="Times New Roman"/>
          <w:sz w:val="24"/>
          <w:szCs w:val="24"/>
        </w:rPr>
        <w:t xml:space="preserve"> </w:t>
      </w:r>
      <w:r w:rsidR="00F546C4" w:rsidRPr="00DB3115">
        <w:rPr>
          <w:rFonts w:ascii="Times New Roman" w:hAnsi="Times New Roman" w:cs="Times New Roman"/>
          <w:sz w:val="24"/>
          <w:szCs w:val="24"/>
        </w:rPr>
        <w:t>albúmina &lt;</w:t>
      </w:r>
      <w:r w:rsidR="004A5B02">
        <w:rPr>
          <w:rFonts w:ascii="Times New Roman" w:hAnsi="Times New Roman" w:cs="Times New Roman"/>
          <w:sz w:val="24"/>
          <w:szCs w:val="24"/>
        </w:rPr>
        <w:t xml:space="preserve"> </w:t>
      </w:r>
      <w:r w:rsidR="00F546C4" w:rsidRPr="00DB3115">
        <w:rPr>
          <w:rFonts w:ascii="Times New Roman" w:hAnsi="Times New Roman" w:cs="Times New Roman"/>
          <w:sz w:val="24"/>
          <w:szCs w:val="24"/>
        </w:rPr>
        <w:t>2</w:t>
      </w:r>
      <w:r w:rsidR="00B05F8E">
        <w:rPr>
          <w:rFonts w:ascii="Times New Roman" w:hAnsi="Times New Roman" w:cs="Times New Roman"/>
          <w:sz w:val="24"/>
          <w:szCs w:val="24"/>
        </w:rPr>
        <w:t xml:space="preserve"> </w:t>
      </w:r>
      <w:r w:rsidR="00F546C4" w:rsidRPr="00DB3115">
        <w:rPr>
          <w:rFonts w:ascii="Times New Roman" w:hAnsi="Times New Roman" w:cs="Times New Roman"/>
          <w:sz w:val="24"/>
          <w:szCs w:val="24"/>
        </w:rPr>
        <w:t>g/</w:t>
      </w:r>
      <w:proofErr w:type="spellStart"/>
      <w:r w:rsidR="00F546C4" w:rsidRPr="00DB3115">
        <w:rPr>
          <w:rFonts w:ascii="Times New Roman" w:hAnsi="Times New Roman" w:cs="Times New Roman"/>
          <w:sz w:val="24"/>
          <w:szCs w:val="24"/>
        </w:rPr>
        <w:t>dL</w:t>
      </w:r>
      <w:proofErr w:type="spellEnd"/>
      <w:r w:rsidR="00304A3D">
        <w:rPr>
          <w:rFonts w:ascii="Times New Roman" w:hAnsi="Times New Roman" w:cs="Times New Roman"/>
          <w:sz w:val="24"/>
          <w:szCs w:val="24"/>
        </w:rPr>
        <w:t xml:space="preserve"> y</w:t>
      </w:r>
      <w:r w:rsidR="003C211A" w:rsidRPr="00DB3115">
        <w:rPr>
          <w:rFonts w:ascii="Times New Roman" w:hAnsi="Times New Roman" w:cs="Times New Roman"/>
          <w:sz w:val="24"/>
          <w:szCs w:val="24"/>
        </w:rPr>
        <w:t xml:space="preserve"> </w:t>
      </w:r>
      <w:r w:rsidR="00F546C4" w:rsidRPr="00DB3115">
        <w:rPr>
          <w:rFonts w:ascii="Times New Roman" w:hAnsi="Times New Roman" w:cs="Times New Roman"/>
          <w:sz w:val="24"/>
          <w:szCs w:val="24"/>
        </w:rPr>
        <w:t>&lt;</w:t>
      </w:r>
      <w:r w:rsidR="004A5B02">
        <w:rPr>
          <w:rFonts w:ascii="Times New Roman" w:hAnsi="Times New Roman" w:cs="Times New Roman"/>
          <w:sz w:val="24"/>
          <w:szCs w:val="24"/>
        </w:rPr>
        <w:t xml:space="preserve"> </w:t>
      </w:r>
      <w:r w:rsidR="00F546C4" w:rsidRPr="00DB3115">
        <w:rPr>
          <w:rFonts w:ascii="Times New Roman" w:hAnsi="Times New Roman" w:cs="Times New Roman"/>
          <w:sz w:val="24"/>
          <w:szCs w:val="24"/>
        </w:rPr>
        <w:t>800 linfocitos/mm</w:t>
      </w:r>
      <w:r w:rsidR="00F546C4" w:rsidRPr="00DB3115">
        <w:rPr>
          <w:rFonts w:ascii="Times New Roman" w:hAnsi="Times New Roman" w:cs="Times New Roman"/>
          <w:sz w:val="24"/>
          <w:szCs w:val="24"/>
          <w:vertAlign w:val="superscript"/>
        </w:rPr>
        <w:t>3</w:t>
      </w:r>
      <w:r w:rsidR="004A5B02">
        <w:rPr>
          <w:rFonts w:ascii="Times New Roman" w:hAnsi="Times New Roman" w:cs="Times New Roman"/>
          <w:sz w:val="24"/>
          <w:szCs w:val="24"/>
        </w:rPr>
        <w:t>;</w:t>
      </w:r>
      <w:r w:rsidR="004A5B02" w:rsidRPr="00DB3115">
        <w:rPr>
          <w:rFonts w:ascii="Times New Roman" w:hAnsi="Times New Roman" w:cs="Times New Roman"/>
          <w:sz w:val="24"/>
          <w:szCs w:val="24"/>
        </w:rPr>
        <w:t xml:space="preserve"> </w:t>
      </w:r>
      <w:r w:rsidR="00F546C4" w:rsidRPr="00DB3115">
        <w:rPr>
          <w:rFonts w:ascii="Times New Roman" w:hAnsi="Times New Roman" w:cs="Times New Roman"/>
          <w:sz w:val="24"/>
          <w:szCs w:val="24"/>
        </w:rPr>
        <w:t>paciente</w:t>
      </w:r>
      <w:r w:rsidR="004A5B02">
        <w:rPr>
          <w:rFonts w:ascii="Times New Roman" w:hAnsi="Times New Roman" w:cs="Times New Roman"/>
          <w:sz w:val="24"/>
          <w:szCs w:val="24"/>
        </w:rPr>
        <w:t>s</w:t>
      </w:r>
      <w:r w:rsidR="00F546C4" w:rsidRPr="00DB3115">
        <w:rPr>
          <w:rFonts w:ascii="Times New Roman" w:hAnsi="Times New Roman" w:cs="Times New Roman"/>
          <w:sz w:val="24"/>
          <w:szCs w:val="24"/>
        </w:rPr>
        <w:t xml:space="preserve"> con obesidad mórbida (IMC &gt;</w:t>
      </w:r>
      <w:r w:rsidR="004A5B02">
        <w:rPr>
          <w:rFonts w:ascii="Times New Roman" w:hAnsi="Times New Roman" w:cs="Times New Roman"/>
          <w:sz w:val="24"/>
          <w:szCs w:val="24"/>
        </w:rPr>
        <w:t xml:space="preserve"> </w:t>
      </w:r>
      <w:r w:rsidR="00F546C4" w:rsidRPr="00DB3115">
        <w:rPr>
          <w:rFonts w:ascii="Times New Roman" w:hAnsi="Times New Roman" w:cs="Times New Roman"/>
          <w:sz w:val="24"/>
          <w:szCs w:val="24"/>
        </w:rPr>
        <w:t xml:space="preserve">40), embarazo, </w:t>
      </w:r>
      <w:r w:rsidR="00D80A68" w:rsidRPr="00D80A68">
        <w:rPr>
          <w:rFonts w:ascii="Times New Roman" w:hAnsi="Times New Roman" w:cs="Times New Roman"/>
          <w:sz w:val="24"/>
          <w:szCs w:val="24"/>
        </w:rPr>
        <w:t xml:space="preserve">enfermedad pulmonar obstructiva crónica </w:t>
      </w:r>
      <w:r w:rsidR="00D80A68">
        <w:rPr>
          <w:rFonts w:ascii="Times New Roman" w:hAnsi="Times New Roman" w:cs="Times New Roman"/>
          <w:sz w:val="24"/>
          <w:szCs w:val="24"/>
        </w:rPr>
        <w:t>(</w:t>
      </w:r>
      <w:r w:rsidR="00F546C4" w:rsidRPr="00DB3115">
        <w:rPr>
          <w:rFonts w:ascii="Times New Roman" w:hAnsi="Times New Roman" w:cs="Times New Roman"/>
          <w:sz w:val="24"/>
          <w:szCs w:val="24"/>
        </w:rPr>
        <w:t>EPOC</w:t>
      </w:r>
      <w:r w:rsidR="00304A3D">
        <w:rPr>
          <w:rFonts w:ascii="Times New Roman" w:hAnsi="Times New Roman" w:cs="Times New Roman"/>
          <w:sz w:val="24"/>
          <w:szCs w:val="24"/>
        </w:rPr>
        <w:t>) o</w:t>
      </w:r>
      <w:r w:rsidR="00304A3D" w:rsidRPr="00DB3115">
        <w:rPr>
          <w:rFonts w:ascii="Times New Roman" w:hAnsi="Times New Roman" w:cs="Times New Roman"/>
          <w:sz w:val="24"/>
          <w:szCs w:val="24"/>
        </w:rPr>
        <w:t xml:space="preserve"> </w:t>
      </w:r>
      <w:r w:rsidR="00B52946" w:rsidRPr="00B52946">
        <w:rPr>
          <w:rFonts w:ascii="Times New Roman" w:hAnsi="Times New Roman" w:cs="Times New Roman"/>
          <w:sz w:val="24"/>
          <w:szCs w:val="24"/>
        </w:rPr>
        <w:t>síndrome de inmunodeficiencia adquirida</w:t>
      </w:r>
      <w:r w:rsidR="00B52946" w:rsidRPr="00B52946" w:rsidDel="00B52946">
        <w:rPr>
          <w:rFonts w:ascii="Times New Roman" w:hAnsi="Times New Roman" w:cs="Times New Roman"/>
          <w:sz w:val="24"/>
          <w:szCs w:val="24"/>
        </w:rPr>
        <w:t xml:space="preserve"> </w:t>
      </w:r>
      <w:r w:rsidR="00B52946">
        <w:rPr>
          <w:rFonts w:ascii="Times New Roman" w:hAnsi="Times New Roman" w:cs="Times New Roman"/>
          <w:sz w:val="24"/>
          <w:szCs w:val="24"/>
        </w:rPr>
        <w:t xml:space="preserve">(SIDA), </w:t>
      </w:r>
      <w:r w:rsidR="00F546C4" w:rsidRPr="00DB3115">
        <w:rPr>
          <w:rFonts w:ascii="Times New Roman" w:hAnsi="Times New Roman" w:cs="Times New Roman"/>
          <w:sz w:val="24"/>
          <w:szCs w:val="24"/>
        </w:rPr>
        <w:t>y pacientes incluidos en otros estudios de investigación.</w:t>
      </w:r>
    </w:p>
    <w:p w14:paraId="169ED76B" w14:textId="77777777" w:rsidR="00403A4F" w:rsidRPr="000B213E" w:rsidRDefault="00403A4F" w:rsidP="003F3FAF">
      <w:pPr>
        <w:spacing w:after="0" w:line="360" w:lineRule="auto"/>
        <w:ind w:right="49" w:firstLine="708"/>
        <w:jc w:val="both"/>
        <w:rPr>
          <w:rFonts w:ascii="Times New Roman" w:hAnsi="Times New Roman" w:cs="Times New Roman"/>
          <w:sz w:val="24"/>
          <w:szCs w:val="24"/>
        </w:rPr>
      </w:pPr>
    </w:p>
    <w:p w14:paraId="55120FAA" w14:textId="5F931D14" w:rsidR="000B213E" w:rsidRPr="003F3FAF" w:rsidRDefault="000B213E" w:rsidP="003F3FAF">
      <w:pPr>
        <w:spacing w:after="0" w:line="360" w:lineRule="auto"/>
        <w:ind w:right="49"/>
        <w:jc w:val="center"/>
        <w:rPr>
          <w:rFonts w:ascii="Times New Roman" w:hAnsi="Times New Roman" w:cs="Times New Roman"/>
          <w:sz w:val="24"/>
          <w:szCs w:val="24"/>
        </w:rPr>
      </w:pPr>
      <w:r w:rsidRPr="003F3FAF">
        <w:rPr>
          <w:rFonts w:ascii="Times New Roman" w:hAnsi="Times New Roman" w:cs="Times New Roman"/>
          <w:b/>
          <w:bCs/>
          <w:sz w:val="24"/>
          <w:szCs w:val="24"/>
        </w:rPr>
        <w:lastRenderedPageBreak/>
        <w:t>Figura 1</w:t>
      </w:r>
      <w:r w:rsidRPr="003F3FAF">
        <w:rPr>
          <w:rFonts w:ascii="Times New Roman" w:hAnsi="Times New Roman" w:cs="Times New Roman"/>
          <w:sz w:val="24"/>
          <w:szCs w:val="24"/>
        </w:rPr>
        <w:t>. Diagrama de flujo de participantes en el estudio</w:t>
      </w:r>
    </w:p>
    <w:p w14:paraId="77CD7014" w14:textId="25B26341" w:rsidR="00C77123" w:rsidRDefault="00C77123" w:rsidP="003F3FAF">
      <w:pPr>
        <w:spacing w:after="0" w:line="360" w:lineRule="auto"/>
        <w:ind w:right="49"/>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3BA7B4F8" wp14:editId="643CEA92">
            <wp:extent cx="3180658" cy="2693771"/>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2556" cy="2729255"/>
                    </a:xfrm>
                    <a:prstGeom prst="rect">
                      <a:avLst/>
                    </a:prstGeom>
                    <a:noFill/>
                    <a:ln>
                      <a:noFill/>
                    </a:ln>
                  </pic:spPr>
                </pic:pic>
              </a:graphicData>
            </a:graphic>
          </wp:inline>
        </w:drawing>
      </w:r>
    </w:p>
    <w:p w14:paraId="605420A5" w14:textId="02B0DFCE" w:rsidR="00403A4F" w:rsidRPr="003F3FAF" w:rsidRDefault="00A6515B" w:rsidP="003F3FAF">
      <w:pPr>
        <w:spacing w:after="0" w:line="360" w:lineRule="auto"/>
        <w:ind w:right="49"/>
        <w:jc w:val="center"/>
        <w:rPr>
          <w:rFonts w:ascii="Times New Roman" w:hAnsi="Times New Roman" w:cs="Times New Roman"/>
          <w:sz w:val="24"/>
          <w:szCs w:val="24"/>
        </w:rPr>
      </w:pPr>
      <w:r w:rsidRPr="003F3FAF">
        <w:rPr>
          <w:rFonts w:ascii="Times New Roman" w:hAnsi="Times New Roman" w:cs="Times New Roman"/>
          <w:sz w:val="24"/>
          <w:szCs w:val="24"/>
        </w:rPr>
        <w:t xml:space="preserve">Fuente: </w:t>
      </w:r>
      <w:r w:rsidR="00304A3D">
        <w:rPr>
          <w:rFonts w:ascii="Times New Roman" w:hAnsi="Times New Roman" w:cs="Times New Roman"/>
          <w:sz w:val="24"/>
          <w:szCs w:val="24"/>
        </w:rPr>
        <w:t>El</w:t>
      </w:r>
      <w:r w:rsidR="00356FBA">
        <w:rPr>
          <w:rFonts w:ascii="Times New Roman" w:hAnsi="Times New Roman" w:cs="Times New Roman"/>
          <w:sz w:val="24"/>
          <w:szCs w:val="24"/>
        </w:rPr>
        <w:t>a</w:t>
      </w:r>
      <w:r w:rsidR="00304A3D">
        <w:rPr>
          <w:rFonts w:ascii="Times New Roman" w:hAnsi="Times New Roman" w:cs="Times New Roman"/>
          <w:sz w:val="24"/>
          <w:szCs w:val="24"/>
        </w:rPr>
        <w:t>boración propia</w:t>
      </w:r>
    </w:p>
    <w:p w14:paraId="35D21ED2" w14:textId="77777777" w:rsidR="00A6515B" w:rsidRDefault="00A6515B" w:rsidP="003F3FAF">
      <w:pPr>
        <w:spacing w:after="0" w:line="360" w:lineRule="auto"/>
        <w:ind w:left="1416" w:right="49" w:firstLine="708"/>
        <w:jc w:val="both"/>
        <w:rPr>
          <w:rFonts w:ascii="Times New Roman" w:hAnsi="Times New Roman" w:cs="Times New Roman"/>
          <w:sz w:val="24"/>
          <w:szCs w:val="24"/>
          <w:lang w:eastAsia="es-ES"/>
        </w:rPr>
      </w:pPr>
    </w:p>
    <w:p w14:paraId="1892DF95" w14:textId="2101396F" w:rsidR="00F546C4" w:rsidRPr="00DB3115" w:rsidRDefault="00B12FA6" w:rsidP="003F3FAF">
      <w:pPr>
        <w:spacing w:after="0" w:line="360" w:lineRule="auto"/>
        <w:ind w:right="49" w:firstLine="708"/>
        <w:jc w:val="both"/>
        <w:rPr>
          <w:rFonts w:ascii="Times New Roman" w:hAnsi="Times New Roman" w:cs="Times New Roman"/>
          <w:sz w:val="24"/>
          <w:szCs w:val="24"/>
        </w:rPr>
      </w:pPr>
      <w:r w:rsidRPr="00234401">
        <w:rPr>
          <w:rFonts w:ascii="Times New Roman" w:hAnsi="Times New Roman" w:cs="Times New Roman"/>
          <w:sz w:val="24"/>
          <w:szCs w:val="24"/>
          <w:lang w:eastAsia="es-ES"/>
        </w:rPr>
        <w:t>La técnica de muestreo fue aleatorizada de la siguiente manera: el</w:t>
      </w:r>
      <w:r w:rsidRPr="00234401">
        <w:rPr>
          <w:rFonts w:ascii="Times New Roman" w:hAnsi="Times New Roman" w:cs="Times New Roman"/>
          <w:sz w:val="24"/>
          <w:szCs w:val="24"/>
        </w:rPr>
        <w:t xml:space="preserve"> médico adscrito del área de cirugía (MAC) seleccionó y aleatorizó de manera sistemática a los pacientes según fueron ingresando</w:t>
      </w:r>
      <w:r w:rsidR="000A291F">
        <w:rPr>
          <w:rFonts w:ascii="Times New Roman" w:hAnsi="Times New Roman" w:cs="Times New Roman"/>
          <w:sz w:val="24"/>
          <w:szCs w:val="24"/>
        </w:rPr>
        <w:t xml:space="preserve"> a la </w:t>
      </w:r>
      <w:r w:rsidR="000A291F" w:rsidRPr="00152674">
        <w:rPr>
          <w:rFonts w:ascii="Times New Roman" w:hAnsi="Times New Roman" w:cs="Times New Roman"/>
          <w:sz w:val="24"/>
          <w:szCs w:val="24"/>
        </w:rPr>
        <w:t>UCI</w:t>
      </w:r>
      <w:r w:rsidR="00304A3D" w:rsidRPr="00234401">
        <w:rPr>
          <w:rFonts w:ascii="Times New Roman" w:hAnsi="Times New Roman" w:cs="Times New Roman"/>
          <w:sz w:val="24"/>
          <w:szCs w:val="24"/>
        </w:rPr>
        <w:t xml:space="preserve">. Al </w:t>
      </w:r>
      <w:r w:rsidRPr="00234401">
        <w:rPr>
          <w:rFonts w:ascii="Times New Roman" w:hAnsi="Times New Roman" w:cs="Times New Roman"/>
          <w:sz w:val="24"/>
          <w:szCs w:val="24"/>
        </w:rPr>
        <w:t xml:space="preserve">grupo </w:t>
      </w:r>
      <w:r w:rsidR="00C77123" w:rsidRPr="00234401">
        <w:rPr>
          <w:rFonts w:ascii="Times New Roman" w:hAnsi="Times New Roman" w:cs="Times New Roman"/>
          <w:sz w:val="24"/>
          <w:szCs w:val="24"/>
        </w:rPr>
        <w:t>control</w:t>
      </w:r>
      <w:r w:rsidRPr="00234401">
        <w:rPr>
          <w:rFonts w:ascii="Times New Roman" w:hAnsi="Times New Roman" w:cs="Times New Roman"/>
          <w:sz w:val="24"/>
          <w:szCs w:val="24"/>
        </w:rPr>
        <w:t xml:space="preserve"> se le administró NETL y al grupo </w:t>
      </w:r>
      <w:r w:rsidR="00C77123" w:rsidRPr="00234401">
        <w:rPr>
          <w:rFonts w:ascii="Times New Roman" w:hAnsi="Times New Roman" w:cs="Times New Roman"/>
          <w:sz w:val="24"/>
          <w:szCs w:val="24"/>
        </w:rPr>
        <w:t>intervención</w:t>
      </w:r>
      <w:r w:rsidR="006A11B3">
        <w:rPr>
          <w:rFonts w:ascii="Times New Roman" w:hAnsi="Times New Roman" w:cs="Times New Roman"/>
          <w:sz w:val="24"/>
          <w:szCs w:val="24"/>
        </w:rPr>
        <w:t>,</w:t>
      </w:r>
      <w:r w:rsidRPr="00234401">
        <w:rPr>
          <w:rFonts w:ascii="Times New Roman" w:hAnsi="Times New Roman" w:cs="Times New Roman"/>
          <w:sz w:val="24"/>
          <w:szCs w:val="24"/>
        </w:rPr>
        <w:t xml:space="preserve"> NETI</w:t>
      </w:r>
      <w:r w:rsidR="00E4576D">
        <w:rPr>
          <w:rFonts w:ascii="Times New Roman" w:hAnsi="Times New Roman" w:cs="Times New Roman"/>
          <w:sz w:val="24"/>
          <w:szCs w:val="24"/>
        </w:rPr>
        <w:t>. En ambos casos</w:t>
      </w:r>
      <w:r w:rsidRPr="00234401">
        <w:rPr>
          <w:rFonts w:ascii="Times New Roman" w:hAnsi="Times New Roman" w:cs="Times New Roman"/>
          <w:sz w:val="24"/>
          <w:szCs w:val="24"/>
        </w:rPr>
        <w:t xml:space="preserve"> dentro de las primeras 24 a 48 horas </w:t>
      </w:r>
      <w:r w:rsidR="00695014">
        <w:rPr>
          <w:rFonts w:ascii="Times New Roman" w:hAnsi="Times New Roman" w:cs="Times New Roman"/>
          <w:sz w:val="24"/>
          <w:szCs w:val="24"/>
        </w:rPr>
        <w:t>de estancia en la</w:t>
      </w:r>
      <w:r w:rsidRPr="00234401">
        <w:rPr>
          <w:rFonts w:ascii="Times New Roman" w:hAnsi="Times New Roman" w:cs="Times New Roman"/>
          <w:sz w:val="24"/>
          <w:szCs w:val="24"/>
        </w:rPr>
        <w:t xml:space="preserve"> UCI. </w:t>
      </w:r>
      <w:r w:rsidR="000B1A78">
        <w:rPr>
          <w:rFonts w:ascii="Times New Roman" w:hAnsi="Times New Roman" w:cs="Times New Roman"/>
          <w:sz w:val="24"/>
          <w:szCs w:val="24"/>
        </w:rPr>
        <w:t xml:space="preserve">Además, el médico adscrito </w:t>
      </w:r>
      <w:r w:rsidR="000B1A78">
        <w:rPr>
          <w:rFonts w:ascii="Times New Roman" w:hAnsi="Times New Roman" w:cs="Times New Roman"/>
          <w:bCs/>
          <w:sz w:val="24"/>
          <w:szCs w:val="24"/>
        </w:rPr>
        <w:t>e</w:t>
      </w:r>
      <w:r w:rsidR="000B1A78" w:rsidRPr="00234401">
        <w:rPr>
          <w:rFonts w:ascii="Times New Roman" w:hAnsi="Times New Roman" w:cs="Times New Roman"/>
          <w:sz w:val="24"/>
          <w:szCs w:val="24"/>
        </w:rPr>
        <w:t>stableció</w:t>
      </w:r>
      <w:r w:rsidR="000B1A78">
        <w:rPr>
          <w:rFonts w:ascii="Times New Roman" w:hAnsi="Times New Roman" w:cs="Times New Roman"/>
          <w:sz w:val="24"/>
          <w:szCs w:val="24"/>
        </w:rPr>
        <w:t xml:space="preserve"> un</w:t>
      </w:r>
      <w:r w:rsidR="00F546C4" w:rsidRPr="00234401">
        <w:rPr>
          <w:rFonts w:ascii="Times New Roman" w:hAnsi="Times New Roman" w:cs="Times New Roman"/>
          <w:sz w:val="24"/>
          <w:szCs w:val="24"/>
        </w:rPr>
        <w:t xml:space="preserve"> plan de manejo (protocolo de manejo en el paciente con TCE), medicación, exámenes de laboratorio y gabinete, medidas generales y asignó </w:t>
      </w:r>
      <w:r w:rsidR="007D0AEC">
        <w:rPr>
          <w:rFonts w:ascii="Times New Roman" w:hAnsi="Times New Roman" w:cs="Times New Roman"/>
          <w:sz w:val="24"/>
          <w:szCs w:val="24"/>
        </w:rPr>
        <w:t>a</w:t>
      </w:r>
      <w:r w:rsidR="007D0AEC" w:rsidRPr="00234401">
        <w:rPr>
          <w:rFonts w:ascii="Times New Roman" w:hAnsi="Times New Roman" w:cs="Times New Roman"/>
          <w:sz w:val="24"/>
          <w:szCs w:val="24"/>
        </w:rPr>
        <w:t xml:space="preserve">l </w:t>
      </w:r>
      <w:r w:rsidR="00F546C4" w:rsidRPr="00234401">
        <w:rPr>
          <w:rFonts w:ascii="Times New Roman" w:hAnsi="Times New Roman" w:cs="Times New Roman"/>
          <w:sz w:val="24"/>
          <w:szCs w:val="24"/>
        </w:rPr>
        <w:t>paciente con TCE al grupo correspondiente (grupo NETL o NETI)</w:t>
      </w:r>
      <w:r w:rsidR="004046F2">
        <w:rPr>
          <w:rFonts w:ascii="Times New Roman" w:hAnsi="Times New Roman" w:cs="Times New Roman"/>
          <w:sz w:val="24"/>
          <w:szCs w:val="24"/>
        </w:rPr>
        <w:t>,</w:t>
      </w:r>
      <w:r w:rsidR="00F546C4" w:rsidRPr="00234401">
        <w:rPr>
          <w:rFonts w:ascii="Times New Roman" w:hAnsi="Times New Roman" w:cs="Times New Roman"/>
          <w:sz w:val="24"/>
          <w:szCs w:val="24"/>
        </w:rPr>
        <w:t xml:space="preserve"> así como </w:t>
      </w:r>
      <w:r w:rsidR="004046F2">
        <w:rPr>
          <w:rFonts w:ascii="Times New Roman" w:hAnsi="Times New Roman" w:cs="Times New Roman"/>
          <w:sz w:val="24"/>
          <w:szCs w:val="24"/>
        </w:rPr>
        <w:t xml:space="preserve">realizó el </w:t>
      </w:r>
      <w:r w:rsidR="00F546C4" w:rsidRPr="00234401">
        <w:rPr>
          <w:rFonts w:ascii="Times New Roman" w:hAnsi="Times New Roman" w:cs="Times New Roman"/>
          <w:bCs/>
          <w:sz w:val="24"/>
          <w:szCs w:val="24"/>
        </w:rPr>
        <w:t>llenado de la ficha del paciente</w:t>
      </w:r>
      <w:r w:rsidR="00F546C4" w:rsidRPr="00234401">
        <w:rPr>
          <w:rFonts w:ascii="Times New Roman" w:hAnsi="Times New Roman" w:cs="Times New Roman"/>
          <w:sz w:val="24"/>
          <w:szCs w:val="24"/>
        </w:rPr>
        <w:t xml:space="preserve"> (datos generales, valoración nutricional, antropometría, etc</w:t>
      </w:r>
      <w:r w:rsidR="004046F2" w:rsidRPr="00234401">
        <w:rPr>
          <w:rFonts w:ascii="Times New Roman" w:hAnsi="Times New Roman" w:cs="Times New Roman"/>
          <w:sz w:val="24"/>
          <w:szCs w:val="24"/>
        </w:rPr>
        <w:t>.)</w:t>
      </w:r>
      <w:r w:rsidR="004046F2">
        <w:rPr>
          <w:rFonts w:ascii="Times New Roman" w:hAnsi="Times New Roman" w:cs="Times New Roman"/>
          <w:sz w:val="24"/>
          <w:szCs w:val="24"/>
        </w:rPr>
        <w:t>.</w:t>
      </w:r>
      <w:r w:rsidR="004046F2" w:rsidRPr="00234401">
        <w:rPr>
          <w:rFonts w:ascii="Times New Roman" w:hAnsi="Times New Roman" w:cs="Times New Roman"/>
          <w:sz w:val="24"/>
          <w:szCs w:val="24"/>
        </w:rPr>
        <w:t xml:space="preserve"> </w:t>
      </w:r>
      <w:r w:rsidR="00F546C4" w:rsidRPr="00234401">
        <w:rPr>
          <w:rFonts w:ascii="Times New Roman" w:hAnsi="Times New Roman" w:cs="Times New Roman"/>
          <w:sz w:val="24"/>
          <w:szCs w:val="24"/>
        </w:rPr>
        <w:t xml:space="preserve">Posteriormente se realizó </w:t>
      </w:r>
      <w:r w:rsidR="007D0AEC">
        <w:rPr>
          <w:rFonts w:ascii="Times New Roman" w:hAnsi="Times New Roman" w:cs="Times New Roman"/>
          <w:sz w:val="24"/>
          <w:szCs w:val="24"/>
        </w:rPr>
        <w:t xml:space="preserve">el </w:t>
      </w:r>
      <w:r w:rsidR="00F546C4" w:rsidRPr="00234401">
        <w:rPr>
          <w:rFonts w:ascii="Times New Roman" w:hAnsi="Times New Roman" w:cs="Times New Roman"/>
          <w:sz w:val="24"/>
          <w:szCs w:val="24"/>
        </w:rPr>
        <w:t xml:space="preserve">cálculo de requerimientos energéticos y notificó al Departamento de </w:t>
      </w:r>
      <w:r w:rsidR="004046F2">
        <w:rPr>
          <w:rFonts w:ascii="Times New Roman" w:hAnsi="Times New Roman" w:cs="Times New Roman"/>
          <w:sz w:val="24"/>
          <w:szCs w:val="24"/>
        </w:rPr>
        <w:t>N</w:t>
      </w:r>
      <w:r w:rsidR="004046F2" w:rsidRPr="00234401">
        <w:rPr>
          <w:rFonts w:ascii="Times New Roman" w:hAnsi="Times New Roman" w:cs="Times New Roman"/>
          <w:sz w:val="24"/>
          <w:szCs w:val="24"/>
        </w:rPr>
        <w:t xml:space="preserve">utrición </w:t>
      </w:r>
      <w:r w:rsidR="00F546C4" w:rsidRPr="00234401">
        <w:rPr>
          <w:rFonts w:ascii="Times New Roman" w:hAnsi="Times New Roman" w:cs="Times New Roman"/>
          <w:sz w:val="24"/>
          <w:szCs w:val="24"/>
        </w:rPr>
        <w:t xml:space="preserve">y </w:t>
      </w:r>
      <w:r w:rsidR="004046F2">
        <w:rPr>
          <w:rFonts w:ascii="Times New Roman" w:hAnsi="Times New Roman" w:cs="Times New Roman"/>
          <w:sz w:val="24"/>
          <w:szCs w:val="24"/>
        </w:rPr>
        <w:t>E</w:t>
      </w:r>
      <w:r w:rsidR="004046F2" w:rsidRPr="00234401">
        <w:rPr>
          <w:rFonts w:ascii="Times New Roman" w:hAnsi="Times New Roman" w:cs="Times New Roman"/>
          <w:sz w:val="24"/>
          <w:szCs w:val="24"/>
        </w:rPr>
        <w:t xml:space="preserve">nfermería </w:t>
      </w:r>
      <w:r w:rsidR="00F546C4" w:rsidRPr="00234401">
        <w:rPr>
          <w:rFonts w:ascii="Times New Roman" w:hAnsi="Times New Roman" w:cs="Times New Roman"/>
          <w:sz w:val="24"/>
          <w:szCs w:val="24"/>
        </w:rPr>
        <w:t>para la administración de la dieta según fuera el caso.</w:t>
      </w:r>
    </w:p>
    <w:p w14:paraId="55980DE7" w14:textId="77777777" w:rsidR="00F546C4" w:rsidRPr="00DB3115" w:rsidRDefault="00F546C4" w:rsidP="003F3FAF">
      <w:pPr>
        <w:autoSpaceDE w:val="0"/>
        <w:autoSpaceDN w:val="0"/>
        <w:adjustRightInd w:val="0"/>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t xml:space="preserve">Previo al egreso de la UCI del paciente, se realizó de nuevo antropometría y </w:t>
      </w:r>
      <w:r w:rsidR="007731A6" w:rsidRPr="00DB3115">
        <w:rPr>
          <w:rFonts w:ascii="Times New Roman" w:hAnsi="Times New Roman" w:cs="Times New Roman"/>
          <w:sz w:val="24"/>
          <w:szCs w:val="24"/>
        </w:rPr>
        <w:t xml:space="preserve">se </w:t>
      </w:r>
      <w:r w:rsidR="00EC59E3" w:rsidRPr="00DB3115">
        <w:rPr>
          <w:rFonts w:ascii="Times New Roman" w:hAnsi="Times New Roman" w:cs="Times New Roman"/>
          <w:sz w:val="24"/>
          <w:szCs w:val="24"/>
        </w:rPr>
        <w:t>revisó que el expediente estuviera completo.</w:t>
      </w:r>
    </w:p>
    <w:p w14:paraId="165649CD" w14:textId="77777777" w:rsidR="00505A5A" w:rsidRDefault="00505A5A" w:rsidP="003F3FAF">
      <w:pPr>
        <w:autoSpaceDE w:val="0"/>
        <w:autoSpaceDN w:val="0"/>
        <w:adjustRightInd w:val="0"/>
        <w:spacing w:after="0" w:line="360" w:lineRule="auto"/>
        <w:ind w:right="49"/>
        <w:jc w:val="both"/>
        <w:rPr>
          <w:rFonts w:ascii="Times New Roman" w:hAnsi="Times New Roman" w:cs="Times New Roman"/>
          <w:b/>
          <w:sz w:val="24"/>
          <w:szCs w:val="24"/>
          <w:lang w:eastAsia="es-ES"/>
        </w:rPr>
      </w:pPr>
    </w:p>
    <w:p w14:paraId="72B42A2D" w14:textId="77777777" w:rsidR="00647DB0" w:rsidRDefault="00647DB0" w:rsidP="003F3FAF">
      <w:pPr>
        <w:autoSpaceDE w:val="0"/>
        <w:autoSpaceDN w:val="0"/>
        <w:adjustRightInd w:val="0"/>
        <w:spacing w:after="0" w:line="360" w:lineRule="auto"/>
        <w:ind w:right="49"/>
        <w:jc w:val="both"/>
        <w:rPr>
          <w:rFonts w:ascii="Times New Roman" w:hAnsi="Times New Roman" w:cs="Times New Roman"/>
          <w:b/>
          <w:sz w:val="24"/>
          <w:szCs w:val="24"/>
          <w:lang w:eastAsia="es-ES"/>
        </w:rPr>
      </w:pPr>
    </w:p>
    <w:p w14:paraId="2EC882C3" w14:textId="0F67A5F4" w:rsidR="00B74DF2" w:rsidRPr="003F3FAF" w:rsidRDefault="00EC59E3" w:rsidP="00903856">
      <w:pPr>
        <w:autoSpaceDE w:val="0"/>
        <w:autoSpaceDN w:val="0"/>
        <w:adjustRightInd w:val="0"/>
        <w:spacing w:after="0" w:line="360" w:lineRule="auto"/>
        <w:ind w:right="49"/>
        <w:jc w:val="center"/>
        <w:rPr>
          <w:rFonts w:ascii="Times New Roman" w:hAnsi="Times New Roman" w:cs="Times New Roman"/>
          <w:b/>
          <w:sz w:val="28"/>
          <w:szCs w:val="28"/>
          <w:lang w:eastAsia="es-ES"/>
        </w:rPr>
      </w:pPr>
      <w:r w:rsidRPr="003F3FAF">
        <w:rPr>
          <w:rFonts w:ascii="Times New Roman" w:hAnsi="Times New Roman" w:cs="Times New Roman"/>
          <w:b/>
          <w:sz w:val="28"/>
          <w:szCs w:val="28"/>
          <w:lang w:eastAsia="es-ES"/>
        </w:rPr>
        <w:lastRenderedPageBreak/>
        <w:t>Selección de la fórmula enteral</w:t>
      </w:r>
    </w:p>
    <w:p w14:paraId="5D4D518C" w14:textId="11E5E936" w:rsidR="00C975E2" w:rsidRPr="00DB3115" w:rsidRDefault="00C975E2" w:rsidP="003F3FAF">
      <w:pPr>
        <w:autoSpaceDE w:val="0"/>
        <w:autoSpaceDN w:val="0"/>
        <w:adjustRightInd w:val="0"/>
        <w:spacing w:after="0" w:line="360" w:lineRule="auto"/>
        <w:ind w:right="49" w:firstLine="708"/>
        <w:jc w:val="both"/>
        <w:rPr>
          <w:rFonts w:ascii="Times New Roman" w:hAnsi="Times New Roman" w:cs="Times New Roman"/>
          <w:sz w:val="24"/>
          <w:szCs w:val="24"/>
          <w:lang w:eastAsia="es-ES"/>
        </w:rPr>
      </w:pPr>
      <w:r w:rsidRPr="00DB3115">
        <w:rPr>
          <w:rFonts w:ascii="Times New Roman" w:hAnsi="Times New Roman" w:cs="Times New Roman"/>
          <w:sz w:val="24"/>
          <w:szCs w:val="24"/>
          <w:lang w:eastAsia="es-ES"/>
        </w:rPr>
        <w:t>Para ambos grupos, s</w:t>
      </w:r>
      <w:r w:rsidR="00EC59E3" w:rsidRPr="00DB3115">
        <w:rPr>
          <w:rFonts w:ascii="Times New Roman" w:hAnsi="Times New Roman" w:cs="Times New Roman"/>
          <w:sz w:val="24"/>
          <w:szCs w:val="24"/>
          <w:lang w:eastAsia="es-ES"/>
        </w:rPr>
        <w:t>e estimó 25 cal/kg al día, 33</w:t>
      </w:r>
      <w:r w:rsidR="002406B2">
        <w:rPr>
          <w:rFonts w:ascii="Times New Roman" w:hAnsi="Times New Roman" w:cs="Times New Roman"/>
          <w:sz w:val="24"/>
          <w:szCs w:val="24"/>
          <w:lang w:eastAsia="es-ES"/>
        </w:rPr>
        <w:t xml:space="preserve"> </w:t>
      </w:r>
      <w:r w:rsidR="00EC59E3" w:rsidRPr="00DB3115">
        <w:rPr>
          <w:rFonts w:ascii="Times New Roman" w:hAnsi="Times New Roman" w:cs="Times New Roman"/>
          <w:sz w:val="24"/>
          <w:szCs w:val="24"/>
          <w:lang w:eastAsia="es-ES"/>
        </w:rPr>
        <w:t>% de carbohidratos, 27</w:t>
      </w:r>
      <w:r w:rsidR="002406B2">
        <w:rPr>
          <w:rFonts w:ascii="Times New Roman" w:hAnsi="Times New Roman" w:cs="Times New Roman"/>
          <w:sz w:val="24"/>
          <w:szCs w:val="24"/>
          <w:lang w:eastAsia="es-ES"/>
        </w:rPr>
        <w:t xml:space="preserve"> </w:t>
      </w:r>
      <w:r w:rsidR="00EC59E3" w:rsidRPr="00DB3115">
        <w:rPr>
          <w:rFonts w:ascii="Times New Roman" w:hAnsi="Times New Roman" w:cs="Times New Roman"/>
          <w:sz w:val="24"/>
          <w:szCs w:val="24"/>
          <w:lang w:eastAsia="es-ES"/>
        </w:rPr>
        <w:t>% de proteínas y 40</w:t>
      </w:r>
      <w:r w:rsidR="002406B2">
        <w:rPr>
          <w:rFonts w:ascii="Times New Roman" w:hAnsi="Times New Roman" w:cs="Times New Roman"/>
          <w:sz w:val="24"/>
          <w:szCs w:val="24"/>
          <w:lang w:eastAsia="es-ES"/>
        </w:rPr>
        <w:t xml:space="preserve"> </w:t>
      </w:r>
      <w:r w:rsidR="00EC59E3" w:rsidRPr="00DB3115">
        <w:rPr>
          <w:rFonts w:ascii="Times New Roman" w:hAnsi="Times New Roman" w:cs="Times New Roman"/>
          <w:sz w:val="24"/>
          <w:szCs w:val="24"/>
          <w:lang w:eastAsia="es-ES"/>
        </w:rPr>
        <w:t xml:space="preserve">% de lípidos. </w:t>
      </w:r>
    </w:p>
    <w:p w14:paraId="7A3E5879" w14:textId="5BA45D51" w:rsidR="00E3352F" w:rsidRPr="00DB3115" w:rsidRDefault="00C975E2" w:rsidP="003F3FAF">
      <w:pPr>
        <w:autoSpaceDE w:val="0"/>
        <w:autoSpaceDN w:val="0"/>
        <w:adjustRightInd w:val="0"/>
        <w:spacing w:after="0" w:line="360" w:lineRule="auto"/>
        <w:ind w:right="49" w:firstLine="708"/>
        <w:jc w:val="both"/>
        <w:rPr>
          <w:rFonts w:ascii="Times New Roman" w:hAnsi="Times New Roman" w:cs="Times New Roman"/>
          <w:sz w:val="24"/>
          <w:szCs w:val="24"/>
          <w:lang w:eastAsia="es-ES"/>
        </w:rPr>
      </w:pPr>
      <w:r w:rsidRPr="00DB3115">
        <w:rPr>
          <w:rFonts w:ascii="Times New Roman" w:hAnsi="Times New Roman" w:cs="Times New Roman"/>
          <w:sz w:val="24"/>
          <w:szCs w:val="24"/>
          <w:lang w:eastAsia="es-ES"/>
        </w:rPr>
        <w:t xml:space="preserve">Al grupo </w:t>
      </w:r>
      <w:r w:rsidR="00C77123">
        <w:rPr>
          <w:rFonts w:ascii="Times New Roman" w:hAnsi="Times New Roman" w:cs="Times New Roman"/>
          <w:sz w:val="24"/>
          <w:szCs w:val="24"/>
          <w:lang w:eastAsia="es-ES"/>
        </w:rPr>
        <w:t>control</w:t>
      </w:r>
      <w:r w:rsidRPr="00DB3115">
        <w:rPr>
          <w:rFonts w:ascii="Times New Roman" w:hAnsi="Times New Roman" w:cs="Times New Roman"/>
          <w:sz w:val="24"/>
          <w:szCs w:val="24"/>
          <w:lang w:eastAsia="es-ES"/>
        </w:rPr>
        <w:t xml:space="preserve"> con NETL s</w:t>
      </w:r>
      <w:r w:rsidR="007731A6" w:rsidRPr="00DB3115">
        <w:rPr>
          <w:rFonts w:ascii="Times New Roman" w:hAnsi="Times New Roman" w:cs="Times New Roman"/>
          <w:sz w:val="24"/>
          <w:szCs w:val="24"/>
          <w:lang w:eastAsia="es-ES"/>
        </w:rPr>
        <w:t>e</w:t>
      </w:r>
      <w:r w:rsidR="002406B2">
        <w:rPr>
          <w:rFonts w:ascii="Times New Roman" w:hAnsi="Times New Roman" w:cs="Times New Roman"/>
          <w:sz w:val="24"/>
          <w:szCs w:val="24"/>
          <w:lang w:eastAsia="es-ES"/>
        </w:rPr>
        <w:t xml:space="preserve"> le</w:t>
      </w:r>
      <w:r w:rsidR="007731A6" w:rsidRPr="00DB3115">
        <w:rPr>
          <w:rFonts w:ascii="Times New Roman" w:hAnsi="Times New Roman" w:cs="Times New Roman"/>
          <w:sz w:val="24"/>
          <w:szCs w:val="24"/>
          <w:lang w:eastAsia="es-ES"/>
        </w:rPr>
        <w:t xml:space="preserve"> administró</w:t>
      </w:r>
      <w:r w:rsidR="00EC59E3" w:rsidRPr="00DB3115">
        <w:rPr>
          <w:rFonts w:ascii="Times New Roman" w:hAnsi="Times New Roman" w:cs="Times New Roman"/>
          <w:sz w:val="24"/>
          <w:szCs w:val="24"/>
          <w:lang w:eastAsia="es-ES"/>
        </w:rPr>
        <w:t xml:space="preserve"> dieta polimérica </w:t>
      </w:r>
      <w:r w:rsidR="00E77792" w:rsidRPr="00DB3115">
        <w:rPr>
          <w:rFonts w:ascii="Times New Roman" w:hAnsi="Times New Roman" w:cs="Times New Roman"/>
          <w:sz w:val="24"/>
          <w:szCs w:val="24"/>
          <w:lang w:eastAsia="es-ES"/>
        </w:rPr>
        <w:t xml:space="preserve">en </w:t>
      </w:r>
      <w:r w:rsidR="00EC59E3" w:rsidRPr="00DB3115">
        <w:rPr>
          <w:rFonts w:ascii="Times New Roman" w:hAnsi="Times New Roman" w:cs="Times New Roman"/>
          <w:sz w:val="24"/>
          <w:szCs w:val="24"/>
          <w:lang w:eastAsia="es-ES"/>
        </w:rPr>
        <w:t>polvo</w:t>
      </w:r>
      <w:r w:rsidR="00EC59E3" w:rsidRPr="00DB3115">
        <w:rPr>
          <w:rFonts w:ascii="Times New Roman" w:hAnsi="Times New Roman" w:cs="Times New Roman"/>
          <w:b/>
          <w:sz w:val="24"/>
          <w:szCs w:val="24"/>
          <w:lang w:eastAsia="es-ES"/>
        </w:rPr>
        <w:t xml:space="preserve"> </w:t>
      </w:r>
      <w:r w:rsidR="00EC59E3" w:rsidRPr="00DB3115">
        <w:rPr>
          <w:rFonts w:ascii="Times New Roman" w:hAnsi="Times New Roman" w:cs="Times New Roman"/>
          <w:sz w:val="24"/>
          <w:szCs w:val="24"/>
          <w:lang w:eastAsia="es-ES"/>
        </w:rPr>
        <w:t xml:space="preserve">(100 g): </w:t>
      </w:r>
      <w:r w:rsidR="002406B2">
        <w:rPr>
          <w:rFonts w:ascii="Times New Roman" w:hAnsi="Times New Roman" w:cs="Times New Roman"/>
          <w:sz w:val="24"/>
          <w:szCs w:val="24"/>
          <w:lang w:eastAsia="es-ES"/>
        </w:rPr>
        <w:t>e</w:t>
      </w:r>
      <w:r w:rsidR="002406B2" w:rsidRPr="00DB3115">
        <w:rPr>
          <w:rFonts w:ascii="Times New Roman" w:hAnsi="Times New Roman" w:cs="Times New Roman"/>
          <w:sz w:val="24"/>
          <w:szCs w:val="24"/>
          <w:lang w:eastAsia="es-ES"/>
        </w:rPr>
        <w:t xml:space="preserve">nergía </w:t>
      </w:r>
      <w:r w:rsidR="00EC59E3" w:rsidRPr="00DB3115">
        <w:rPr>
          <w:rFonts w:ascii="Times New Roman" w:hAnsi="Times New Roman" w:cs="Times New Roman"/>
          <w:sz w:val="24"/>
          <w:szCs w:val="24"/>
          <w:lang w:eastAsia="es-ES"/>
        </w:rPr>
        <w:t>330</w:t>
      </w:r>
      <w:r w:rsidR="002406B2">
        <w:rPr>
          <w:rFonts w:ascii="Times New Roman" w:hAnsi="Times New Roman" w:cs="Times New Roman"/>
          <w:sz w:val="24"/>
          <w:szCs w:val="24"/>
          <w:lang w:eastAsia="es-ES"/>
        </w:rPr>
        <w:t xml:space="preserve"> </w:t>
      </w:r>
      <w:r w:rsidR="00D177E6">
        <w:rPr>
          <w:rFonts w:ascii="Times New Roman" w:hAnsi="Times New Roman" w:cs="Times New Roman"/>
          <w:sz w:val="24"/>
          <w:szCs w:val="24"/>
          <w:lang w:eastAsia="es-ES"/>
        </w:rPr>
        <w:t>k</w:t>
      </w:r>
      <w:r w:rsidR="00EC59E3" w:rsidRPr="00DB3115">
        <w:rPr>
          <w:rFonts w:ascii="Times New Roman" w:hAnsi="Times New Roman" w:cs="Times New Roman"/>
          <w:sz w:val="24"/>
          <w:szCs w:val="24"/>
          <w:lang w:eastAsia="es-ES"/>
        </w:rPr>
        <w:t>cal, carbohidratos 59.4</w:t>
      </w:r>
      <w:r w:rsidR="002406B2">
        <w:rPr>
          <w:rFonts w:ascii="Times New Roman" w:hAnsi="Times New Roman" w:cs="Times New Roman"/>
          <w:sz w:val="24"/>
          <w:szCs w:val="24"/>
          <w:lang w:eastAsia="es-ES"/>
        </w:rPr>
        <w:t xml:space="preserve"> </w:t>
      </w:r>
      <w:r w:rsidR="00EC59E3" w:rsidRPr="00DB3115">
        <w:rPr>
          <w:rFonts w:ascii="Times New Roman" w:hAnsi="Times New Roman" w:cs="Times New Roman"/>
          <w:sz w:val="24"/>
          <w:szCs w:val="24"/>
          <w:lang w:eastAsia="es-ES"/>
        </w:rPr>
        <w:t>g, fibra 2</w:t>
      </w:r>
      <w:r w:rsidR="002406B2">
        <w:rPr>
          <w:rFonts w:ascii="Times New Roman" w:hAnsi="Times New Roman" w:cs="Times New Roman"/>
          <w:sz w:val="24"/>
          <w:szCs w:val="24"/>
          <w:lang w:eastAsia="es-ES"/>
        </w:rPr>
        <w:t xml:space="preserve"> </w:t>
      </w:r>
      <w:r w:rsidR="00EC59E3" w:rsidRPr="00DB3115">
        <w:rPr>
          <w:rFonts w:ascii="Times New Roman" w:hAnsi="Times New Roman" w:cs="Times New Roman"/>
          <w:sz w:val="24"/>
          <w:szCs w:val="24"/>
          <w:lang w:eastAsia="es-ES"/>
        </w:rPr>
        <w:t>g, proteínas 17.5</w:t>
      </w:r>
      <w:r w:rsidR="002406B2">
        <w:rPr>
          <w:rFonts w:ascii="Times New Roman" w:hAnsi="Times New Roman" w:cs="Times New Roman"/>
          <w:sz w:val="24"/>
          <w:szCs w:val="24"/>
          <w:lang w:eastAsia="es-ES"/>
        </w:rPr>
        <w:t xml:space="preserve"> </w:t>
      </w:r>
      <w:r w:rsidR="00EC59E3" w:rsidRPr="00DB3115">
        <w:rPr>
          <w:rFonts w:ascii="Times New Roman" w:hAnsi="Times New Roman" w:cs="Times New Roman"/>
          <w:sz w:val="24"/>
          <w:szCs w:val="24"/>
          <w:lang w:eastAsia="es-ES"/>
        </w:rPr>
        <w:t>g, lípidos 12.6</w:t>
      </w:r>
      <w:r w:rsidR="002406B2">
        <w:rPr>
          <w:rFonts w:ascii="Times New Roman" w:hAnsi="Times New Roman" w:cs="Times New Roman"/>
          <w:sz w:val="24"/>
          <w:szCs w:val="24"/>
          <w:lang w:eastAsia="es-ES"/>
        </w:rPr>
        <w:t xml:space="preserve"> </w:t>
      </w:r>
      <w:r w:rsidR="00EC59E3" w:rsidRPr="00DB3115">
        <w:rPr>
          <w:rFonts w:ascii="Times New Roman" w:hAnsi="Times New Roman" w:cs="Times New Roman"/>
          <w:sz w:val="24"/>
          <w:szCs w:val="24"/>
          <w:lang w:eastAsia="es-ES"/>
        </w:rPr>
        <w:t>g, agua 1600</w:t>
      </w:r>
      <w:r w:rsidR="002406B2">
        <w:rPr>
          <w:rFonts w:ascii="Times New Roman" w:hAnsi="Times New Roman" w:cs="Times New Roman"/>
          <w:sz w:val="24"/>
          <w:szCs w:val="24"/>
          <w:lang w:eastAsia="es-ES"/>
        </w:rPr>
        <w:t xml:space="preserve"> </w:t>
      </w:r>
      <w:r w:rsidR="00EC59E3" w:rsidRPr="00DB3115">
        <w:rPr>
          <w:rFonts w:ascii="Times New Roman" w:hAnsi="Times New Roman" w:cs="Times New Roman"/>
          <w:sz w:val="24"/>
          <w:szCs w:val="24"/>
          <w:lang w:eastAsia="es-ES"/>
        </w:rPr>
        <w:t>ml, sodio 147 mg, potasio 790 mg. Se le agregó (licuó) al polvo: aceite de oliva 125</w:t>
      </w:r>
      <w:r w:rsidR="002406B2">
        <w:rPr>
          <w:rFonts w:ascii="Times New Roman" w:hAnsi="Times New Roman" w:cs="Times New Roman"/>
          <w:sz w:val="24"/>
          <w:szCs w:val="24"/>
          <w:lang w:eastAsia="es-ES"/>
        </w:rPr>
        <w:t xml:space="preserve"> </w:t>
      </w:r>
      <w:r w:rsidR="00EC59E3" w:rsidRPr="00DB3115">
        <w:rPr>
          <w:rFonts w:ascii="Times New Roman" w:hAnsi="Times New Roman" w:cs="Times New Roman"/>
          <w:sz w:val="24"/>
          <w:szCs w:val="24"/>
          <w:lang w:eastAsia="es-ES"/>
        </w:rPr>
        <w:t>mg, fruta 80</w:t>
      </w:r>
      <w:r w:rsidR="002406B2">
        <w:rPr>
          <w:rFonts w:ascii="Times New Roman" w:hAnsi="Times New Roman" w:cs="Times New Roman"/>
          <w:sz w:val="24"/>
          <w:szCs w:val="24"/>
          <w:lang w:eastAsia="es-ES"/>
        </w:rPr>
        <w:t xml:space="preserve"> </w:t>
      </w:r>
      <w:r w:rsidR="00EC59E3" w:rsidRPr="00DB3115">
        <w:rPr>
          <w:rFonts w:ascii="Times New Roman" w:hAnsi="Times New Roman" w:cs="Times New Roman"/>
          <w:sz w:val="24"/>
          <w:szCs w:val="24"/>
          <w:lang w:eastAsia="es-ES"/>
        </w:rPr>
        <w:t>g, verdur</w:t>
      </w:r>
      <w:r w:rsidR="00E3352F" w:rsidRPr="00DB3115">
        <w:rPr>
          <w:rFonts w:ascii="Times New Roman" w:hAnsi="Times New Roman" w:cs="Times New Roman"/>
          <w:sz w:val="24"/>
          <w:szCs w:val="24"/>
          <w:lang w:eastAsia="es-ES"/>
        </w:rPr>
        <w:t>a 60</w:t>
      </w:r>
      <w:r w:rsidR="002406B2">
        <w:rPr>
          <w:rFonts w:ascii="Times New Roman" w:hAnsi="Times New Roman" w:cs="Times New Roman"/>
          <w:sz w:val="24"/>
          <w:szCs w:val="24"/>
          <w:lang w:eastAsia="es-ES"/>
        </w:rPr>
        <w:t xml:space="preserve"> </w:t>
      </w:r>
      <w:r w:rsidR="00E3352F" w:rsidRPr="00DB3115">
        <w:rPr>
          <w:rFonts w:ascii="Times New Roman" w:hAnsi="Times New Roman" w:cs="Times New Roman"/>
          <w:sz w:val="24"/>
          <w:szCs w:val="24"/>
          <w:lang w:eastAsia="es-ES"/>
        </w:rPr>
        <w:t>g y cereales sin grasa 19</w:t>
      </w:r>
      <w:r w:rsidR="002406B2">
        <w:rPr>
          <w:rFonts w:ascii="Times New Roman" w:hAnsi="Times New Roman" w:cs="Times New Roman"/>
          <w:sz w:val="24"/>
          <w:szCs w:val="24"/>
          <w:lang w:eastAsia="es-ES"/>
        </w:rPr>
        <w:t xml:space="preserve"> </w:t>
      </w:r>
      <w:r w:rsidR="00E3352F" w:rsidRPr="00DB3115">
        <w:rPr>
          <w:rFonts w:ascii="Times New Roman" w:hAnsi="Times New Roman" w:cs="Times New Roman"/>
          <w:sz w:val="24"/>
          <w:szCs w:val="24"/>
          <w:lang w:eastAsia="es-ES"/>
        </w:rPr>
        <w:t xml:space="preserve">g, la cual fue elaborada por el Departamento de Nutrición del Hospital General y administrada por el personal de enfermería de la UCI. Se </w:t>
      </w:r>
      <w:r w:rsidR="004C3F38">
        <w:rPr>
          <w:rFonts w:ascii="Times New Roman" w:hAnsi="Times New Roman" w:cs="Times New Roman"/>
          <w:sz w:val="24"/>
          <w:szCs w:val="24"/>
          <w:lang w:eastAsia="es-ES"/>
        </w:rPr>
        <w:t xml:space="preserve">le </w:t>
      </w:r>
      <w:r w:rsidR="00E3352F" w:rsidRPr="00DB3115">
        <w:rPr>
          <w:rFonts w:ascii="Times New Roman" w:hAnsi="Times New Roman" w:cs="Times New Roman"/>
          <w:sz w:val="24"/>
          <w:szCs w:val="24"/>
          <w:lang w:eastAsia="es-ES"/>
        </w:rPr>
        <w:t>administró</w:t>
      </w:r>
      <w:r w:rsidR="004C3F38">
        <w:rPr>
          <w:rFonts w:ascii="Times New Roman" w:hAnsi="Times New Roman" w:cs="Times New Roman"/>
          <w:sz w:val="24"/>
          <w:szCs w:val="24"/>
          <w:lang w:eastAsia="es-ES"/>
        </w:rPr>
        <w:t xml:space="preserve"> la</w:t>
      </w:r>
      <w:r w:rsidR="00E3352F" w:rsidRPr="00DB3115">
        <w:rPr>
          <w:rFonts w:ascii="Times New Roman" w:hAnsi="Times New Roman" w:cs="Times New Roman"/>
          <w:sz w:val="24"/>
          <w:szCs w:val="24"/>
          <w:lang w:eastAsia="es-ES"/>
        </w:rPr>
        <w:t xml:space="preserve"> dieta a</w:t>
      </w:r>
      <w:r w:rsidR="004C3F38">
        <w:rPr>
          <w:rFonts w:ascii="Times New Roman" w:hAnsi="Times New Roman" w:cs="Times New Roman"/>
          <w:sz w:val="24"/>
          <w:szCs w:val="24"/>
          <w:lang w:eastAsia="es-ES"/>
        </w:rPr>
        <w:t>l</w:t>
      </w:r>
      <w:r w:rsidR="00E3352F" w:rsidRPr="00DB3115">
        <w:rPr>
          <w:rFonts w:ascii="Times New Roman" w:hAnsi="Times New Roman" w:cs="Times New Roman"/>
          <w:sz w:val="24"/>
          <w:szCs w:val="24"/>
          <w:lang w:eastAsia="es-ES"/>
        </w:rPr>
        <w:t xml:space="preserve"> </w:t>
      </w:r>
      <w:r w:rsidR="00B74DF2" w:rsidRPr="00DB3115">
        <w:rPr>
          <w:rFonts w:ascii="Times New Roman" w:hAnsi="Times New Roman" w:cs="Times New Roman"/>
          <w:sz w:val="24"/>
          <w:szCs w:val="24"/>
          <w:lang w:eastAsia="es-ES"/>
        </w:rPr>
        <w:t>paciente intubado con la cabecera</w:t>
      </w:r>
      <w:r w:rsidR="00800A16" w:rsidRPr="00DB3115">
        <w:rPr>
          <w:rFonts w:ascii="Times New Roman" w:hAnsi="Times New Roman" w:cs="Times New Roman"/>
          <w:sz w:val="24"/>
          <w:szCs w:val="24"/>
          <w:lang w:eastAsia="es-ES"/>
        </w:rPr>
        <w:t xml:space="preserve"> elevada a 30º–</w:t>
      </w:r>
      <w:r w:rsidR="00B74DF2" w:rsidRPr="00DB3115">
        <w:rPr>
          <w:rFonts w:ascii="Times New Roman" w:hAnsi="Times New Roman" w:cs="Times New Roman"/>
          <w:sz w:val="24"/>
          <w:szCs w:val="24"/>
          <w:lang w:eastAsia="es-ES"/>
        </w:rPr>
        <w:t xml:space="preserve">45º, a </w:t>
      </w:r>
      <w:r w:rsidR="00E3352F" w:rsidRPr="00DB3115">
        <w:rPr>
          <w:rFonts w:ascii="Times New Roman" w:hAnsi="Times New Roman" w:cs="Times New Roman"/>
          <w:sz w:val="24"/>
          <w:szCs w:val="24"/>
          <w:lang w:eastAsia="es-ES"/>
        </w:rPr>
        <w:t>través de sonda nasogástrica de 16 Fr colocada en bolsa de plástico para nutrición y su administración fue por gravedad durante 12 horas (50</w:t>
      </w:r>
      <w:r w:rsidR="004C3F38">
        <w:rPr>
          <w:rFonts w:ascii="Times New Roman" w:hAnsi="Times New Roman" w:cs="Times New Roman"/>
          <w:sz w:val="24"/>
          <w:szCs w:val="24"/>
          <w:lang w:eastAsia="es-ES"/>
        </w:rPr>
        <w:t xml:space="preserve"> </w:t>
      </w:r>
      <w:r w:rsidR="00E3352F" w:rsidRPr="00DB3115">
        <w:rPr>
          <w:rFonts w:ascii="Times New Roman" w:hAnsi="Times New Roman" w:cs="Times New Roman"/>
          <w:sz w:val="24"/>
          <w:szCs w:val="24"/>
          <w:lang w:eastAsia="es-ES"/>
        </w:rPr>
        <w:t>cc/hora), dividida en dos tomas, por las mañanas y por las tardes. Se midió residuo gástrico, y se irrigó la sonda al término de cada sesión.</w:t>
      </w:r>
    </w:p>
    <w:p w14:paraId="44D51A62" w14:textId="3139E62D" w:rsidR="00EC59E3" w:rsidRPr="00DB3115" w:rsidRDefault="00EC59E3" w:rsidP="003F3FAF">
      <w:pPr>
        <w:autoSpaceDE w:val="0"/>
        <w:autoSpaceDN w:val="0"/>
        <w:adjustRightInd w:val="0"/>
        <w:spacing w:after="0" w:line="360" w:lineRule="auto"/>
        <w:ind w:right="49" w:firstLine="708"/>
        <w:jc w:val="both"/>
        <w:rPr>
          <w:rFonts w:ascii="Times New Roman" w:eastAsia="Times New Roman" w:hAnsi="Times New Roman" w:cs="Times New Roman"/>
          <w:sz w:val="24"/>
          <w:szCs w:val="24"/>
          <w:lang w:eastAsia="es-ES"/>
        </w:rPr>
      </w:pPr>
      <w:r w:rsidRPr="00DB3115">
        <w:rPr>
          <w:rFonts w:ascii="Times New Roman" w:eastAsia="Times New Roman" w:hAnsi="Times New Roman" w:cs="Times New Roman"/>
          <w:sz w:val="24"/>
          <w:szCs w:val="24"/>
          <w:lang w:eastAsia="es-ES"/>
        </w:rPr>
        <w:t>Por otra parte, al grupo</w:t>
      </w:r>
      <w:r w:rsidR="008831CB">
        <w:rPr>
          <w:rFonts w:ascii="Times New Roman" w:eastAsia="Times New Roman" w:hAnsi="Times New Roman" w:cs="Times New Roman"/>
          <w:sz w:val="24"/>
          <w:szCs w:val="24"/>
          <w:lang w:eastAsia="es-ES"/>
        </w:rPr>
        <w:t xml:space="preserve"> de</w:t>
      </w:r>
      <w:r w:rsidRPr="00DB3115">
        <w:rPr>
          <w:rFonts w:ascii="Times New Roman" w:eastAsia="Times New Roman" w:hAnsi="Times New Roman" w:cs="Times New Roman"/>
          <w:sz w:val="24"/>
          <w:szCs w:val="24"/>
          <w:lang w:eastAsia="es-ES"/>
        </w:rPr>
        <w:t xml:space="preserve"> </w:t>
      </w:r>
      <w:r w:rsidR="00F91208">
        <w:rPr>
          <w:rFonts w:ascii="Times New Roman" w:eastAsia="Times New Roman" w:hAnsi="Times New Roman" w:cs="Times New Roman"/>
          <w:sz w:val="24"/>
          <w:szCs w:val="24"/>
          <w:lang w:eastAsia="es-ES"/>
        </w:rPr>
        <w:t>intervención</w:t>
      </w:r>
      <w:r w:rsidRPr="00DB3115">
        <w:rPr>
          <w:rFonts w:ascii="Times New Roman" w:eastAsia="Times New Roman" w:hAnsi="Times New Roman" w:cs="Times New Roman"/>
          <w:sz w:val="24"/>
          <w:szCs w:val="24"/>
          <w:lang w:eastAsia="es-ES"/>
        </w:rPr>
        <w:t xml:space="preserve"> con NETI se le administró la f</w:t>
      </w:r>
      <w:r w:rsidR="00B05F8E">
        <w:rPr>
          <w:rFonts w:ascii="Times New Roman" w:eastAsia="Times New Roman" w:hAnsi="Times New Roman" w:cs="Times New Roman"/>
          <w:sz w:val="24"/>
          <w:szCs w:val="24"/>
          <w:lang w:eastAsia="es-ES"/>
        </w:rPr>
        <w:t>ó</w:t>
      </w:r>
      <w:r w:rsidRPr="00DB3115">
        <w:rPr>
          <w:rFonts w:ascii="Times New Roman" w:eastAsia="Times New Roman" w:hAnsi="Times New Roman" w:cs="Times New Roman"/>
          <w:sz w:val="24"/>
          <w:szCs w:val="24"/>
          <w:lang w:eastAsia="es-ES"/>
        </w:rPr>
        <w:t xml:space="preserve">rmula </w:t>
      </w:r>
      <w:proofErr w:type="spellStart"/>
      <w:r w:rsidR="00E3352F" w:rsidRPr="00DB3115">
        <w:rPr>
          <w:rFonts w:ascii="Times New Roman" w:eastAsia="Times New Roman" w:hAnsi="Times New Roman" w:cs="Times New Roman"/>
          <w:sz w:val="24"/>
          <w:szCs w:val="24"/>
          <w:lang w:eastAsia="es-ES"/>
        </w:rPr>
        <w:t>Supportan</w:t>
      </w:r>
      <w:proofErr w:type="spellEnd"/>
      <w:r w:rsidR="00E3352F" w:rsidRPr="00DB3115">
        <w:rPr>
          <w:rFonts w:ascii="Times New Roman" w:eastAsia="Times New Roman" w:hAnsi="Times New Roman" w:cs="Times New Roman"/>
          <w:sz w:val="24"/>
          <w:szCs w:val="24"/>
          <w:lang w:eastAsia="es-ES"/>
        </w:rPr>
        <w:t xml:space="preserve"> </w:t>
      </w:r>
      <w:proofErr w:type="spellStart"/>
      <w:r w:rsidR="00E3352F" w:rsidRPr="00DB3115">
        <w:rPr>
          <w:rFonts w:ascii="Times New Roman" w:eastAsia="Times New Roman" w:hAnsi="Times New Roman" w:cs="Times New Roman"/>
          <w:sz w:val="24"/>
          <w:szCs w:val="24"/>
          <w:lang w:eastAsia="es-ES"/>
        </w:rPr>
        <w:t>Drink</w:t>
      </w:r>
      <w:proofErr w:type="spellEnd"/>
      <w:r w:rsidRPr="00DB3115">
        <w:rPr>
          <w:rFonts w:ascii="Times New Roman" w:eastAsia="Times New Roman" w:hAnsi="Times New Roman" w:cs="Times New Roman"/>
          <w:sz w:val="24"/>
          <w:szCs w:val="24"/>
          <w:lang w:eastAsia="es-ES"/>
        </w:rPr>
        <w:t xml:space="preserve">, conformada de la siguiente manera: </w:t>
      </w:r>
      <w:r w:rsidR="007B2FEC">
        <w:rPr>
          <w:rFonts w:ascii="Times New Roman" w:eastAsia="Times New Roman" w:hAnsi="Times New Roman" w:cs="Times New Roman"/>
          <w:sz w:val="24"/>
          <w:szCs w:val="24"/>
          <w:lang w:eastAsia="es-ES"/>
        </w:rPr>
        <w:t>e</w:t>
      </w:r>
      <w:r w:rsidR="007B2FEC" w:rsidRPr="00DB3115">
        <w:rPr>
          <w:rFonts w:ascii="Times New Roman" w:eastAsia="Times New Roman" w:hAnsi="Times New Roman" w:cs="Times New Roman"/>
          <w:sz w:val="24"/>
          <w:szCs w:val="24"/>
          <w:lang w:eastAsia="es-ES"/>
        </w:rPr>
        <w:t xml:space="preserve">nergía </w:t>
      </w:r>
      <w:r w:rsidRPr="00DB3115">
        <w:rPr>
          <w:rFonts w:ascii="Times New Roman" w:eastAsia="Times New Roman" w:hAnsi="Times New Roman" w:cs="Times New Roman"/>
          <w:sz w:val="24"/>
          <w:szCs w:val="24"/>
          <w:lang w:eastAsia="es-ES"/>
        </w:rPr>
        <w:t>300</w:t>
      </w:r>
      <w:r w:rsidR="007B2FEC">
        <w:rPr>
          <w:rFonts w:ascii="Times New Roman" w:eastAsia="Times New Roman" w:hAnsi="Times New Roman" w:cs="Times New Roman"/>
          <w:sz w:val="24"/>
          <w:szCs w:val="24"/>
          <w:lang w:eastAsia="es-ES"/>
        </w:rPr>
        <w:t xml:space="preserve"> k</w:t>
      </w:r>
      <w:r w:rsidR="007B2FEC" w:rsidRPr="00DB3115">
        <w:rPr>
          <w:rFonts w:ascii="Times New Roman" w:eastAsia="Times New Roman" w:hAnsi="Times New Roman" w:cs="Times New Roman"/>
          <w:sz w:val="24"/>
          <w:szCs w:val="24"/>
          <w:lang w:eastAsia="es-ES"/>
        </w:rPr>
        <w:t>cal</w:t>
      </w:r>
      <w:r w:rsidRPr="00DB3115">
        <w:rPr>
          <w:rFonts w:ascii="Times New Roman" w:eastAsia="Times New Roman" w:hAnsi="Times New Roman" w:cs="Times New Roman"/>
          <w:sz w:val="24"/>
          <w:szCs w:val="24"/>
          <w:lang w:eastAsia="es-ES"/>
        </w:rPr>
        <w:t xml:space="preserve">, </w:t>
      </w:r>
      <w:r w:rsidR="007B2FEC">
        <w:rPr>
          <w:rFonts w:ascii="Times New Roman" w:eastAsia="Times New Roman" w:hAnsi="Times New Roman" w:cs="Times New Roman"/>
          <w:sz w:val="24"/>
          <w:szCs w:val="24"/>
          <w:lang w:eastAsia="es-ES"/>
        </w:rPr>
        <w:t>k</w:t>
      </w:r>
      <w:r w:rsidR="007B2FEC" w:rsidRPr="00DB3115">
        <w:rPr>
          <w:rFonts w:ascii="Times New Roman" w:eastAsia="Times New Roman" w:hAnsi="Times New Roman" w:cs="Times New Roman"/>
          <w:sz w:val="24"/>
          <w:szCs w:val="24"/>
          <w:lang w:eastAsia="es-ES"/>
        </w:rPr>
        <w:t>cal</w:t>
      </w:r>
      <w:r w:rsidRPr="00DB3115">
        <w:rPr>
          <w:rFonts w:ascii="Times New Roman" w:eastAsia="Times New Roman" w:hAnsi="Times New Roman" w:cs="Times New Roman"/>
          <w:sz w:val="24"/>
          <w:szCs w:val="24"/>
          <w:lang w:eastAsia="es-ES"/>
        </w:rPr>
        <w:t>/ml 1.5, carbohidratos 24.80</w:t>
      </w:r>
      <w:r w:rsidR="007B2FEC">
        <w:rPr>
          <w:rFonts w:ascii="Times New Roman" w:eastAsia="Times New Roman" w:hAnsi="Times New Roman" w:cs="Times New Roman"/>
          <w:sz w:val="24"/>
          <w:szCs w:val="24"/>
          <w:lang w:eastAsia="es-ES"/>
        </w:rPr>
        <w:t xml:space="preserve"> </w:t>
      </w:r>
      <w:r w:rsidRPr="00DB3115">
        <w:rPr>
          <w:rFonts w:ascii="Times New Roman" w:eastAsia="Times New Roman" w:hAnsi="Times New Roman" w:cs="Times New Roman"/>
          <w:sz w:val="24"/>
          <w:szCs w:val="24"/>
          <w:lang w:eastAsia="es-ES"/>
        </w:rPr>
        <w:t>g</w:t>
      </w:r>
      <w:r w:rsidR="00E4576D">
        <w:rPr>
          <w:rFonts w:ascii="Times New Roman" w:eastAsia="Times New Roman" w:hAnsi="Times New Roman" w:cs="Times New Roman"/>
          <w:sz w:val="24"/>
          <w:szCs w:val="24"/>
          <w:lang w:eastAsia="es-ES"/>
        </w:rPr>
        <w:t xml:space="preserve"> </w:t>
      </w:r>
      <w:r w:rsidR="00E4576D" w:rsidRPr="00DB3115">
        <w:rPr>
          <w:rFonts w:ascii="Times New Roman" w:eastAsia="Times New Roman" w:hAnsi="Times New Roman" w:cs="Times New Roman"/>
          <w:sz w:val="24"/>
          <w:szCs w:val="24"/>
          <w:lang w:eastAsia="es-ES"/>
        </w:rPr>
        <w:t>(33.0</w:t>
      </w:r>
      <w:r w:rsidR="00E4576D">
        <w:rPr>
          <w:rFonts w:ascii="Times New Roman" w:eastAsia="Times New Roman" w:hAnsi="Times New Roman" w:cs="Times New Roman"/>
          <w:sz w:val="24"/>
          <w:szCs w:val="24"/>
          <w:lang w:eastAsia="es-ES"/>
        </w:rPr>
        <w:t xml:space="preserve"> </w:t>
      </w:r>
      <w:r w:rsidR="00E4576D" w:rsidRPr="00DB3115">
        <w:rPr>
          <w:rFonts w:ascii="Times New Roman" w:eastAsia="Times New Roman" w:hAnsi="Times New Roman" w:cs="Times New Roman"/>
          <w:sz w:val="24"/>
          <w:szCs w:val="24"/>
          <w:lang w:eastAsia="es-ES"/>
        </w:rPr>
        <w:t>%)</w:t>
      </w:r>
      <w:r w:rsidRPr="00DB3115">
        <w:rPr>
          <w:rFonts w:ascii="Times New Roman" w:eastAsia="Times New Roman" w:hAnsi="Times New Roman" w:cs="Times New Roman"/>
          <w:sz w:val="24"/>
          <w:szCs w:val="24"/>
          <w:lang w:eastAsia="es-ES"/>
        </w:rPr>
        <w:t xml:space="preserve">, </w:t>
      </w:r>
      <w:r w:rsidR="00E3352F" w:rsidRPr="00DB3115">
        <w:rPr>
          <w:rFonts w:ascii="Times New Roman" w:eastAsia="Times New Roman" w:hAnsi="Times New Roman" w:cs="Times New Roman"/>
          <w:sz w:val="24"/>
          <w:szCs w:val="24"/>
          <w:lang w:eastAsia="es-ES"/>
        </w:rPr>
        <w:t>fibra 3</w:t>
      </w:r>
      <w:r w:rsidR="007B2FEC">
        <w:rPr>
          <w:rFonts w:ascii="Times New Roman" w:eastAsia="Times New Roman" w:hAnsi="Times New Roman" w:cs="Times New Roman"/>
          <w:sz w:val="24"/>
          <w:szCs w:val="24"/>
          <w:lang w:eastAsia="es-ES"/>
        </w:rPr>
        <w:t xml:space="preserve"> </w:t>
      </w:r>
      <w:r w:rsidRPr="00DB3115">
        <w:rPr>
          <w:rFonts w:ascii="Times New Roman" w:eastAsia="Times New Roman" w:hAnsi="Times New Roman" w:cs="Times New Roman"/>
          <w:sz w:val="24"/>
          <w:szCs w:val="24"/>
          <w:lang w:eastAsia="es-ES"/>
        </w:rPr>
        <w:t>g, proteínas 2</w:t>
      </w:r>
      <w:r w:rsidR="00E4576D">
        <w:rPr>
          <w:rFonts w:ascii="Times New Roman" w:eastAsia="Times New Roman" w:hAnsi="Times New Roman" w:cs="Times New Roman"/>
          <w:sz w:val="24"/>
          <w:szCs w:val="24"/>
          <w:lang w:eastAsia="es-ES"/>
        </w:rPr>
        <w:t>0</w:t>
      </w:r>
      <w:r w:rsidR="007B2FEC">
        <w:rPr>
          <w:rFonts w:ascii="Times New Roman" w:eastAsia="Times New Roman" w:hAnsi="Times New Roman" w:cs="Times New Roman"/>
          <w:sz w:val="24"/>
          <w:szCs w:val="24"/>
          <w:lang w:eastAsia="es-ES"/>
        </w:rPr>
        <w:t xml:space="preserve"> </w:t>
      </w:r>
      <w:r w:rsidRPr="00DB3115">
        <w:rPr>
          <w:rFonts w:ascii="Times New Roman" w:eastAsia="Times New Roman" w:hAnsi="Times New Roman" w:cs="Times New Roman"/>
          <w:sz w:val="24"/>
          <w:szCs w:val="24"/>
          <w:lang w:eastAsia="es-ES"/>
        </w:rPr>
        <w:t>g</w:t>
      </w:r>
      <w:r w:rsidR="00E4576D">
        <w:rPr>
          <w:rFonts w:ascii="Times New Roman" w:eastAsia="Times New Roman" w:hAnsi="Times New Roman" w:cs="Times New Roman"/>
          <w:sz w:val="24"/>
          <w:szCs w:val="24"/>
          <w:lang w:eastAsia="es-ES"/>
        </w:rPr>
        <w:t xml:space="preserve"> </w:t>
      </w:r>
      <w:r w:rsidR="00E4576D" w:rsidRPr="00DB3115">
        <w:rPr>
          <w:rFonts w:ascii="Times New Roman" w:eastAsia="Times New Roman" w:hAnsi="Times New Roman" w:cs="Times New Roman"/>
          <w:sz w:val="24"/>
          <w:szCs w:val="24"/>
          <w:lang w:eastAsia="es-ES"/>
        </w:rPr>
        <w:t>(27.0</w:t>
      </w:r>
      <w:r w:rsidR="00E4576D">
        <w:rPr>
          <w:rFonts w:ascii="Times New Roman" w:eastAsia="Times New Roman" w:hAnsi="Times New Roman" w:cs="Times New Roman"/>
          <w:sz w:val="24"/>
          <w:szCs w:val="24"/>
          <w:lang w:eastAsia="es-ES"/>
        </w:rPr>
        <w:t xml:space="preserve"> </w:t>
      </w:r>
      <w:r w:rsidR="00E4576D" w:rsidRPr="00DB3115">
        <w:rPr>
          <w:rFonts w:ascii="Times New Roman" w:eastAsia="Times New Roman" w:hAnsi="Times New Roman" w:cs="Times New Roman"/>
          <w:sz w:val="24"/>
          <w:szCs w:val="24"/>
          <w:lang w:eastAsia="es-ES"/>
        </w:rPr>
        <w:t>%)</w:t>
      </w:r>
      <w:r w:rsidRPr="00DB3115">
        <w:rPr>
          <w:rFonts w:ascii="Times New Roman" w:eastAsia="Times New Roman" w:hAnsi="Times New Roman" w:cs="Times New Roman"/>
          <w:sz w:val="24"/>
          <w:szCs w:val="24"/>
          <w:lang w:eastAsia="es-ES"/>
        </w:rPr>
        <w:t xml:space="preserve">, </w:t>
      </w:r>
      <w:r w:rsidR="00E3352F" w:rsidRPr="00DB3115">
        <w:rPr>
          <w:rFonts w:ascii="Times New Roman" w:eastAsia="Times New Roman" w:hAnsi="Times New Roman" w:cs="Times New Roman"/>
          <w:sz w:val="24"/>
          <w:szCs w:val="24"/>
          <w:lang w:eastAsia="es-ES"/>
        </w:rPr>
        <w:t>nitrógeno</w:t>
      </w:r>
      <w:r w:rsidRPr="00DB3115">
        <w:rPr>
          <w:rFonts w:ascii="Times New Roman" w:eastAsia="Times New Roman" w:hAnsi="Times New Roman" w:cs="Times New Roman"/>
          <w:sz w:val="24"/>
          <w:szCs w:val="24"/>
          <w:lang w:eastAsia="es-ES"/>
        </w:rPr>
        <w:t xml:space="preserve"> 3.20</w:t>
      </w:r>
      <w:r w:rsidR="007B2FEC">
        <w:rPr>
          <w:rFonts w:ascii="Times New Roman" w:eastAsia="Times New Roman" w:hAnsi="Times New Roman" w:cs="Times New Roman"/>
          <w:sz w:val="24"/>
          <w:szCs w:val="24"/>
          <w:lang w:eastAsia="es-ES"/>
        </w:rPr>
        <w:t xml:space="preserve"> </w:t>
      </w:r>
      <w:r w:rsidRPr="00DB3115">
        <w:rPr>
          <w:rFonts w:ascii="Times New Roman" w:eastAsia="Times New Roman" w:hAnsi="Times New Roman" w:cs="Times New Roman"/>
          <w:sz w:val="24"/>
          <w:szCs w:val="24"/>
          <w:lang w:eastAsia="es-ES"/>
        </w:rPr>
        <w:t>g, lípidos 13.40</w:t>
      </w:r>
      <w:r w:rsidR="007B2FEC">
        <w:rPr>
          <w:rFonts w:ascii="Times New Roman" w:eastAsia="Times New Roman" w:hAnsi="Times New Roman" w:cs="Times New Roman"/>
          <w:sz w:val="24"/>
          <w:szCs w:val="24"/>
          <w:lang w:eastAsia="es-ES"/>
        </w:rPr>
        <w:t xml:space="preserve"> </w:t>
      </w:r>
      <w:r w:rsidRPr="00DB3115">
        <w:rPr>
          <w:rFonts w:ascii="Times New Roman" w:eastAsia="Times New Roman" w:hAnsi="Times New Roman" w:cs="Times New Roman"/>
          <w:sz w:val="24"/>
          <w:szCs w:val="24"/>
          <w:lang w:eastAsia="es-ES"/>
        </w:rPr>
        <w:t>g</w:t>
      </w:r>
      <w:r w:rsidR="00E4576D">
        <w:rPr>
          <w:rFonts w:ascii="Times New Roman" w:eastAsia="Times New Roman" w:hAnsi="Times New Roman" w:cs="Times New Roman"/>
          <w:sz w:val="24"/>
          <w:szCs w:val="24"/>
          <w:lang w:eastAsia="es-ES"/>
        </w:rPr>
        <w:t xml:space="preserve"> </w:t>
      </w:r>
      <w:r w:rsidR="00E4576D" w:rsidRPr="00DB3115">
        <w:rPr>
          <w:rFonts w:ascii="Times New Roman" w:eastAsia="Times New Roman" w:hAnsi="Times New Roman" w:cs="Times New Roman"/>
          <w:sz w:val="24"/>
          <w:szCs w:val="24"/>
          <w:lang w:eastAsia="es-ES"/>
        </w:rPr>
        <w:t>(40.0</w:t>
      </w:r>
      <w:r w:rsidR="00E4576D">
        <w:rPr>
          <w:rFonts w:ascii="Times New Roman" w:eastAsia="Times New Roman" w:hAnsi="Times New Roman" w:cs="Times New Roman"/>
          <w:sz w:val="24"/>
          <w:szCs w:val="24"/>
          <w:lang w:eastAsia="es-ES"/>
        </w:rPr>
        <w:t xml:space="preserve"> </w:t>
      </w:r>
      <w:r w:rsidR="00E4576D" w:rsidRPr="00DB3115">
        <w:rPr>
          <w:rFonts w:ascii="Times New Roman" w:eastAsia="Times New Roman" w:hAnsi="Times New Roman" w:cs="Times New Roman"/>
          <w:sz w:val="24"/>
          <w:szCs w:val="24"/>
          <w:lang w:eastAsia="es-ES"/>
        </w:rPr>
        <w:t>%)</w:t>
      </w:r>
      <w:r w:rsidRPr="00DB3115">
        <w:rPr>
          <w:rFonts w:ascii="Times New Roman" w:eastAsia="Times New Roman" w:hAnsi="Times New Roman" w:cs="Times New Roman"/>
          <w:sz w:val="24"/>
          <w:szCs w:val="24"/>
          <w:lang w:eastAsia="es-ES"/>
        </w:rPr>
        <w:t>, agua 76</w:t>
      </w:r>
      <w:r w:rsidR="007B2FEC">
        <w:rPr>
          <w:rFonts w:ascii="Times New Roman" w:eastAsia="Times New Roman" w:hAnsi="Times New Roman" w:cs="Times New Roman"/>
          <w:sz w:val="24"/>
          <w:szCs w:val="24"/>
          <w:lang w:eastAsia="es-ES"/>
        </w:rPr>
        <w:t xml:space="preserve"> </w:t>
      </w:r>
      <w:r w:rsidRPr="00DB3115">
        <w:rPr>
          <w:rFonts w:ascii="Times New Roman" w:eastAsia="Times New Roman" w:hAnsi="Times New Roman" w:cs="Times New Roman"/>
          <w:sz w:val="24"/>
          <w:szCs w:val="24"/>
          <w:lang w:eastAsia="es-ES"/>
        </w:rPr>
        <w:t>ml, sodio 95</w:t>
      </w:r>
      <w:r w:rsidR="007B2FEC">
        <w:rPr>
          <w:rFonts w:ascii="Times New Roman" w:eastAsia="Times New Roman" w:hAnsi="Times New Roman" w:cs="Times New Roman"/>
          <w:sz w:val="24"/>
          <w:szCs w:val="24"/>
          <w:lang w:eastAsia="es-ES"/>
        </w:rPr>
        <w:t xml:space="preserve"> </w:t>
      </w:r>
      <w:r w:rsidRPr="00DB3115">
        <w:rPr>
          <w:rFonts w:ascii="Times New Roman" w:eastAsia="Times New Roman" w:hAnsi="Times New Roman" w:cs="Times New Roman"/>
          <w:sz w:val="24"/>
          <w:szCs w:val="24"/>
          <w:lang w:eastAsia="es-ES"/>
        </w:rPr>
        <w:t>mg, potasio 256</w:t>
      </w:r>
      <w:r w:rsidR="007B2FEC">
        <w:rPr>
          <w:rFonts w:ascii="Times New Roman" w:eastAsia="Times New Roman" w:hAnsi="Times New Roman" w:cs="Times New Roman"/>
          <w:sz w:val="24"/>
          <w:szCs w:val="24"/>
          <w:lang w:eastAsia="es-ES"/>
        </w:rPr>
        <w:t xml:space="preserve"> </w:t>
      </w:r>
      <w:r w:rsidRPr="00DB3115">
        <w:rPr>
          <w:rFonts w:ascii="Times New Roman" w:eastAsia="Times New Roman" w:hAnsi="Times New Roman" w:cs="Times New Roman"/>
          <w:sz w:val="24"/>
          <w:szCs w:val="24"/>
          <w:lang w:eastAsia="es-ES"/>
        </w:rPr>
        <w:t xml:space="preserve">mg, </w:t>
      </w:r>
      <w:r w:rsidR="00E3352F" w:rsidRPr="00DB3115">
        <w:rPr>
          <w:rFonts w:ascii="Times New Roman" w:eastAsia="Times New Roman" w:hAnsi="Times New Roman" w:cs="Times New Roman"/>
          <w:sz w:val="24"/>
          <w:szCs w:val="24"/>
          <w:lang w:eastAsia="es-ES"/>
        </w:rPr>
        <w:t>ácidos</w:t>
      </w:r>
      <w:r w:rsidRPr="00DB3115">
        <w:rPr>
          <w:rFonts w:ascii="Times New Roman" w:eastAsia="Times New Roman" w:hAnsi="Times New Roman" w:cs="Times New Roman"/>
          <w:sz w:val="24"/>
          <w:szCs w:val="24"/>
          <w:lang w:eastAsia="es-ES"/>
        </w:rPr>
        <w:t xml:space="preserve"> grasos omega-3 1429</w:t>
      </w:r>
      <w:r w:rsidR="007B2FEC">
        <w:rPr>
          <w:rFonts w:ascii="Times New Roman" w:eastAsia="Times New Roman" w:hAnsi="Times New Roman" w:cs="Times New Roman"/>
          <w:sz w:val="24"/>
          <w:szCs w:val="24"/>
          <w:lang w:eastAsia="es-ES"/>
        </w:rPr>
        <w:t xml:space="preserve"> </w:t>
      </w:r>
      <w:r w:rsidRPr="00DB3115">
        <w:rPr>
          <w:rFonts w:ascii="Times New Roman" w:eastAsia="Times New Roman" w:hAnsi="Times New Roman" w:cs="Times New Roman"/>
          <w:sz w:val="24"/>
          <w:szCs w:val="24"/>
          <w:lang w:eastAsia="es-ES"/>
        </w:rPr>
        <w:t xml:space="preserve">mg, </w:t>
      </w:r>
      <w:proofErr w:type="spellStart"/>
      <w:r w:rsidRPr="00DB3115">
        <w:rPr>
          <w:rFonts w:ascii="Times New Roman" w:eastAsia="Times New Roman" w:hAnsi="Times New Roman" w:cs="Times New Roman"/>
          <w:sz w:val="24"/>
          <w:szCs w:val="24"/>
          <w:lang w:eastAsia="es-ES"/>
        </w:rPr>
        <w:t>osmol</w:t>
      </w:r>
      <w:r w:rsidR="00E3352F" w:rsidRPr="00DB3115">
        <w:rPr>
          <w:rFonts w:ascii="Times New Roman" w:eastAsia="Times New Roman" w:hAnsi="Times New Roman" w:cs="Times New Roman"/>
          <w:sz w:val="24"/>
          <w:szCs w:val="24"/>
          <w:lang w:eastAsia="es-ES"/>
        </w:rPr>
        <w:t>aridad</w:t>
      </w:r>
      <w:proofErr w:type="spellEnd"/>
      <w:r w:rsidR="00E3352F" w:rsidRPr="00DB3115">
        <w:rPr>
          <w:rFonts w:ascii="Times New Roman" w:eastAsia="Times New Roman" w:hAnsi="Times New Roman" w:cs="Times New Roman"/>
          <w:sz w:val="24"/>
          <w:szCs w:val="24"/>
          <w:lang w:eastAsia="es-ES"/>
        </w:rPr>
        <w:t xml:space="preserve"> 435 </w:t>
      </w:r>
      <w:proofErr w:type="spellStart"/>
      <w:r w:rsidR="00E3352F" w:rsidRPr="00DB3115">
        <w:rPr>
          <w:rFonts w:ascii="Times New Roman" w:eastAsia="Times New Roman" w:hAnsi="Times New Roman" w:cs="Times New Roman"/>
          <w:sz w:val="24"/>
          <w:szCs w:val="24"/>
          <w:lang w:eastAsia="es-ES"/>
        </w:rPr>
        <w:t>mOsm</w:t>
      </w:r>
      <w:proofErr w:type="spellEnd"/>
      <w:r w:rsidR="00E3352F" w:rsidRPr="00DB3115">
        <w:rPr>
          <w:rFonts w:ascii="Times New Roman" w:eastAsia="Times New Roman" w:hAnsi="Times New Roman" w:cs="Times New Roman"/>
          <w:sz w:val="24"/>
          <w:szCs w:val="24"/>
          <w:lang w:eastAsia="es-ES"/>
        </w:rPr>
        <w:t xml:space="preserve">/L. </w:t>
      </w:r>
      <w:r w:rsidR="006822DC">
        <w:rPr>
          <w:rFonts w:ascii="Times New Roman" w:eastAsia="Times New Roman" w:hAnsi="Times New Roman" w:cs="Times New Roman"/>
          <w:sz w:val="24"/>
          <w:szCs w:val="24"/>
          <w:lang w:eastAsia="es-ES"/>
        </w:rPr>
        <w:t>La presentación de la</w:t>
      </w:r>
      <w:r w:rsidR="006822DC" w:rsidRPr="00DB3115">
        <w:rPr>
          <w:rFonts w:ascii="Times New Roman" w:eastAsia="Times New Roman" w:hAnsi="Times New Roman" w:cs="Times New Roman"/>
          <w:sz w:val="24"/>
          <w:szCs w:val="24"/>
          <w:lang w:eastAsia="es-ES"/>
        </w:rPr>
        <w:t xml:space="preserve"> </w:t>
      </w:r>
      <w:r w:rsidR="00E3352F" w:rsidRPr="00DB3115">
        <w:rPr>
          <w:rFonts w:ascii="Times New Roman" w:eastAsia="Times New Roman" w:hAnsi="Times New Roman" w:cs="Times New Roman"/>
          <w:sz w:val="24"/>
          <w:szCs w:val="24"/>
          <w:lang w:eastAsia="es-ES"/>
        </w:rPr>
        <w:t>botella</w:t>
      </w:r>
      <w:r w:rsidR="006822DC">
        <w:rPr>
          <w:rFonts w:ascii="Times New Roman" w:eastAsia="Times New Roman" w:hAnsi="Times New Roman" w:cs="Times New Roman"/>
          <w:sz w:val="24"/>
          <w:szCs w:val="24"/>
          <w:lang w:eastAsia="es-ES"/>
        </w:rPr>
        <w:t xml:space="preserve"> era</w:t>
      </w:r>
      <w:r w:rsidR="00E3352F" w:rsidRPr="00DB3115">
        <w:rPr>
          <w:rFonts w:ascii="Times New Roman" w:eastAsia="Times New Roman" w:hAnsi="Times New Roman" w:cs="Times New Roman"/>
          <w:sz w:val="24"/>
          <w:szCs w:val="24"/>
          <w:lang w:eastAsia="es-ES"/>
        </w:rPr>
        <w:t xml:space="preserve"> de 200 </w:t>
      </w:r>
      <w:r w:rsidR="006822DC" w:rsidRPr="00DB3115">
        <w:rPr>
          <w:rFonts w:ascii="Times New Roman" w:eastAsia="Times New Roman" w:hAnsi="Times New Roman" w:cs="Times New Roman"/>
          <w:sz w:val="24"/>
          <w:szCs w:val="24"/>
          <w:lang w:eastAsia="es-ES"/>
        </w:rPr>
        <w:t>m</w:t>
      </w:r>
      <w:r w:rsidR="006822DC">
        <w:rPr>
          <w:rFonts w:ascii="Times New Roman" w:eastAsia="Times New Roman" w:hAnsi="Times New Roman" w:cs="Times New Roman"/>
          <w:sz w:val="24"/>
          <w:szCs w:val="24"/>
          <w:lang w:eastAsia="es-ES"/>
        </w:rPr>
        <w:t>l</w:t>
      </w:r>
      <w:r w:rsidR="00E3352F" w:rsidRPr="00DB3115">
        <w:rPr>
          <w:rFonts w:ascii="Times New Roman" w:eastAsia="Times New Roman" w:hAnsi="Times New Roman" w:cs="Times New Roman"/>
          <w:sz w:val="24"/>
          <w:szCs w:val="24"/>
          <w:lang w:eastAsia="es-ES"/>
        </w:rPr>
        <w:t xml:space="preserve">. </w:t>
      </w:r>
      <w:r w:rsidR="00E4576D">
        <w:rPr>
          <w:rFonts w:ascii="Times New Roman" w:eastAsia="Times New Roman" w:hAnsi="Times New Roman" w:cs="Times New Roman"/>
          <w:sz w:val="24"/>
          <w:szCs w:val="24"/>
          <w:lang w:eastAsia="es-ES"/>
        </w:rPr>
        <w:t>Todo lo anterior m</w:t>
      </w:r>
      <w:r w:rsidRPr="00DB3115">
        <w:rPr>
          <w:rFonts w:ascii="Times New Roman" w:eastAsia="Times New Roman" w:hAnsi="Times New Roman" w:cs="Times New Roman"/>
          <w:sz w:val="24"/>
          <w:szCs w:val="24"/>
          <w:lang w:eastAsia="es-ES"/>
        </w:rPr>
        <w:t xml:space="preserve">ás </w:t>
      </w:r>
      <w:proofErr w:type="spellStart"/>
      <w:r w:rsidRPr="00DB3115">
        <w:rPr>
          <w:rFonts w:ascii="Times New Roman" w:eastAsia="Times New Roman" w:hAnsi="Times New Roman" w:cs="Times New Roman"/>
          <w:sz w:val="24"/>
          <w:szCs w:val="24"/>
          <w:lang w:eastAsia="es-ES"/>
        </w:rPr>
        <w:t>glutamine</w:t>
      </w:r>
      <w:proofErr w:type="spellEnd"/>
      <w:r w:rsidRPr="00DB3115">
        <w:rPr>
          <w:rFonts w:ascii="Times New Roman" w:eastAsia="Times New Roman" w:hAnsi="Times New Roman" w:cs="Times New Roman"/>
          <w:sz w:val="24"/>
          <w:szCs w:val="24"/>
          <w:lang w:eastAsia="es-ES"/>
        </w:rPr>
        <w:t xml:space="preserve"> plus</w:t>
      </w:r>
      <w:r w:rsidR="006822DC">
        <w:rPr>
          <w:rFonts w:ascii="Times New Roman" w:eastAsia="Times New Roman" w:hAnsi="Times New Roman" w:cs="Times New Roman"/>
          <w:sz w:val="24"/>
          <w:szCs w:val="24"/>
          <w:lang w:eastAsia="es-ES"/>
        </w:rPr>
        <w:t>,</w:t>
      </w:r>
      <w:r w:rsidRPr="00DB3115">
        <w:rPr>
          <w:rFonts w:ascii="Times New Roman" w:eastAsia="Times New Roman" w:hAnsi="Times New Roman" w:cs="Times New Roman"/>
          <w:sz w:val="24"/>
          <w:szCs w:val="24"/>
          <w:lang w:eastAsia="es-ES"/>
        </w:rPr>
        <w:t xml:space="preserve"> que contiene 80 kcal </w:t>
      </w:r>
      <w:r w:rsidR="00E4576D">
        <w:rPr>
          <w:rFonts w:ascii="Times New Roman" w:eastAsia="Times New Roman" w:hAnsi="Times New Roman" w:cs="Times New Roman"/>
          <w:sz w:val="24"/>
          <w:szCs w:val="24"/>
          <w:lang w:eastAsia="es-ES"/>
        </w:rPr>
        <w:t>y</w:t>
      </w:r>
      <w:r w:rsidRPr="00DB3115">
        <w:rPr>
          <w:rFonts w:ascii="Times New Roman" w:eastAsia="Times New Roman" w:hAnsi="Times New Roman" w:cs="Times New Roman"/>
          <w:sz w:val="24"/>
          <w:szCs w:val="24"/>
          <w:lang w:eastAsia="es-ES"/>
        </w:rPr>
        <w:t xml:space="preserve"> 10 g de glutamina por sobre</w:t>
      </w:r>
      <w:r w:rsidR="006822DC">
        <w:rPr>
          <w:rFonts w:ascii="Times New Roman" w:eastAsia="Times New Roman" w:hAnsi="Times New Roman" w:cs="Times New Roman"/>
          <w:sz w:val="24"/>
          <w:szCs w:val="24"/>
          <w:lang w:eastAsia="es-ES"/>
        </w:rPr>
        <w:t>;</w:t>
      </w:r>
      <w:r w:rsidR="006822DC" w:rsidRPr="00DB3115">
        <w:rPr>
          <w:rFonts w:ascii="Times New Roman" w:eastAsia="Times New Roman" w:hAnsi="Times New Roman" w:cs="Times New Roman"/>
          <w:sz w:val="24"/>
          <w:szCs w:val="24"/>
          <w:lang w:eastAsia="es-ES"/>
        </w:rPr>
        <w:t xml:space="preserve"> </w:t>
      </w:r>
      <w:r w:rsidRPr="00DB3115">
        <w:rPr>
          <w:rFonts w:ascii="Times New Roman" w:eastAsia="Times New Roman" w:hAnsi="Times New Roman" w:cs="Times New Roman"/>
          <w:sz w:val="24"/>
          <w:szCs w:val="24"/>
          <w:lang w:eastAsia="es-ES"/>
        </w:rPr>
        <w:t>se administró 30 g al día, la cual se elaboró y administró por el pe</w:t>
      </w:r>
      <w:r w:rsidR="00800A16" w:rsidRPr="00DB3115">
        <w:rPr>
          <w:rFonts w:ascii="Times New Roman" w:eastAsia="Times New Roman" w:hAnsi="Times New Roman" w:cs="Times New Roman"/>
          <w:sz w:val="24"/>
          <w:szCs w:val="24"/>
          <w:lang w:eastAsia="es-ES"/>
        </w:rPr>
        <w:t xml:space="preserve">rsonal de enfermería de la UCI. </w:t>
      </w:r>
      <w:r w:rsidR="006822DC">
        <w:rPr>
          <w:rFonts w:ascii="Times New Roman" w:eastAsia="Times New Roman" w:hAnsi="Times New Roman" w:cs="Times New Roman"/>
          <w:sz w:val="24"/>
          <w:szCs w:val="24"/>
          <w:lang w:eastAsia="es-ES"/>
        </w:rPr>
        <w:t xml:space="preserve">De igual manera que en el otro grupo, </w:t>
      </w:r>
      <w:r w:rsidR="006822DC">
        <w:rPr>
          <w:rFonts w:ascii="Times New Roman" w:hAnsi="Times New Roman" w:cs="Times New Roman"/>
          <w:sz w:val="24"/>
          <w:szCs w:val="24"/>
          <w:lang w:eastAsia="es-ES"/>
        </w:rPr>
        <w:t>s</w:t>
      </w:r>
      <w:r w:rsidR="006822DC" w:rsidRPr="00DB3115">
        <w:rPr>
          <w:rFonts w:ascii="Times New Roman" w:hAnsi="Times New Roman" w:cs="Times New Roman"/>
          <w:sz w:val="24"/>
          <w:szCs w:val="24"/>
          <w:lang w:eastAsia="es-ES"/>
        </w:rPr>
        <w:t>e</w:t>
      </w:r>
      <w:r w:rsidR="006822DC">
        <w:rPr>
          <w:rFonts w:ascii="Times New Roman" w:hAnsi="Times New Roman" w:cs="Times New Roman"/>
          <w:sz w:val="24"/>
          <w:szCs w:val="24"/>
          <w:lang w:eastAsia="es-ES"/>
        </w:rPr>
        <w:t xml:space="preserve"> le</w:t>
      </w:r>
      <w:r w:rsidR="006822DC" w:rsidRPr="00DB3115">
        <w:rPr>
          <w:rFonts w:ascii="Times New Roman" w:hAnsi="Times New Roman" w:cs="Times New Roman"/>
          <w:sz w:val="24"/>
          <w:szCs w:val="24"/>
          <w:lang w:eastAsia="es-ES"/>
        </w:rPr>
        <w:t xml:space="preserve"> </w:t>
      </w:r>
      <w:r w:rsidR="00E3352F" w:rsidRPr="00DB3115">
        <w:rPr>
          <w:rFonts w:ascii="Times New Roman" w:hAnsi="Times New Roman" w:cs="Times New Roman"/>
          <w:sz w:val="24"/>
          <w:szCs w:val="24"/>
          <w:lang w:eastAsia="es-ES"/>
        </w:rPr>
        <w:t>administró</w:t>
      </w:r>
      <w:r w:rsidR="006822DC">
        <w:rPr>
          <w:rFonts w:ascii="Times New Roman" w:hAnsi="Times New Roman" w:cs="Times New Roman"/>
          <w:sz w:val="24"/>
          <w:szCs w:val="24"/>
          <w:lang w:eastAsia="es-ES"/>
        </w:rPr>
        <w:t xml:space="preserve"> la</w:t>
      </w:r>
      <w:r w:rsidR="00E3352F" w:rsidRPr="00DB3115">
        <w:rPr>
          <w:rFonts w:ascii="Times New Roman" w:hAnsi="Times New Roman" w:cs="Times New Roman"/>
          <w:sz w:val="24"/>
          <w:szCs w:val="24"/>
          <w:lang w:eastAsia="es-ES"/>
        </w:rPr>
        <w:t xml:space="preserve"> dieta a</w:t>
      </w:r>
      <w:r w:rsidR="006822DC">
        <w:rPr>
          <w:rFonts w:ascii="Times New Roman" w:hAnsi="Times New Roman" w:cs="Times New Roman"/>
          <w:sz w:val="24"/>
          <w:szCs w:val="24"/>
          <w:lang w:eastAsia="es-ES"/>
        </w:rPr>
        <w:t>l</w:t>
      </w:r>
      <w:r w:rsidR="00E3352F" w:rsidRPr="00DB3115">
        <w:rPr>
          <w:rFonts w:ascii="Times New Roman" w:hAnsi="Times New Roman" w:cs="Times New Roman"/>
          <w:sz w:val="24"/>
          <w:szCs w:val="24"/>
          <w:lang w:eastAsia="es-ES"/>
        </w:rPr>
        <w:t xml:space="preserve"> </w:t>
      </w:r>
      <w:r w:rsidR="00B74DF2" w:rsidRPr="00DB3115">
        <w:rPr>
          <w:rFonts w:ascii="Times New Roman" w:hAnsi="Times New Roman" w:cs="Times New Roman"/>
          <w:sz w:val="24"/>
          <w:szCs w:val="24"/>
          <w:lang w:eastAsia="es-ES"/>
        </w:rPr>
        <w:t>paciente intubado con la cabecera</w:t>
      </w:r>
      <w:r w:rsidR="00800A16" w:rsidRPr="00DB3115">
        <w:rPr>
          <w:rFonts w:ascii="Times New Roman" w:hAnsi="Times New Roman" w:cs="Times New Roman"/>
          <w:sz w:val="24"/>
          <w:szCs w:val="24"/>
          <w:lang w:eastAsia="es-ES"/>
        </w:rPr>
        <w:t xml:space="preserve"> elevada a 30º–</w:t>
      </w:r>
      <w:r w:rsidR="00B74DF2" w:rsidRPr="00DB3115">
        <w:rPr>
          <w:rFonts w:ascii="Times New Roman" w:hAnsi="Times New Roman" w:cs="Times New Roman"/>
          <w:sz w:val="24"/>
          <w:szCs w:val="24"/>
          <w:lang w:eastAsia="es-ES"/>
        </w:rPr>
        <w:t xml:space="preserve">45º, a </w:t>
      </w:r>
      <w:r w:rsidR="00E3352F" w:rsidRPr="00DB3115">
        <w:rPr>
          <w:rFonts w:ascii="Times New Roman" w:hAnsi="Times New Roman" w:cs="Times New Roman"/>
          <w:sz w:val="24"/>
          <w:szCs w:val="24"/>
          <w:lang w:eastAsia="es-ES"/>
        </w:rPr>
        <w:t>través de sonda nasogástrica de 16 Fr colocada en bolsa de plástico para nutrición</w:t>
      </w:r>
      <w:r w:rsidR="0004007C">
        <w:rPr>
          <w:rFonts w:ascii="Times New Roman" w:hAnsi="Times New Roman" w:cs="Times New Roman"/>
          <w:sz w:val="24"/>
          <w:szCs w:val="24"/>
          <w:lang w:eastAsia="es-ES"/>
        </w:rPr>
        <w:t>,</w:t>
      </w:r>
      <w:r w:rsidR="00E3352F" w:rsidRPr="00DB3115">
        <w:rPr>
          <w:rFonts w:ascii="Times New Roman" w:hAnsi="Times New Roman" w:cs="Times New Roman"/>
          <w:sz w:val="24"/>
          <w:szCs w:val="24"/>
          <w:lang w:eastAsia="es-ES"/>
        </w:rPr>
        <w:t xml:space="preserve"> </w:t>
      </w:r>
      <w:r w:rsidR="0004007C">
        <w:rPr>
          <w:rFonts w:ascii="Times New Roman" w:hAnsi="Times New Roman" w:cs="Times New Roman"/>
          <w:sz w:val="24"/>
          <w:szCs w:val="24"/>
          <w:lang w:eastAsia="es-ES"/>
        </w:rPr>
        <w:t>aunque en este caso</w:t>
      </w:r>
      <w:r w:rsidR="0004007C" w:rsidRPr="00DB3115">
        <w:rPr>
          <w:rFonts w:ascii="Times New Roman" w:hAnsi="Times New Roman" w:cs="Times New Roman"/>
          <w:sz w:val="24"/>
          <w:szCs w:val="24"/>
          <w:lang w:eastAsia="es-ES"/>
        </w:rPr>
        <w:t xml:space="preserve"> </w:t>
      </w:r>
      <w:r w:rsidR="00E3352F" w:rsidRPr="00DB3115">
        <w:rPr>
          <w:rFonts w:ascii="Times New Roman" w:hAnsi="Times New Roman" w:cs="Times New Roman"/>
          <w:sz w:val="24"/>
          <w:szCs w:val="24"/>
          <w:lang w:eastAsia="es-ES"/>
        </w:rPr>
        <w:t>su administración fue por bomba de infusión durante 12 horas (50</w:t>
      </w:r>
      <w:r w:rsidR="0004007C">
        <w:rPr>
          <w:rFonts w:ascii="Times New Roman" w:hAnsi="Times New Roman" w:cs="Times New Roman"/>
          <w:sz w:val="24"/>
          <w:szCs w:val="24"/>
          <w:lang w:eastAsia="es-ES"/>
        </w:rPr>
        <w:t xml:space="preserve"> </w:t>
      </w:r>
      <w:r w:rsidR="00E3352F" w:rsidRPr="00DB3115">
        <w:rPr>
          <w:rFonts w:ascii="Times New Roman" w:hAnsi="Times New Roman" w:cs="Times New Roman"/>
          <w:sz w:val="24"/>
          <w:szCs w:val="24"/>
          <w:lang w:eastAsia="es-ES"/>
        </w:rPr>
        <w:t xml:space="preserve">cc/hora), dividida en dos tomas, por las mañanas y por las tardes. Se llevó a cabo una monitorización de la tolerancia de la </w:t>
      </w:r>
      <w:r w:rsidR="0084724D" w:rsidRPr="0084724D">
        <w:rPr>
          <w:rFonts w:ascii="Times New Roman" w:hAnsi="Times New Roman" w:cs="Times New Roman"/>
          <w:sz w:val="24"/>
          <w:szCs w:val="24"/>
          <w:lang w:eastAsia="es-ES"/>
        </w:rPr>
        <w:t>nutrición enteral temprana</w:t>
      </w:r>
      <w:r w:rsidR="0084724D" w:rsidRPr="0084724D" w:rsidDel="0084724D">
        <w:rPr>
          <w:rFonts w:ascii="Times New Roman" w:hAnsi="Times New Roman" w:cs="Times New Roman"/>
          <w:sz w:val="24"/>
          <w:szCs w:val="24"/>
          <w:lang w:eastAsia="es-ES"/>
        </w:rPr>
        <w:t xml:space="preserve"> </w:t>
      </w:r>
      <w:r w:rsidR="00E3352F" w:rsidRPr="00DB3115">
        <w:rPr>
          <w:rFonts w:ascii="Times New Roman" w:hAnsi="Times New Roman" w:cs="Times New Roman"/>
          <w:sz w:val="24"/>
          <w:szCs w:val="24"/>
          <w:lang w:eastAsia="es-ES"/>
        </w:rPr>
        <w:t>de manera continua</w:t>
      </w:r>
      <w:r w:rsidR="00DC5299">
        <w:rPr>
          <w:rFonts w:ascii="Times New Roman" w:hAnsi="Times New Roman" w:cs="Times New Roman"/>
          <w:sz w:val="24"/>
          <w:szCs w:val="24"/>
          <w:lang w:eastAsia="es-ES"/>
        </w:rPr>
        <w:t>,</w:t>
      </w:r>
      <w:r w:rsidR="00E3352F" w:rsidRPr="00DB3115">
        <w:rPr>
          <w:rFonts w:ascii="Times New Roman" w:hAnsi="Times New Roman" w:cs="Times New Roman"/>
          <w:sz w:val="24"/>
          <w:szCs w:val="24"/>
          <w:lang w:eastAsia="es-ES"/>
        </w:rPr>
        <w:t xml:space="preserve"> vigilando la presencia de </w:t>
      </w:r>
      <w:r w:rsidR="00940CF8" w:rsidRPr="00DB3115">
        <w:rPr>
          <w:rFonts w:ascii="Times New Roman" w:hAnsi="Times New Roman" w:cs="Times New Roman"/>
          <w:sz w:val="24"/>
          <w:szCs w:val="24"/>
          <w:lang w:eastAsia="es-ES"/>
        </w:rPr>
        <w:t>disten</w:t>
      </w:r>
      <w:r w:rsidR="00940CF8">
        <w:rPr>
          <w:rFonts w:ascii="Times New Roman" w:hAnsi="Times New Roman" w:cs="Times New Roman"/>
          <w:sz w:val="24"/>
          <w:szCs w:val="24"/>
          <w:lang w:eastAsia="es-ES"/>
        </w:rPr>
        <w:t>s</w:t>
      </w:r>
      <w:r w:rsidR="00940CF8" w:rsidRPr="00DB3115">
        <w:rPr>
          <w:rFonts w:ascii="Times New Roman" w:hAnsi="Times New Roman" w:cs="Times New Roman"/>
          <w:sz w:val="24"/>
          <w:szCs w:val="24"/>
          <w:lang w:eastAsia="es-ES"/>
        </w:rPr>
        <w:t xml:space="preserve">ión </w:t>
      </w:r>
      <w:r w:rsidR="00E3352F" w:rsidRPr="00DB3115">
        <w:rPr>
          <w:rFonts w:ascii="Times New Roman" w:hAnsi="Times New Roman" w:cs="Times New Roman"/>
          <w:sz w:val="24"/>
          <w:szCs w:val="24"/>
          <w:lang w:eastAsia="es-ES"/>
        </w:rPr>
        <w:t>abdominal, y la de canalización de gases, tipo de evacuaciones, presencia de volúmenes gástricos residuales &lt;</w:t>
      </w:r>
      <w:r w:rsidR="00DC5299">
        <w:rPr>
          <w:rFonts w:ascii="Times New Roman" w:hAnsi="Times New Roman" w:cs="Times New Roman"/>
          <w:sz w:val="24"/>
          <w:szCs w:val="24"/>
          <w:lang w:eastAsia="es-ES"/>
        </w:rPr>
        <w:t xml:space="preserve"> </w:t>
      </w:r>
      <w:r w:rsidR="00E3352F" w:rsidRPr="00DB3115">
        <w:rPr>
          <w:rFonts w:ascii="Times New Roman" w:hAnsi="Times New Roman" w:cs="Times New Roman"/>
          <w:sz w:val="24"/>
          <w:szCs w:val="24"/>
          <w:lang w:eastAsia="es-ES"/>
        </w:rPr>
        <w:t>500</w:t>
      </w:r>
      <w:r w:rsidR="00DC5299">
        <w:rPr>
          <w:rFonts w:ascii="Times New Roman" w:hAnsi="Times New Roman" w:cs="Times New Roman"/>
          <w:sz w:val="24"/>
          <w:szCs w:val="24"/>
          <w:lang w:eastAsia="es-ES"/>
        </w:rPr>
        <w:t xml:space="preserve"> </w:t>
      </w:r>
      <w:r w:rsidR="00DC5299" w:rsidRPr="00DB3115">
        <w:rPr>
          <w:rFonts w:ascii="Times New Roman" w:hAnsi="Times New Roman" w:cs="Times New Roman"/>
          <w:sz w:val="24"/>
          <w:szCs w:val="24"/>
          <w:lang w:eastAsia="es-ES"/>
        </w:rPr>
        <w:t>m</w:t>
      </w:r>
      <w:r w:rsidR="00DC5299">
        <w:rPr>
          <w:rFonts w:ascii="Times New Roman" w:hAnsi="Times New Roman" w:cs="Times New Roman"/>
          <w:sz w:val="24"/>
          <w:szCs w:val="24"/>
          <w:lang w:eastAsia="es-ES"/>
        </w:rPr>
        <w:t>l</w:t>
      </w:r>
      <w:r w:rsidR="00DC5299" w:rsidRPr="00DB3115">
        <w:rPr>
          <w:rFonts w:ascii="Times New Roman" w:hAnsi="Times New Roman" w:cs="Times New Roman"/>
          <w:sz w:val="24"/>
          <w:szCs w:val="24"/>
          <w:lang w:eastAsia="es-ES"/>
        </w:rPr>
        <w:t xml:space="preserve"> </w:t>
      </w:r>
      <w:r w:rsidR="00E3352F" w:rsidRPr="00DB3115">
        <w:rPr>
          <w:rFonts w:ascii="Times New Roman" w:hAnsi="Times New Roman" w:cs="Times New Roman"/>
          <w:sz w:val="24"/>
          <w:szCs w:val="24"/>
          <w:lang w:eastAsia="es-ES"/>
        </w:rPr>
        <w:t>y evaluación de riesgo de aspiración.</w:t>
      </w:r>
    </w:p>
    <w:p w14:paraId="6DE9D828" w14:textId="5479A57C" w:rsidR="00403A4F" w:rsidRPr="00FF3853" w:rsidRDefault="00EC59E3" w:rsidP="003F3FAF">
      <w:pPr>
        <w:autoSpaceDE w:val="0"/>
        <w:autoSpaceDN w:val="0"/>
        <w:adjustRightInd w:val="0"/>
        <w:spacing w:after="0" w:line="360" w:lineRule="auto"/>
        <w:ind w:right="49" w:firstLine="708"/>
        <w:jc w:val="both"/>
        <w:rPr>
          <w:rFonts w:ascii="Times New Roman" w:eastAsia="Times New Roman" w:hAnsi="Times New Roman" w:cs="Times New Roman"/>
          <w:sz w:val="24"/>
          <w:szCs w:val="24"/>
          <w:lang w:eastAsia="es-ES"/>
        </w:rPr>
      </w:pPr>
      <w:r w:rsidRPr="00DB3115">
        <w:rPr>
          <w:rFonts w:ascii="Times New Roman" w:eastAsia="Times New Roman" w:hAnsi="Times New Roman" w:cs="Times New Roman"/>
          <w:sz w:val="24"/>
          <w:szCs w:val="24"/>
          <w:lang w:eastAsia="es-ES"/>
        </w:rPr>
        <w:lastRenderedPageBreak/>
        <w:t>Cabe mencionar q</w:t>
      </w:r>
      <w:r w:rsidR="00B74DF2" w:rsidRPr="00DB3115">
        <w:rPr>
          <w:rFonts w:ascii="Times New Roman" w:eastAsia="Times New Roman" w:hAnsi="Times New Roman" w:cs="Times New Roman"/>
          <w:sz w:val="24"/>
          <w:szCs w:val="24"/>
          <w:lang w:eastAsia="es-ES"/>
        </w:rPr>
        <w:t>ue los investigadores</w:t>
      </w:r>
      <w:r w:rsidRPr="00DB3115">
        <w:rPr>
          <w:rFonts w:ascii="Times New Roman" w:eastAsia="Times New Roman" w:hAnsi="Times New Roman" w:cs="Times New Roman"/>
          <w:sz w:val="24"/>
          <w:szCs w:val="24"/>
          <w:lang w:eastAsia="es-ES"/>
        </w:rPr>
        <w:t>, consciente</w:t>
      </w:r>
      <w:r w:rsidR="00B74DF2" w:rsidRPr="00DB3115">
        <w:rPr>
          <w:rFonts w:ascii="Times New Roman" w:eastAsia="Times New Roman" w:hAnsi="Times New Roman" w:cs="Times New Roman"/>
          <w:sz w:val="24"/>
          <w:szCs w:val="24"/>
          <w:lang w:eastAsia="es-ES"/>
        </w:rPr>
        <w:t>s</w:t>
      </w:r>
      <w:r w:rsidR="007731A6" w:rsidRPr="00DB3115">
        <w:rPr>
          <w:rFonts w:ascii="Times New Roman" w:eastAsia="Times New Roman" w:hAnsi="Times New Roman" w:cs="Times New Roman"/>
          <w:sz w:val="24"/>
          <w:szCs w:val="24"/>
          <w:lang w:eastAsia="es-ES"/>
        </w:rPr>
        <w:t xml:space="preserve"> de </w:t>
      </w:r>
      <w:r w:rsidR="008226B3">
        <w:rPr>
          <w:rFonts w:ascii="Times New Roman" w:eastAsia="Times New Roman" w:hAnsi="Times New Roman" w:cs="Times New Roman"/>
          <w:sz w:val="24"/>
          <w:szCs w:val="24"/>
          <w:lang w:eastAsia="es-ES"/>
        </w:rPr>
        <w:t xml:space="preserve">que </w:t>
      </w:r>
      <w:r w:rsidRPr="00DB3115">
        <w:rPr>
          <w:rFonts w:ascii="Times New Roman" w:eastAsia="Times New Roman" w:hAnsi="Times New Roman" w:cs="Times New Roman"/>
          <w:sz w:val="24"/>
          <w:szCs w:val="24"/>
          <w:lang w:eastAsia="es-ES"/>
        </w:rPr>
        <w:t xml:space="preserve">su interés primario es la salud de los enfermos, así como </w:t>
      </w:r>
      <w:r w:rsidR="00E4576D">
        <w:rPr>
          <w:rFonts w:ascii="Times New Roman" w:eastAsia="Times New Roman" w:hAnsi="Times New Roman" w:cs="Times New Roman"/>
          <w:sz w:val="24"/>
          <w:szCs w:val="24"/>
          <w:lang w:eastAsia="es-ES"/>
        </w:rPr>
        <w:t xml:space="preserve">de </w:t>
      </w:r>
      <w:r w:rsidRPr="00DB3115">
        <w:rPr>
          <w:rFonts w:ascii="Times New Roman" w:eastAsia="Times New Roman" w:hAnsi="Times New Roman" w:cs="Times New Roman"/>
          <w:sz w:val="24"/>
          <w:szCs w:val="24"/>
          <w:lang w:eastAsia="es-ES"/>
        </w:rPr>
        <w:t>la integridad de l</w:t>
      </w:r>
      <w:r w:rsidR="00B74DF2" w:rsidRPr="00DB3115">
        <w:rPr>
          <w:rFonts w:ascii="Times New Roman" w:eastAsia="Times New Roman" w:hAnsi="Times New Roman" w:cs="Times New Roman"/>
          <w:sz w:val="24"/>
          <w:szCs w:val="24"/>
          <w:lang w:eastAsia="es-ES"/>
        </w:rPr>
        <w:t>a investigación, no se encontraron</w:t>
      </w:r>
      <w:r w:rsidRPr="00DB3115">
        <w:rPr>
          <w:rFonts w:ascii="Times New Roman" w:eastAsia="Times New Roman" w:hAnsi="Times New Roman" w:cs="Times New Roman"/>
          <w:sz w:val="24"/>
          <w:szCs w:val="24"/>
          <w:lang w:eastAsia="es-ES"/>
        </w:rPr>
        <w:t xml:space="preserve"> influenciado</w:t>
      </w:r>
      <w:r w:rsidR="00B74DF2" w:rsidRPr="00DB3115">
        <w:rPr>
          <w:rFonts w:ascii="Times New Roman" w:eastAsia="Times New Roman" w:hAnsi="Times New Roman" w:cs="Times New Roman"/>
          <w:sz w:val="24"/>
          <w:szCs w:val="24"/>
          <w:lang w:eastAsia="es-ES"/>
        </w:rPr>
        <w:t>s</w:t>
      </w:r>
      <w:r w:rsidRPr="00DB3115">
        <w:rPr>
          <w:rFonts w:ascii="Times New Roman" w:eastAsia="Times New Roman" w:hAnsi="Times New Roman" w:cs="Times New Roman"/>
          <w:sz w:val="24"/>
          <w:szCs w:val="24"/>
          <w:lang w:eastAsia="es-ES"/>
        </w:rPr>
        <w:t xml:space="preserve"> por un interés secundario de tipo económico o personal</w:t>
      </w:r>
      <w:r w:rsidR="008226B3">
        <w:rPr>
          <w:rFonts w:ascii="Times New Roman" w:eastAsia="Times New Roman" w:hAnsi="Times New Roman" w:cs="Times New Roman"/>
          <w:sz w:val="24"/>
          <w:szCs w:val="24"/>
          <w:lang w:eastAsia="es-ES"/>
        </w:rPr>
        <w:t>,</w:t>
      </w:r>
      <w:r w:rsidRPr="00DB3115">
        <w:rPr>
          <w:rFonts w:ascii="Times New Roman" w:eastAsia="Times New Roman" w:hAnsi="Times New Roman" w:cs="Times New Roman"/>
          <w:sz w:val="24"/>
          <w:szCs w:val="24"/>
          <w:lang w:eastAsia="es-ES"/>
        </w:rPr>
        <w:t xml:space="preserve"> ya que ninguno de los miembros involucrados en la investigación percibió directa o indirectamente remuneración alguna por parte del fabricante de la fórmula.</w:t>
      </w:r>
    </w:p>
    <w:p w14:paraId="20079141" w14:textId="77777777" w:rsidR="00505A5A" w:rsidRDefault="00505A5A" w:rsidP="003F3FAF">
      <w:pPr>
        <w:autoSpaceDE w:val="0"/>
        <w:autoSpaceDN w:val="0"/>
        <w:adjustRightInd w:val="0"/>
        <w:spacing w:after="0" w:line="360" w:lineRule="auto"/>
        <w:ind w:right="49"/>
        <w:jc w:val="both"/>
        <w:rPr>
          <w:rFonts w:ascii="Times New Roman" w:eastAsia="Times New Roman" w:hAnsi="Times New Roman" w:cs="Times New Roman"/>
          <w:b/>
          <w:sz w:val="24"/>
          <w:szCs w:val="24"/>
          <w:lang w:eastAsia="es-ES"/>
        </w:rPr>
      </w:pPr>
    </w:p>
    <w:p w14:paraId="51E6597A" w14:textId="343CF009" w:rsidR="00C975E2" w:rsidRPr="003F3FAF" w:rsidRDefault="00505A5A" w:rsidP="00903856">
      <w:pPr>
        <w:autoSpaceDE w:val="0"/>
        <w:autoSpaceDN w:val="0"/>
        <w:adjustRightInd w:val="0"/>
        <w:spacing w:after="0" w:line="360" w:lineRule="auto"/>
        <w:ind w:right="49"/>
        <w:jc w:val="center"/>
        <w:rPr>
          <w:rFonts w:ascii="Times New Roman" w:eastAsia="Times New Roman" w:hAnsi="Times New Roman" w:cs="Times New Roman"/>
          <w:b/>
          <w:sz w:val="32"/>
          <w:szCs w:val="32"/>
          <w:lang w:eastAsia="es-ES"/>
        </w:rPr>
      </w:pPr>
      <w:r w:rsidRPr="003F3FAF">
        <w:rPr>
          <w:rFonts w:ascii="Times New Roman" w:eastAsia="Times New Roman" w:hAnsi="Times New Roman" w:cs="Times New Roman"/>
          <w:b/>
          <w:sz w:val="32"/>
          <w:szCs w:val="32"/>
          <w:lang w:eastAsia="es-ES"/>
        </w:rPr>
        <w:t>Resultados</w:t>
      </w:r>
    </w:p>
    <w:p w14:paraId="0D038ACB" w14:textId="6546E328" w:rsidR="00D746B5" w:rsidRPr="00DB3115" w:rsidRDefault="00D746B5" w:rsidP="003F3FAF">
      <w:pPr>
        <w:spacing w:after="0" w:line="360" w:lineRule="auto"/>
        <w:ind w:right="49" w:firstLine="708"/>
        <w:jc w:val="both"/>
        <w:rPr>
          <w:rFonts w:ascii="Times New Roman" w:hAnsi="Times New Roman" w:cs="Times New Roman"/>
          <w:b/>
          <w:sz w:val="24"/>
          <w:szCs w:val="24"/>
        </w:rPr>
      </w:pPr>
      <w:r w:rsidRPr="00DB3115">
        <w:rPr>
          <w:rFonts w:ascii="Times New Roman" w:hAnsi="Times New Roman" w:cs="Times New Roman"/>
          <w:sz w:val="24"/>
          <w:szCs w:val="24"/>
        </w:rPr>
        <w:t xml:space="preserve">De los 22 pacientes </w:t>
      </w:r>
      <w:r w:rsidR="000E38C2" w:rsidRPr="00DB3115">
        <w:rPr>
          <w:rFonts w:ascii="Times New Roman" w:hAnsi="Times New Roman" w:cs="Times New Roman"/>
          <w:sz w:val="24"/>
          <w:szCs w:val="24"/>
        </w:rPr>
        <w:t xml:space="preserve">incluidos en el estudio </w:t>
      </w:r>
      <w:r w:rsidR="00800A16" w:rsidRPr="00DB3115">
        <w:rPr>
          <w:rFonts w:ascii="Times New Roman" w:hAnsi="Times New Roman" w:cs="Times New Roman"/>
          <w:sz w:val="24"/>
          <w:szCs w:val="24"/>
        </w:rPr>
        <w:t>con TCE</w:t>
      </w:r>
      <w:r w:rsidRPr="00DB3115">
        <w:rPr>
          <w:rFonts w:ascii="Times New Roman" w:hAnsi="Times New Roman" w:cs="Times New Roman"/>
          <w:sz w:val="24"/>
          <w:szCs w:val="24"/>
        </w:rPr>
        <w:t xml:space="preserve"> severo, 85 % presentó </w:t>
      </w:r>
      <w:r w:rsidR="007173B1" w:rsidRPr="00DB3115">
        <w:rPr>
          <w:rFonts w:ascii="Times New Roman" w:hAnsi="Times New Roman" w:cs="Times New Roman"/>
          <w:sz w:val="24"/>
          <w:szCs w:val="24"/>
        </w:rPr>
        <w:t xml:space="preserve">una escala de coma de </w:t>
      </w:r>
      <w:r w:rsidRPr="00DB3115">
        <w:rPr>
          <w:rFonts w:ascii="Times New Roman" w:hAnsi="Times New Roman" w:cs="Times New Roman"/>
          <w:sz w:val="24"/>
          <w:szCs w:val="24"/>
        </w:rPr>
        <w:t>Glasgow a su ingreso de 3 (72.7</w:t>
      </w:r>
      <w:r w:rsidR="007173B1">
        <w:rPr>
          <w:rFonts w:ascii="Times New Roman" w:hAnsi="Times New Roman" w:cs="Times New Roman"/>
          <w:sz w:val="24"/>
          <w:szCs w:val="24"/>
        </w:rPr>
        <w:t xml:space="preserve"> </w:t>
      </w:r>
      <w:r w:rsidRPr="00DB3115">
        <w:rPr>
          <w:rFonts w:ascii="Times New Roman" w:hAnsi="Times New Roman" w:cs="Times New Roman"/>
          <w:sz w:val="24"/>
          <w:szCs w:val="24"/>
        </w:rPr>
        <w:t>% NETL y 100</w:t>
      </w:r>
      <w:r w:rsidR="007173B1">
        <w:rPr>
          <w:rFonts w:ascii="Times New Roman" w:hAnsi="Times New Roman" w:cs="Times New Roman"/>
          <w:sz w:val="24"/>
          <w:szCs w:val="24"/>
        </w:rPr>
        <w:t xml:space="preserve"> </w:t>
      </w:r>
      <w:r w:rsidRPr="00DB3115">
        <w:rPr>
          <w:rFonts w:ascii="Times New Roman" w:hAnsi="Times New Roman" w:cs="Times New Roman"/>
          <w:sz w:val="24"/>
          <w:szCs w:val="24"/>
        </w:rPr>
        <w:t>% NETI</w:t>
      </w:r>
      <w:r w:rsidR="007173B1" w:rsidRPr="00DB3115">
        <w:rPr>
          <w:rFonts w:ascii="Times New Roman" w:hAnsi="Times New Roman" w:cs="Times New Roman"/>
          <w:sz w:val="24"/>
          <w:szCs w:val="24"/>
        </w:rPr>
        <w:t>)</w:t>
      </w:r>
      <w:r w:rsidR="007173B1">
        <w:rPr>
          <w:rFonts w:ascii="Times New Roman" w:hAnsi="Times New Roman" w:cs="Times New Roman"/>
          <w:sz w:val="24"/>
          <w:szCs w:val="24"/>
        </w:rPr>
        <w:t>.</w:t>
      </w:r>
      <w:r w:rsidR="007173B1" w:rsidRPr="00DB3115">
        <w:rPr>
          <w:rFonts w:ascii="Times New Roman" w:hAnsi="Times New Roman" w:cs="Times New Roman"/>
          <w:sz w:val="24"/>
          <w:szCs w:val="24"/>
        </w:rPr>
        <w:t xml:space="preserve"> </w:t>
      </w:r>
      <w:r w:rsidR="007173B1">
        <w:rPr>
          <w:rFonts w:ascii="Times New Roman" w:hAnsi="Times New Roman" w:cs="Times New Roman"/>
          <w:sz w:val="24"/>
          <w:szCs w:val="24"/>
        </w:rPr>
        <w:t>S</w:t>
      </w:r>
      <w:r w:rsidR="007173B1" w:rsidRPr="00DB3115">
        <w:rPr>
          <w:rFonts w:ascii="Times New Roman" w:hAnsi="Times New Roman" w:cs="Times New Roman"/>
          <w:sz w:val="24"/>
          <w:szCs w:val="24"/>
        </w:rPr>
        <w:t xml:space="preserve">e </w:t>
      </w:r>
      <w:r w:rsidRPr="00DB3115">
        <w:rPr>
          <w:rFonts w:ascii="Times New Roman" w:hAnsi="Times New Roman" w:cs="Times New Roman"/>
          <w:sz w:val="24"/>
          <w:szCs w:val="24"/>
        </w:rPr>
        <w:t>incluyeron de manera aleatorizada 11 pacientes en el grupo A (grupo control) co</w:t>
      </w:r>
      <w:r w:rsidR="00800A16" w:rsidRPr="00DB3115">
        <w:rPr>
          <w:rFonts w:ascii="Times New Roman" w:hAnsi="Times New Roman" w:cs="Times New Roman"/>
          <w:sz w:val="24"/>
          <w:szCs w:val="24"/>
        </w:rPr>
        <w:t xml:space="preserve">n </w:t>
      </w:r>
      <w:r w:rsidRPr="00DB3115">
        <w:rPr>
          <w:rFonts w:ascii="Times New Roman" w:hAnsi="Times New Roman" w:cs="Times New Roman"/>
          <w:sz w:val="24"/>
          <w:szCs w:val="24"/>
        </w:rPr>
        <w:t xml:space="preserve">NETL; y 11 en el grupo B (grupo de intervención) con </w:t>
      </w:r>
      <w:r w:rsidR="00800A16" w:rsidRPr="00DB3115">
        <w:rPr>
          <w:rFonts w:ascii="Times New Roman" w:hAnsi="Times New Roman" w:cs="Times New Roman"/>
          <w:sz w:val="24"/>
          <w:szCs w:val="24"/>
        </w:rPr>
        <w:t>NETI</w:t>
      </w:r>
      <w:r w:rsidR="007173B1">
        <w:rPr>
          <w:rFonts w:ascii="Times New Roman" w:hAnsi="Times New Roman" w:cs="Times New Roman"/>
          <w:sz w:val="24"/>
          <w:szCs w:val="24"/>
        </w:rPr>
        <w:t>.</w:t>
      </w:r>
      <w:r w:rsidR="007173B1" w:rsidRPr="00DB3115">
        <w:rPr>
          <w:rFonts w:ascii="Times New Roman" w:hAnsi="Times New Roman" w:cs="Times New Roman"/>
          <w:sz w:val="24"/>
          <w:szCs w:val="24"/>
        </w:rPr>
        <w:t xml:space="preserve"> </w:t>
      </w:r>
      <w:r w:rsidR="007173B1">
        <w:rPr>
          <w:rFonts w:ascii="Times New Roman" w:hAnsi="Times New Roman" w:cs="Times New Roman"/>
          <w:sz w:val="24"/>
          <w:szCs w:val="24"/>
        </w:rPr>
        <w:t>E</w:t>
      </w:r>
      <w:r w:rsidR="007173B1" w:rsidRPr="00DB3115">
        <w:rPr>
          <w:rFonts w:ascii="Times New Roman" w:hAnsi="Times New Roman" w:cs="Times New Roman"/>
          <w:sz w:val="24"/>
          <w:szCs w:val="24"/>
        </w:rPr>
        <w:t xml:space="preserve">n </w:t>
      </w:r>
      <w:r w:rsidRPr="00DB3115">
        <w:rPr>
          <w:rFonts w:ascii="Times New Roman" w:hAnsi="Times New Roman" w:cs="Times New Roman"/>
          <w:sz w:val="24"/>
          <w:szCs w:val="24"/>
        </w:rPr>
        <w:t xml:space="preserve">ambos grupos se inició la nutrición </w:t>
      </w:r>
      <w:r w:rsidR="007173B1">
        <w:rPr>
          <w:rFonts w:ascii="Times New Roman" w:hAnsi="Times New Roman" w:cs="Times New Roman"/>
          <w:sz w:val="24"/>
          <w:szCs w:val="24"/>
        </w:rPr>
        <w:t>dentro de las</w:t>
      </w:r>
      <w:r w:rsidRPr="00DB3115">
        <w:rPr>
          <w:rFonts w:ascii="Times New Roman" w:hAnsi="Times New Roman" w:cs="Times New Roman"/>
          <w:sz w:val="24"/>
          <w:szCs w:val="24"/>
        </w:rPr>
        <w:t xml:space="preserve"> primeras 24 a 48 horas </w:t>
      </w:r>
      <w:r w:rsidR="007173B1">
        <w:rPr>
          <w:rFonts w:ascii="Times New Roman" w:hAnsi="Times New Roman" w:cs="Times New Roman"/>
          <w:sz w:val="24"/>
          <w:szCs w:val="24"/>
        </w:rPr>
        <w:t>de</w:t>
      </w:r>
      <w:r w:rsidR="007173B1" w:rsidRPr="00DB3115">
        <w:rPr>
          <w:rFonts w:ascii="Times New Roman" w:hAnsi="Times New Roman" w:cs="Times New Roman"/>
          <w:sz w:val="24"/>
          <w:szCs w:val="24"/>
        </w:rPr>
        <w:t xml:space="preserve"> </w:t>
      </w:r>
      <w:r w:rsidRPr="00DB3115">
        <w:rPr>
          <w:rFonts w:ascii="Times New Roman" w:hAnsi="Times New Roman" w:cs="Times New Roman"/>
          <w:sz w:val="24"/>
          <w:szCs w:val="24"/>
        </w:rPr>
        <w:t>ingreso a la UCI</w:t>
      </w:r>
      <w:r w:rsidR="007173B1">
        <w:rPr>
          <w:rFonts w:ascii="Times New Roman" w:hAnsi="Times New Roman" w:cs="Times New Roman"/>
          <w:sz w:val="24"/>
          <w:szCs w:val="24"/>
        </w:rPr>
        <w:t>.</w:t>
      </w:r>
      <w:r w:rsidR="007173B1" w:rsidRPr="00DB3115">
        <w:rPr>
          <w:rFonts w:ascii="Times New Roman" w:hAnsi="Times New Roman" w:cs="Times New Roman"/>
          <w:sz w:val="24"/>
          <w:szCs w:val="24"/>
        </w:rPr>
        <w:t xml:space="preserve"> </w:t>
      </w:r>
      <w:r w:rsidR="007173B1">
        <w:rPr>
          <w:rFonts w:ascii="Times New Roman" w:hAnsi="Times New Roman" w:cs="Times New Roman"/>
          <w:sz w:val="24"/>
          <w:szCs w:val="24"/>
        </w:rPr>
        <w:t>E</w:t>
      </w:r>
      <w:r w:rsidR="007173B1" w:rsidRPr="00DB3115">
        <w:rPr>
          <w:rFonts w:ascii="Times New Roman" w:hAnsi="Times New Roman" w:cs="Times New Roman"/>
          <w:sz w:val="24"/>
          <w:szCs w:val="24"/>
        </w:rPr>
        <w:t xml:space="preserve">l </w:t>
      </w:r>
      <w:r w:rsidRPr="00DB3115">
        <w:rPr>
          <w:rFonts w:ascii="Times New Roman" w:hAnsi="Times New Roman" w:cs="Times New Roman"/>
          <w:sz w:val="24"/>
          <w:szCs w:val="24"/>
        </w:rPr>
        <w:t>cálculo de ambas dietas fue a razón de 25 kcal/</w:t>
      </w:r>
      <w:r w:rsidR="000E38C2" w:rsidRPr="00DB3115">
        <w:rPr>
          <w:rFonts w:ascii="Times New Roman" w:hAnsi="Times New Roman" w:cs="Times New Roman"/>
          <w:sz w:val="24"/>
          <w:szCs w:val="24"/>
        </w:rPr>
        <w:t>kg/día.</w:t>
      </w:r>
    </w:p>
    <w:p w14:paraId="58DB1446" w14:textId="6CDDB26E" w:rsidR="00FF3853" w:rsidRDefault="00D746B5" w:rsidP="003F3FAF">
      <w:pPr>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t xml:space="preserve">En relación </w:t>
      </w:r>
      <w:r w:rsidR="00505A5A">
        <w:rPr>
          <w:rFonts w:ascii="Times New Roman" w:hAnsi="Times New Roman" w:cs="Times New Roman"/>
          <w:sz w:val="24"/>
          <w:szCs w:val="24"/>
        </w:rPr>
        <w:t>con</w:t>
      </w:r>
      <w:r w:rsidR="00505A5A" w:rsidRPr="00DB3115">
        <w:rPr>
          <w:rFonts w:ascii="Times New Roman" w:hAnsi="Times New Roman" w:cs="Times New Roman"/>
          <w:sz w:val="24"/>
          <w:szCs w:val="24"/>
        </w:rPr>
        <w:t xml:space="preserve"> </w:t>
      </w:r>
      <w:r w:rsidRPr="00DB3115">
        <w:rPr>
          <w:rFonts w:ascii="Times New Roman" w:hAnsi="Times New Roman" w:cs="Times New Roman"/>
          <w:sz w:val="24"/>
          <w:szCs w:val="24"/>
        </w:rPr>
        <w:t>las características de la población, 16 fueron hombres</w:t>
      </w:r>
      <w:r w:rsidR="007173B1">
        <w:rPr>
          <w:rFonts w:ascii="Times New Roman" w:hAnsi="Times New Roman" w:cs="Times New Roman"/>
          <w:sz w:val="24"/>
          <w:szCs w:val="24"/>
        </w:rPr>
        <w:t xml:space="preserve"> </w:t>
      </w:r>
      <w:r w:rsidR="007173B1" w:rsidRPr="00DB3115">
        <w:rPr>
          <w:rFonts w:ascii="Times New Roman" w:hAnsi="Times New Roman" w:cs="Times New Roman"/>
          <w:sz w:val="24"/>
          <w:szCs w:val="24"/>
        </w:rPr>
        <w:t>(72.7</w:t>
      </w:r>
      <w:r w:rsidR="007173B1">
        <w:rPr>
          <w:rFonts w:ascii="Times New Roman" w:hAnsi="Times New Roman" w:cs="Times New Roman"/>
          <w:sz w:val="24"/>
          <w:szCs w:val="24"/>
        </w:rPr>
        <w:t xml:space="preserve"> </w:t>
      </w:r>
      <w:r w:rsidR="007173B1" w:rsidRPr="00DB3115">
        <w:rPr>
          <w:rFonts w:ascii="Times New Roman" w:hAnsi="Times New Roman" w:cs="Times New Roman"/>
          <w:sz w:val="24"/>
          <w:szCs w:val="24"/>
        </w:rPr>
        <w:t>%)</w:t>
      </w:r>
      <w:r w:rsidRPr="00DB3115">
        <w:rPr>
          <w:rFonts w:ascii="Times New Roman" w:hAnsi="Times New Roman" w:cs="Times New Roman"/>
          <w:sz w:val="24"/>
          <w:szCs w:val="24"/>
        </w:rPr>
        <w:t xml:space="preserve"> y 6 mujeres</w:t>
      </w:r>
      <w:r w:rsidR="007173B1">
        <w:rPr>
          <w:rFonts w:ascii="Times New Roman" w:hAnsi="Times New Roman" w:cs="Times New Roman"/>
          <w:sz w:val="24"/>
          <w:szCs w:val="24"/>
        </w:rPr>
        <w:t xml:space="preserve"> </w:t>
      </w:r>
      <w:r w:rsidR="007173B1" w:rsidRPr="00DB3115">
        <w:rPr>
          <w:rFonts w:ascii="Times New Roman" w:hAnsi="Times New Roman" w:cs="Times New Roman"/>
          <w:sz w:val="24"/>
          <w:szCs w:val="24"/>
        </w:rPr>
        <w:t>(27.3%)</w:t>
      </w:r>
      <w:r w:rsidRPr="00DB3115">
        <w:rPr>
          <w:rFonts w:ascii="Times New Roman" w:hAnsi="Times New Roman" w:cs="Times New Roman"/>
          <w:sz w:val="24"/>
          <w:szCs w:val="24"/>
        </w:rPr>
        <w:t>, con una edad promedio de 34.7 años (en el grupo NETL, 5 pacientes en el rango de 18-32 años y 6 pacientes en el rango de 33-52 años</w:t>
      </w:r>
      <w:r w:rsidR="007173B1">
        <w:rPr>
          <w:rFonts w:ascii="Times New Roman" w:hAnsi="Times New Roman" w:cs="Times New Roman"/>
          <w:sz w:val="24"/>
          <w:szCs w:val="24"/>
        </w:rPr>
        <w:t>;</w:t>
      </w:r>
      <w:r w:rsidRPr="00DB3115">
        <w:rPr>
          <w:rFonts w:ascii="Times New Roman" w:hAnsi="Times New Roman" w:cs="Times New Roman"/>
          <w:sz w:val="24"/>
          <w:szCs w:val="24"/>
        </w:rPr>
        <w:t xml:space="preserve"> y en el grupo NETI, 6 pacientes en el rango de 18-32 años y 5 pacientes en el rango de 33-52 años). Las principales causas del TCE fueron por atropellamiento y accidente de tránsito </w:t>
      </w:r>
      <w:r w:rsidR="007173B1">
        <w:rPr>
          <w:rFonts w:ascii="Times New Roman" w:hAnsi="Times New Roman" w:cs="Times New Roman"/>
          <w:sz w:val="24"/>
          <w:szCs w:val="24"/>
        </w:rPr>
        <w:t>(</w:t>
      </w:r>
      <w:r w:rsidRPr="00DB3115">
        <w:rPr>
          <w:rFonts w:ascii="Times New Roman" w:hAnsi="Times New Roman" w:cs="Times New Roman"/>
          <w:sz w:val="24"/>
          <w:szCs w:val="24"/>
        </w:rPr>
        <w:t>54.6</w:t>
      </w:r>
      <w:r w:rsidR="007173B1">
        <w:rPr>
          <w:rFonts w:ascii="Times New Roman" w:hAnsi="Times New Roman" w:cs="Times New Roman"/>
          <w:sz w:val="24"/>
          <w:szCs w:val="24"/>
        </w:rPr>
        <w:t xml:space="preserve"> </w:t>
      </w:r>
      <w:r w:rsidRPr="00DB3115">
        <w:rPr>
          <w:rFonts w:ascii="Times New Roman" w:hAnsi="Times New Roman" w:cs="Times New Roman"/>
          <w:sz w:val="24"/>
          <w:szCs w:val="24"/>
        </w:rPr>
        <w:t>%</w:t>
      </w:r>
      <w:r w:rsidR="007173B1">
        <w:rPr>
          <w:rFonts w:ascii="Times New Roman" w:hAnsi="Times New Roman" w:cs="Times New Roman"/>
          <w:sz w:val="24"/>
          <w:szCs w:val="24"/>
        </w:rPr>
        <w:t>)</w:t>
      </w:r>
      <w:r w:rsidRPr="00DB3115">
        <w:rPr>
          <w:rFonts w:ascii="Times New Roman" w:hAnsi="Times New Roman" w:cs="Times New Roman"/>
          <w:sz w:val="24"/>
          <w:szCs w:val="24"/>
        </w:rPr>
        <w:t>, sin encontrarse diferencias significativas (</w:t>
      </w:r>
      <w:r w:rsidR="00505A5A">
        <w:rPr>
          <w:rFonts w:ascii="Times New Roman" w:hAnsi="Times New Roman" w:cs="Times New Roman"/>
          <w:sz w:val="24"/>
          <w:szCs w:val="24"/>
        </w:rPr>
        <w:t>t</w:t>
      </w:r>
      <w:r w:rsidR="00505A5A" w:rsidRPr="00DB3115">
        <w:rPr>
          <w:rFonts w:ascii="Times New Roman" w:hAnsi="Times New Roman" w:cs="Times New Roman"/>
          <w:sz w:val="24"/>
          <w:szCs w:val="24"/>
        </w:rPr>
        <w:t xml:space="preserve">abla </w:t>
      </w:r>
      <w:r w:rsidR="00505A5A">
        <w:rPr>
          <w:rFonts w:ascii="Times New Roman" w:hAnsi="Times New Roman" w:cs="Times New Roman"/>
          <w:sz w:val="24"/>
          <w:szCs w:val="24"/>
        </w:rPr>
        <w:t>1</w:t>
      </w:r>
      <w:r w:rsidR="000E38C2" w:rsidRPr="00DB3115">
        <w:rPr>
          <w:rFonts w:ascii="Times New Roman" w:hAnsi="Times New Roman" w:cs="Times New Roman"/>
          <w:sz w:val="24"/>
          <w:szCs w:val="24"/>
        </w:rPr>
        <w:t>)</w:t>
      </w:r>
      <w:r w:rsidRPr="00DB3115">
        <w:rPr>
          <w:rFonts w:ascii="Times New Roman" w:hAnsi="Times New Roman" w:cs="Times New Roman"/>
          <w:sz w:val="24"/>
          <w:szCs w:val="24"/>
        </w:rPr>
        <w:t xml:space="preserve">. </w:t>
      </w:r>
    </w:p>
    <w:p w14:paraId="0DC6A05E" w14:textId="77777777" w:rsidR="00505A5A" w:rsidRDefault="00505A5A" w:rsidP="003F3FAF">
      <w:pPr>
        <w:spacing w:after="0" w:line="360" w:lineRule="auto"/>
        <w:ind w:right="49" w:firstLine="708"/>
        <w:jc w:val="both"/>
        <w:rPr>
          <w:rFonts w:ascii="Times New Roman" w:hAnsi="Times New Roman" w:cs="Times New Roman"/>
          <w:sz w:val="24"/>
          <w:szCs w:val="24"/>
        </w:rPr>
      </w:pPr>
    </w:p>
    <w:p w14:paraId="04C2FA8F" w14:textId="77777777" w:rsidR="00647DB0" w:rsidRDefault="00647DB0" w:rsidP="003F3FAF">
      <w:pPr>
        <w:spacing w:after="0" w:line="360" w:lineRule="auto"/>
        <w:ind w:right="49" w:firstLine="708"/>
        <w:jc w:val="both"/>
        <w:rPr>
          <w:rFonts w:ascii="Times New Roman" w:hAnsi="Times New Roman" w:cs="Times New Roman"/>
          <w:sz w:val="24"/>
          <w:szCs w:val="24"/>
        </w:rPr>
      </w:pPr>
    </w:p>
    <w:p w14:paraId="4712FD51" w14:textId="77777777" w:rsidR="00647DB0" w:rsidRDefault="00647DB0" w:rsidP="003F3FAF">
      <w:pPr>
        <w:spacing w:after="0" w:line="360" w:lineRule="auto"/>
        <w:ind w:right="49" w:firstLine="708"/>
        <w:jc w:val="both"/>
        <w:rPr>
          <w:rFonts w:ascii="Times New Roman" w:hAnsi="Times New Roman" w:cs="Times New Roman"/>
          <w:sz w:val="24"/>
          <w:szCs w:val="24"/>
        </w:rPr>
      </w:pPr>
    </w:p>
    <w:p w14:paraId="3E8CDD33" w14:textId="77777777" w:rsidR="00647DB0" w:rsidRDefault="00647DB0" w:rsidP="003F3FAF">
      <w:pPr>
        <w:spacing w:after="0" w:line="360" w:lineRule="auto"/>
        <w:ind w:right="49" w:firstLine="708"/>
        <w:jc w:val="both"/>
        <w:rPr>
          <w:rFonts w:ascii="Times New Roman" w:hAnsi="Times New Roman" w:cs="Times New Roman"/>
          <w:sz w:val="24"/>
          <w:szCs w:val="24"/>
        </w:rPr>
      </w:pPr>
    </w:p>
    <w:p w14:paraId="3D0EC006" w14:textId="77777777" w:rsidR="00647DB0" w:rsidRDefault="00647DB0" w:rsidP="003F3FAF">
      <w:pPr>
        <w:spacing w:after="0" w:line="360" w:lineRule="auto"/>
        <w:ind w:right="49" w:firstLine="708"/>
        <w:jc w:val="both"/>
        <w:rPr>
          <w:rFonts w:ascii="Times New Roman" w:hAnsi="Times New Roman" w:cs="Times New Roman"/>
          <w:sz w:val="24"/>
          <w:szCs w:val="24"/>
        </w:rPr>
      </w:pPr>
    </w:p>
    <w:p w14:paraId="79E97F7E" w14:textId="77777777" w:rsidR="00647DB0" w:rsidRDefault="00647DB0" w:rsidP="003F3FAF">
      <w:pPr>
        <w:spacing w:after="0" w:line="360" w:lineRule="auto"/>
        <w:ind w:right="49" w:firstLine="708"/>
        <w:jc w:val="both"/>
        <w:rPr>
          <w:rFonts w:ascii="Times New Roman" w:hAnsi="Times New Roman" w:cs="Times New Roman"/>
          <w:sz w:val="24"/>
          <w:szCs w:val="24"/>
        </w:rPr>
      </w:pPr>
    </w:p>
    <w:p w14:paraId="0DCCF266" w14:textId="77777777" w:rsidR="00647DB0" w:rsidRDefault="00647DB0" w:rsidP="003F3FAF">
      <w:pPr>
        <w:spacing w:after="0" w:line="360" w:lineRule="auto"/>
        <w:ind w:right="49" w:firstLine="708"/>
        <w:jc w:val="both"/>
        <w:rPr>
          <w:rFonts w:ascii="Times New Roman" w:hAnsi="Times New Roman" w:cs="Times New Roman"/>
          <w:sz w:val="24"/>
          <w:szCs w:val="24"/>
        </w:rPr>
      </w:pPr>
    </w:p>
    <w:p w14:paraId="0A7BDCA5" w14:textId="77777777" w:rsidR="00647DB0" w:rsidRDefault="00647DB0" w:rsidP="003F3FAF">
      <w:pPr>
        <w:spacing w:after="0" w:line="360" w:lineRule="auto"/>
        <w:ind w:right="49" w:firstLine="708"/>
        <w:jc w:val="both"/>
        <w:rPr>
          <w:rFonts w:ascii="Times New Roman" w:hAnsi="Times New Roman" w:cs="Times New Roman"/>
          <w:sz w:val="24"/>
          <w:szCs w:val="24"/>
        </w:rPr>
      </w:pPr>
    </w:p>
    <w:p w14:paraId="4CCC5226" w14:textId="77777777" w:rsidR="00647DB0" w:rsidRPr="00C77123" w:rsidRDefault="00647DB0" w:rsidP="003F3FAF">
      <w:pPr>
        <w:spacing w:after="0" w:line="360" w:lineRule="auto"/>
        <w:ind w:right="49" w:firstLine="708"/>
        <w:jc w:val="both"/>
        <w:rPr>
          <w:rFonts w:ascii="Times New Roman" w:hAnsi="Times New Roman" w:cs="Times New Roman"/>
          <w:sz w:val="24"/>
          <w:szCs w:val="24"/>
        </w:rPr>
      </w:pPr>
    </w:p>
    <w:p w14:paraId="20F8D9D0" w14:textId="45D7B72E" w:rsidR="00C77123" w:rsidRPr="003F3FAF" w:rsidRDefault="00C77123" w:rsidP="003F3FAF">
      <w:pPr>
        <w:spacing w:after="0" w:line="360" w:lineRule="auto"/>
        <w:ind w:right="49"/>
        <w:jc w:val="center"/>
        <w:rPr>
          <w:rFonts w:ascii="Times New Roman" w:hAnsi="Times New Roman" w:cs="Times New Roman"/>
          <w:sz w:val="24"/>
          <w:szCs w:val="24"/>
        </w:rPr>
      </w:pPr>
      <w:r w:rsidRPr="003F3FAF">
        <w:rPr>
          <w:rFonts w:ascii="Times New Roman" w:hAnsi="Times New Roman" w:cs="Times New Roman"/>
          <w:b/>
          <w:bCs/>
          <w:sz w:val="24"/>
          <w:szCs w:val="24"/>
        </w:rPr>
        <w:lastRenderedPageBreak/>
        <w:t xml:space="preserve">Tabla </w:t>
      </w:r>
      <w:r w:rsidR="00505A5A" w:rsidRPr="003F3FAF">
        <w:rPr>
          <w:rFonts w:ascii="Times New Roman" w:hAnsi="Times New Roman" w:cs="Times New Roman"/>
          <w:b/>
          <w:bCs/>
          <w:sz w:val="24"/>
          <w:szCs w:val="24"/>
        </w:rPr>
        <w:t>1</w:t>
      </w:r>
      <w:r w:rsidRPr="003F3FAF">
        <w:rPr>
          <w:rFonts w:ascii="Times New Roman" w:hAnsi="Times New Roman" w:cs="Times New Roman"/>
          <w:sz w:val="24"/>
          <w:szCs w:val="24"/>
        </w:rPr>
        <w:t>. Causas de TCE al ingreso a</w:t>
      </w:r>
      <w:r w:rsidR="007173B1">
        <w:rPr>
          <w:rFonts w:ascii="Times New Roman" w:hAnsi="Times New Roman" w:cs="Times New Roman"/>
          <w:sz w:val="24"/>
          <w:szCs w:val="24"/>
        </w:rPr>
        <w:t xml:space="preserve"> la</w:t>
      </w:r>
      <w:r w:rsidRPr="003F3FAF">
        <w:rPr>
          <w:rFonts w:ascii="Times New Roman" w:hAnsi="Times New Roman" w:cs="Times New Roman"/>
          <w:sz w:val="24"/>
          <w:szCs w:val="24"/>
        </w:rPr>
        <w:t xml:space="preserve"> UCI</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126"/>
        <w:gridCol w:w="2131"/>
        <w:gridCol w:w="1816"/>
      </w:tblGrid>
      <w:tr w:rsidR="00C77123" w:rsidRPr="00505A5A" w14:paraId="60B4E101" w14:textId="77777777" w:rsidTr="003F3FAF">
        <w:trPr>
          <w:jc w:val="center"/>
        </w:trPr>
        <w:tc>
          <w:tcPr>
            <w:tcW w:w="2689" w:type="dxa"/>
            <w:tcBorders>
              <w:top w:val="single" w:sz="4" w:space="0" w:color="auto"/>
              <w:bottom w:val="single" w:sz="4" w:space="0" w:color="auto"/>
            </w:tcBorders>
            <w:vAlign w:val="center"/>
          </w:tcPr>
          <w:p w14:paraId="05C8B71D" w14:textId="77777777" w:rsidR="00C77123" w:rsidRPr="003F3FAF" w:rsidRDefault="00C77123"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Tipo de accidente</w:t>
            </w:r>
          </w:p>
        </w:tc>
        <w:tc>
          <w:tcPr>
            <w:tcW w:w="2126" w:type="dxa"/>
            <w:tcBorders>
              <w:top w:val="single" w:sz="4" w:space="0" w:color="auto"/>
              <w:bottom w:val="single" w:sz="4" w:space="0" w:color="auto"/>
            </w:tcBorders>
            <w:vAlign w:val="center"/>
          </w:tcPr>
          <w:p w14:paraId="00259002" w14:textId="77777777" w:rsidR="00C77123" w:rsidRPr="003F3FAF" w:rsidRDefault="00C77123"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NETL</w:t>
            </w:r>
          </w:p>
          <w:p w14:paraId="3C12403E" w14:textId="77777777" w:rsidR="00C77123" w:rsidRPr="003F3FAF" w:rsidRDefault="00C77123"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Frecuencia (</w:t>
            </w:r>
            <w:r w:rsidRPr="003F3FAF">
              <w:rPr>
                <w:rFonts w:ascii="Times New Roman" w:hAnsi="Times New Roman" w:cs="Times New Roman"/>
                <w:b/>
                <w:bCs/>
                <w:i/>
                <w:sz w:val="24"/>
                <w:szCs w:val="24"/>
              </w:rPr>
              <w:t>%</w:t>
            </w:r>
            <w:r w:rsidRPr="003F3FAF">
              <w:rPr>
                <w:rFonts w:ascii="Times New Roman" w:hAnsi="Times New Roman" w:cs="Times New Roman"/>
                <w:b/>
                <w:bCs/>
                <w:sz w:val="24"/>
                <w:szCs w:val="24"/>
              </w:rPr>
              <w:t>)</w:t>
            </w:r>
          </w:p>
        </w:tc>
        <w:tc>
          <w:tcPr>
            <w:tcW w:w="2131" w:type="dxa"/>
            <w:tcBorders>
              <w:top w:val="single" w:sz="4" w:space="0" w:color="auto"/>
              <w:bottom w:val="single" w:sz="4" w:space="0" w:color="auto"/>
            </w:tcBorders>
            <w:vAlign w:val="center"/>
          </w:tcPr>
          <w:p w14:paraId="2337681D" w14:textId="77777777" w:rsidR="00C77123" w:rsidRPr="003F3FAF" w:rsidRDefault="00C77123"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NETI</w:t>
            </w:r>
          </w:p>
          <w:p w14:paraId="1FA1DD61" w14:textId="77777777" w:rsidR="00C77123" w:rsidRPr="003F3FAF" w:rsidRDefault="00C77123"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Frecuencia (</w:t>
            </w:r>
            <w:r w:rsidRPr="003F3FAF">
              <w:rPr>
                <w:rFonts w:ascii="Times New Roman" w:hAnsi="Times New Roman" w:cs="Times New Roman"/>
                <w:b/>
                <w:bCs/>
                <w:i/>
                <w:sz w:val="24"/>
                <w:szCs w:val="24"/>
              </w:rPr>
              <w:t>%</w:t>
            </w:r>
            <w:r w:rsidRPr="003F3FAF">
              <w:rPr>
                <w:rFonts w:ascii="Times New Roman" w:hAnsi="Times New Roman" w:cs="Times New Roman"/>
                <w:b/>
                <w:bCs/>
                <w:sz w:val="24"/>
                <w:szCs w:val="24"/>
              </w:rPr>
              <w:t>)</w:t>
            </w:r>
          </w:p>
        </w:tc>
        <w:tc>
          <w:tcPr>
            <w:tcW w:w="1816" w:type="dxa"/>
            <w:tcBorders>
              <w:top w:val="single" w:sz="4" w:space="0" w:color="auto"/>
              <w:bottom w:val="single" w:sz="4" w:space="0" w:color="auto"/>
            </w:tcBorders>
            <w:vAlign w:val="center"/>
          </w:tcPr>
          <w:p w14:paraId="1FB69899" w14:textId="77777777" w:rsidR="00C77123" w:rsidRPr="003F3FAF" w:rsidRDefault="00C77123"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Total</w:t>
            </w:r>
          </w:p>
          <w:p w14:paraId="3B08EE90" w14:textId="77777777" w:rsidR="00C77123" w:rsidRPr="003F3FAF" w:rsidRDefault="00C77123"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Frecuencia (%)</w:t>
            </w:r>
          </w:p>
        </w:tc>
      </w:tr>
      <w:tr w:rsidR="00C77123" w:rsidRPr="00505A5A" w14:paraId="551AD70A" w14:textId="77777777" w:rsidTr="003F3FAF">
        <w:trPr>
          <w:trHeight w:val="279"/>
          <w:jc w:val="center"/>
        </w:trPr>
        <w:tc>
          <w:tcPr>
            <w:tcW w:w="2689" w:type="dxa"/>
            <w:tcBorders>
              <w:top w:val="single" w:sz="4" w:space="0" w:color="auto"/>
            </w:tcBorders>
            <w:vAlign w:val="center"/>
          </w:tcPr>
          <w:p w14:paraId="1628C346"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Caída</w:t>
            </w:r>
          </w:p>
        </w:tc>
        <w:tc>
          <w:tcPr>
            <w:tcW w:w="2126" w:type="dxa"/>
            <w:tcBorders>
              <w:top w:val="single" w:sz="4" w:space="0" w:color="auto"/>
            </w:tcBorders>
            <w:vAlign w:val="center"/>
          </w:tcPr>
          <w:p w14:paraId="34D81B17"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0</w:t>
            </w:r>
          </w:p>
        </w:tc>
        <w:tc>
          <w:tcPr>
            <w:tcW w:w="2131" w:type="dxa"/>
            <w:tcBorders>
              <w:top w:val="single" w:sz="4" w:space="0" w:color="auto"/>
            </w:tcBorders>
            <w:vAlign w:val="center"/>
          </w:tcPr>
          <w:p w14:paraId="6193FFD8"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4 (36.4)</w:t>
            </w:r>
          </w:p>
        </w:tc>
        <w:tc>
          <w:tcPr>
            <w:tcW w:w="1816" w:type="dxa"/>
            <w:tcBorders>
              <w:top w:val="single" w:sz="4" w:space="0" w:color="auto"/>
            </w:tcBorders>
            <w:vAlign w:val="center"/>
          </w:tcPr>
          <w:p w14:paraId="05CAEE0B"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4 (18.1)</w:t>
            </w:r>
          </w:p>
        </w:tc>
      </w:tr>
      <w:tr w:rsidR="00C77123" w:rsidRPr="00505A5A" w14:paraId="2893C1F3" w14:textId="77777777" w:rsidTr="003F3FAF">
        <w:trPr>
          <w:trHeight w:val="279"/>
          <w:jc w:val="center"/>
        </w:trPr>
        <w:tc>
          <w:tcPr>
            <w:tcW w:w="2689" w:type="dxa"/>
            <w:vAlign w:val="center"/>
          </w:tcPr>
          <w:p w14:paraId="01B87992"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Atropellamiento</w:t>
            </w:r>
          </w:p>
        </w:tc>
        <w:tc>
          <w:tcPr>
            <w:tcW w:w="2126" w:type="dxa"/>
            <w:vAlign w:val="center"/>
          </w:tcPr>
          <w:p w14:paraId="1D1C8ED6"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4 (36.4)</w:t>
            </w:r>
          </w:p>
        </w:tc>
        <w:tc>
          <w:tcPr>
            <w:tcW w:w="2131" w:type="dxa"/>
            <w:vAlign w:val="center"/>
          </w:tcPr>
          <w:p w14:paraId="6BA07571"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 (18.2)</w:t>
            </w:r>
          </w:p>
        </w:tc>
        <w:tc>
          <w:tcPr>
            <w:tcW w:w="1816" w:type="dxa"/>
            <w:vAlign w:val="center"/>
          </w:tcPr>
          <w:p w14:paraId="05C66EC2"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6 (27.2)</w:t>
            </w:r>
          </w:p>
        </w:tc>
      </w:tr>
      <w:tr w:rsidR="00C77123" w:rsidRPr="00505A5A" w14:paraId="3FF50E7C" w14:textId="77777777" w:rsidTr="003F3FAF">
        <w:trPr>
          <w:trHeight w:val="279"/>
          <w:jc w:val="center"/>
        </w:trPr>
        <w:tc>
          <w:tcPr>
            <w:tcW w:w="2689" w:type="dxa"/>
            <w:vAlign w:val="center"/>
          </w:tcPr>
          <w:p w14:paraId="478446F7"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Accidente de tránsito</w:t>
            </w:r>
          </w:p>
        </w:tc>
        <w:tc>
          <w:tcPr>
            <w:tcW w:w="2126" w:type="dxa"/>
            <w:vAlign w:val="center"/>
          </w:tcPr>
          <w:p w14:paraId="38A35AB5"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3 (27.3)</w:t>
            </w:r>
          </w:p>
        </w:tc>
        <w:tc>
          <w:tcPr>
            <w:tcW w:w="2131" w:type="dxa"/>
            <w:vAlign w:val="center"/>
          </w:tcPr>
          <w:p w14:paraId="6DDB9796"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3 (27.3)</w:t>
            </w:r>
          </w:p>
        </w:tc>
        <w:tc>
          <w:tcPr>
            <w:tcW w:w="1816" w:type="dxa"/>
            <w:vAlign w:val="center"/>
          </w:tcPr>
          <w:p w14:paraId="1C533A6C"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6 (27.2)</w:t>
            </w:r>
          </w:p>
        </w:tc>
      </w:tr>
      <w:tr w:rsidR="00C77123" w:rsidRPr="00505A5A" w14:paraId="49F61150" w14:textId="77777777" w:rsidTr="003F3FAF">
        <w:trPr>
          <w:trHeight w:val="279"/>
          <w:jc w:val="center"/>
        </w:trPr>
        <w:tc>
          <w:tcPr>
            <w:tcW w:w="2689" w:type="dxa"/>
            <w:vAlign w:val="center"/>
          </w:tcPr>
          <w:p w14:paraId="37398F4D"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Accidente de motocicleta</w:t>
            </w:r>
          </w:p>
        </w:tc>
        <w:tc>
          <w:tcPr>
            <w:tcW w:w="2126" w:type="dxa"/>
            <w:vAlign w:val="center"/>
          </w:tcPr>
          <w:p w14:paraId="363B5829"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1(9.1)</w:t>
            </w:r>
          </w:p>
        </w:tc>
        <w:tc>
          <w:tcPr>
            <w:tcW w:w="2131" w:type="dxa"/>
            <w:vAlign w:val="center"/>
          </w:tcPr>
          <w:p w14:paraId="1DB1F8E9"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0</w:t>
            </w:r>
          </w:p>
        </w:tc>
        <w:tc>
          <w:tcPr>
            <w:tcW w:w="1816" w:type="dxa"/>
            <w:vAlign w:val="center"/>
          </w:tcPr>
          <w:p w14:paraId="4FA6B838"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 (4.5)</w:t>
            </w:r>
          </w:p>
        </w:tc>
      </w:tr>
      <w:tr w:rsidR="00C77123" w:rsidRPr="00505A5A" w14:paraId="31865DBD" w14:textId="77777777" w:rsidTr="003F3FAF">
        <w:trPr>
          <w:trHeight w:val="279"/>
          <w:jc w:val="center"/>
        </w:trPr>
        <w:tc>
          <w:tcPr>
            <w:tcW w:w="2689" w:type="dxa"/>
            <w:vAlign w:val="center"/>
          </w:tcPr>
          <w:p w14:paraId="00030328"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Agresión física</w:t>
            </w:r>
          </w:p>
        </w:tc>
        <w:tc>
          <w:tcPr>
            <w:tcW w:w="2126" w:type="dxa"/>
            <w:vAlign w:val="center"/>
          </w:tcPr>
          <w:p w14:paraId="0E9CC7E3"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3 (27.3)</w:t>
            </w:r>
          </w:p>
        </w:tc>
        <w:tc>
          <w:tcPr>
            <w:tcW w:w="2131" w:type="dxa"/>
            <w:vAlign w:val="center"/>
          </w:tcPr>
          <w:p w14:paraId="2FAD0557"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 (18.2)</w:t>
            </w:r>
          </w:p>
        </w:tc>
        <w:tc>
          <w:tcPr>
            <w:tcW w:w="1816" w:type="dxa"/>
            <w:vAlign w:val="center"/>
          </w:tcPr>
          <w:p w14:paraId="1BB2B2E9"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5 (22.7)</w:t>
            </w:r>
          </w:p>
        </w:tc>
      </w:tr>
      <w:tr w:rsidR="00C77123" w:rsidRPr="00505A5A" w14:paraId="4EF3E436" w14:textId="77777777" w:rsidTr="003F3FAF">
        <w:trPr>
          <w:trHeight w:val="279"/>
          <w:jc w:val="center"/>
        </w:trPr>
        <w:tc>
          <w:tcPr>
            <w:tcW w:w="2689" w:type="dxa"/>
            <w:vAlign w:val="center"/>
          </w:tcPr>
          <w:p w14:paraId="0AC6E9A0"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Total</w:t>
            </w:r>
          </w:p>
        </w:tc>
        <w:tc>
          <w:tcPr>
            <w:tcW w:w="2126" w:type="dxa"/>
            <w:vAlign w:val="center"/>
          </w:tcPr>
          <w:p w14:paraId="0BFD65AC"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11(100)</w:t>
            </w:r>
          </w:p>
        </w:tc>
        <w:tc>
          <w:tcPr>
            <w:tcW w:w="2131" w:type="dxa"/>
            <w:vAlign w:val="center"/>
          </w:tcPr>
          <w:p w14:paraId="13323EB5"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11 (100)</w:t>
            </w:r>
          </w:p>
        </w:tc>
        <w:tc>
          <w:tcPr>
            <w:tcW w:w="1816" w:type="dxa"/>
            <w:vAlign w:val="center"/>
          </w:tcPr>
          <w:p w14:paraId="099C5EF7" w14:textId="77777777" w:rsidR="00C77123" w:rsidRPr="003F3FAF" w:rsidRDefault="00C77123"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22 (100)</w:t>
            </w:r>
          </w:p>
        </w:tc>
      </w:tr>
    </w:tbl>
    <w:p w14:paraId="4D9288AD" w14:textId="00E1C910" w:rsidR="00505A5A" w:rsidRPr="003F3FAF" w:rsidRDefault="00C77123" w:rsidP="003F3FAF">
      <w:pPr>
        <w:spacing w:after="0" w:line="360" w:lineRule="auto"/>
        <w:ind w:right="49"/>
        <w:jc w:val="both"/>
        <w:rPr>
          <w:rFonts w:ascii="Times New Roman" w:hAnsi="Times New Roman" w:cs="Times New Roman"/>
          <w:sz w:val="20"/>
          <w:szCs w:val="20"/>
        </w:rPr>
      </w:pPr>
      <w:r w:rsidRPr="003F3FAF">
        <w:rPr>
          <w:rFonts w:ascii="Times New Roman" w:hAnsi="Times New Roman" w:cs="Times New Roman"/>
          <w:sz w:val="20"/>
          <w:szCs w:val="20"/>
        </w:rPr>
        <w:t>(</w:t>
      </w:r>
      <w:r w:rsidRPr="003F3FAF">
        <w:rPr>
          <w:rFonts w:ascii="Times New Roman" w:hAnsi="Times New Roman" w:cs="Times New Roman"/>
          <w:i/>
          <w:iCs/>
          <w:sz w:val="20"/>
          <w:szCs w:val="20"/>
        </w:rPr>
        <w:t>N</w:t>
      </w:r>
      <w:r w:rsidR="00505A5A">
        <w:rPr>
          <w:rFonts w:ascii="Times New Roman" w:hAnsi="Times New Roman" w:cs="Times New Roman"/>
          <w:sz w:val="20"/>
          <w:szCs w:val="20"/>
        </w:rPr>
        <w:t xml:space="preserve"> </w:t>
      </w:r>
      <w:r w:rsidRPr="003F3FAF">
        <w:rPr>
          <w:rFonts w:ascii="Times New Roman" w:hAnsi="Times New Roman" w:cs="Times New Roman"/>
          <w:sz w:val="20"/>
          <w:szCs w:val="20"/>
        </w:rPr>
        <w:t>=</w:t>
      </w:r>
      <w:r w:rsidR="00505A5A">
        <w:rPr>
          <w:rFonts w:ascii="Times New Roman" w:hAnsi="Times New Roman" w:cs="Times New Roman"/>
          <w:sz w:val="20"/>
          <w:szCs w:val="20"/>
        </w:rPr>
        <w:t xml:space="preserve"> </w:t>
      </w:r>
      <w:r w:rsidRPr="003F3FAF">
        <w:rPr>
          <w:rFonts w:ascii="Times New Roman" w:hAnsi="Times New Roman" w:cs="Times New Roman"/>
          <w:sz w:val="20"/>
          <w:szCs w:val="20"/>
        </w:rPr>
        <w:t xml:space="preserve">22) </w:t>
      </w:r>
    </w:p>
    <w:p w14:paraId="7D86CFD5" w14:textId="70EB1CA3" w:rsidR="00C77123" w:rsidRPr="003F3FAF" w:rsidRDefault="00C77123" w:rsidP="003F3FAF">
      <w:pPr>
        <w:spacing w:after="0" w:line="360" w:lineRule="auto"/>
        <w:ind w:right="49"/>
        <w:jc w:val="center"/>
        <w:rPr>
          <w:rFonts w:ascii="Times New Roman" w:hAnsi="Times New Roman" w:cs="Times New Roman"/>
          <w:sz w:val="24"/>
          <w:szCs w:val="24"/>
        </w:rPr>
      </w:pPr>
      <w:r w:rsidRPr="003F3FAF">
        <w:rPr>
          <w:rFonts w:ascii="Times New Roman" w:hAnsi="Times New Roman" w:cs="Times New Roman"/>
          <w:sz w:val="24"/>
          <w:szCs w:val="24"/>
        </w:rPr>
        <w:t xml:space="preserve">Fuente: </w:t>
      </w:r>
      <w:r w:rsidR="007173B1">
        <w:rPr>
          <w:rFonts w:ascii="Times New Roman" w:hAnsi="Times New Roman" w:cs="Times New Roman"/>
          <w:sz w:val="24"/>
          <w:szCs w:val="24"/>
        </w:rPr>
        <w:t>Elaboración propia</w:t>
      </w:r>
    </w:p>
    <w:p w14:paraId="27A6AEF7" w14:textId="77777777" w:rsidR="00C77123" w:rsidRPr="00DB3115" w:rsidRDefault="00C77123" w:rsidP="003F3FAF">
      <w:pPr>
        <w:spacing w:after="0" w:line="360" w:lineRule="auto"/>
        <w:ind w:right="49"/>
        <w:jc w:val="both"/>
        <w:rPr>
          <w:rFonts w:ascii="Times New Roman" w:hAnsi="Times New Roman" w:cs="Times New Roman"/>
          <w:sz w:val="24"/>
          <w:szCs w:val="24"/>
        </w:rPr>
      </w:pPr>
    </w:p>
    <w:p w14:paraId="2D2DC06C" w14:textId="58D028E6" w:rsidR="000E38C2" w:rsidRPr="00DB3115" w:rsidRDefault="000E38C2" w:rsidP="003F3FAF">
      <w:pPr>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t xml:space="preserve">Al evaluar el estado nutricional del paciente y su respuesta al trauma, </w:t>
      </w:r>
      <w:r w:rsidR="00312A11">
        <w:rPr>
          <w:rFonts w:ascii="Times New Roman" w:hAnsi="Times New Roman" w:cs="Times New Roman"/>
          <w:sz w:val="24"/>
          <w:szCs w:val="24"/>
        </w:rPr>
        <w:t>al</w:t>
      </w:r>
      <w:r w:rsidRPr="00DB3115">
        <w:rPr>
          <w:rFonts w:ascii="Times New Roman" w:hAnsi="Times New Roman" w:cs="Times New Roman"/>
          <w:sz w:val="24"/>
          <w:szCs w:val="24"/>
        </w:rPr>
        <w:t xml:space="preserve"> ingreso y egreso de</w:t>
      </w:r>
      <w:r w:rsidR="00312A11">
        <w:rPr>
          <w:rFonts w:ascii="Times New Roman" w:hAnsi="Times New Roman" w:cs="Times New Roman"/>
          <w:sz w:val="24"/>
          <w:szCs w:val="24"/>
        </w:rPr>
        <w:t xml:space="preserve"> la</w:t>
      </w:r>
      <w:r w:rsidRPr="00DB3115">
        <w:rPr>
          <w:rFonts w:ascii="Times New Roman" w:hAnsi="Times New Roman" w:cs="Times New Roman"/>
          <w:sz w:val="24"/>
          <w:szCs w:val="24"/>
        </w:rPr>
        <w:t xml:space="preserve"> UCI, se encontró en el grupo con NETL una disminución de las mediciones antropométricas, disminución de albúmina y proteínas totales, de los linfocitos y leucocitos (</w:t>
      </w:r>
      <w:r w:rsidR="00312A11">
        <w:rPr>
          <w:rFonts w:ascii="Times New Roman" w:hAnsi="Times New Roman" w:cs="Times New Roman"/>
          <w:sz w:val="24"/>
          <w:szCs w:val="24"/>
        </w:rPr>
        <w:t>t de</w:t>
      </w:r>
      <w:r w:rsidR="00312A11" w:rsidRPr="00DB3115">
        <w:rPr>
          <w:rFonts w:ascii="Times New Roman" w:hAnsi="Times New Roman" w:cs="Times New Roman"/>
          <w:sz w:val="24"/>
          <w:szCs w:val="24"/>
        </w:rPr>
        <w:t xml:space="preserve"> </w:t>
      </w:r>
      <w:proofErr w:type="spellStart"/>
      <w:r w:rsidRPr="00DB3115">
        <w:rPr>
          <w:rFonts w:ascii="Times New Roman" w:hAnsi="Times New Roman" w:cs="Times New Roman"/>
          <w:sz w:val="24"/>
          <w:szCs w:val="24"/>
        </w:rPr>
        <w:t>Student</w:t>
      </w:r>
      <w:proofErr w:type="spellEnd"/>
      <w:r w:rsidRPr="00DB3115">
        <w:rPr>
          <w:rFonts w:ascii="Times New Roman" w:hAnsi="Times New Roman" w:cs="Times New Roman"/>
          <w:sz w:val="24"/>
          <w:szCs w:val="24"/>
        </w:rPr>
        <w:t xml:space="preserve"> 3.308</w:t>
      </w:r>
      <w:r w:rsidR="00312A11">
        <w:rPr>
          <w:rFonts w:ascii="Times New Roman" w:hAnsi="Times New Roman" w:cs="Times New Roman"/>
          <w:sz w:val="24"/>
          <w:szCs w:val="24"/>
        </w:rPr>
        <w:t>;</w:t>
      </w:r>
      <w:r w:rsidR="00312A11" w:rsidRPr="00DB3115">
        <w:rPr>
          <w:rFonts w:ascii="Times New Roman" w:hAnsi="Times New Roman" w:cs="Times New Roman"/>
          <w:sz w:val="24"/>
          <w:szCs w:val="24"/>
        </w:rPr>
        <w:t xml:space="preserve"> </w:t>
      </w:r>
      <w:r w:rsidRPr="003F3FAF">
        <w:rPr>
          <w:rFonts w:ascii="Times New Roman" w:hAnsi="Times New Roman" w:cs="Times New Roman"/>
          <w:i/>
          <w:iCs/>
          <w:sz w:val="24"/>
          <w:szCs w:val="24"/>
        </w:rPr>
        <w:t>p</w:t>
      </w:r>
      <w:r w:rsidR="00312A11">
        <w:rPr>
          <w:rFonts w:ascii="Times New Roman" w:hAnsi="Times New Roman" w:cs="Times New Roman"/>
          <w:sz w:val="24"/>
          <w:szCs w:val="24"/>
        </w:rPr>
        <w:t xml:space="preserve"> </w:t>
      </w:r>
      <w:r w:rsidRPr="00DB3115">
        <w:rPr>
          <w:rFonts w:ascii="Times New Roman" w:hAnsi="Times New Roman" w:cs="Times New Roman"/>
          <w:sz w:val="24"/>
          <w:szCs w:val="24"/>
        </w:rPr>
        <w:t>=</w:t>
      </w:r>
      <w:r w:rsidR="00312A11">
        <w:rPr>
          <w:rFonts w:ascii="Times New Roman" w:hAnsi="Times New Roman" w:cs="Times New Roman"/>
          <w:sz w:val="24"/>
          <w:szCs w:val="24"/>
        </w:rPr>
        <w:t xml:space="preserve"> </w:t>
      </w:r>
      <w:r w:rsidRPr="00DB3115">
        <w:rPr>
          <w:rFonts w:ascii="Times New Roman" w:hAnsi="Times New Roman" w:cs="Times New Roman"/>
          <w:sz w:val="24"/>
          <w:szCs w:val="24"/>
        </w:rPr>
        <w:t>0.007) (</w:t>
      </w:r>
      <w:r w:rsidR="00312A11">
        <w:rPr>
          <w:rFonts w:ascii="Times New Roman" w:hAnsi="Times New Roman" w:cs="Times New Roman"/>
          <w:sz w:val="24"/>
          <w:szCs w:val="24"/>
        </w:rPr>
        <w:t>véase t</w:t>
      </w:r>
      <w:r w:rsidR="00312A11" w:rsidRPr="00DB3115">
        <w:rPr>
          <w:rFonts w:ascii="Times New Roman" w:hAnsi="Times New Roman" w:cs="Times New Roman"/>
          <w:sz w:val="24"/>
          <w:szCs w:val="24"/>
        </w:rPr>
        <w:t xml:space="preserve">abla </w:t>
      </w:r>
      <w:r w:rsidR="00312A11">
        <w:rPr>
          <w:rFonts w:ascii="Times New Roman" w:hAnsi="Times New Roman" w:cs="Times New Roman"/>
          <w:sz w:val="24"/>
          <w:szCs w:val="24"/>
        </w:rPr>
        <w:t>2</w:t>
      </w:r>
      <w:r w:rsidRPr="00DB3115">
        <w:rPr>
          <w:rFonts w:ascii="Times New Roman" w:hAnsi="Times New Roman" w:cs="Times New Roman"/>
          <w:sz w:val="24"/>
          <w:szCs w:val="24"/>
        </w:rPr>
        <w:t>).</w:t>
      </w:r>
    </w:p>
    <w:p w14:paraId="4F3BAC86" w14:textId="31F10F88" w:rsidR="00F13115" w:rsidRDefault="00F13115" w:rsidP="003F3FAF">
      <w:pPr>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t>Por otra parte, en el grupo con NETI se puede observar un aumento de peso (</w:t>
      </w:r>
      <w:r w:rsidR="00312A11">
        <w:rPr>
          <w:rFonts w:ascii="Times New Roman" w:hAnsi="Times New Roman" w:cs="Times New Roman"/>
          <w:sz w:val="24"/>
          <w:szCs w:val="24"/>
        </w:rPr>
        <w:t>t</w:t>
      </w:r>
      <w:r w:rsidRPr="00DB3115">
        <w:rPr>
          <w:rFonts w:ascii="Times New Roman" w:hAnsi="Times New Roman" w:cs="Times New Roman"/>
          <w:sz w:val="24"/>
          <w:szCs w:val="24"/>
        </w:rPr>
        <w:t xml:space="preserve"> de </w:t>
      </w:r>
      <w:proofErr w:type="spellStart"/>
      <w:r w:rsidRPr="00DB3115">
        <w:rPr>
          <w:rFonts w:ascii="Times New Roman" w:hAnsi="Times New Roman" w:cs="Times New Roman"/>
          <w:sz w:val="24"/>
          <w:szCs w:val="24"/>
        </w:rPr>
        <w:t>Student</w:t>
      </w:r>
      <w:proofErr w:type="spellEnd"/>
      <w:r w:rsidR="00312A11">
        <w:rPr>
          <w:rFonts w:ascii="Times New Roman" w:hAnsi="Times New Roman" w:cs="Times New Roman"/>
          <w:sz w:val="24"/>
          <w:szCs w:val="24"/>
        </w:rPr>
        <w:t xml:space="preserve"> de</w:t>
      </w:r>
      <w:r w:rsidRPr="00DB3115">
        <w:rPr>
          <w:rFonts w:ascii="Times New Roman" w:hAnsi="Times New Roman" w:cs="Times New Roman"/>
          <w:sz w:val="24"/>
          <w:szCs w:val="24"/>
        </w:rPr>
        <w:t xml:space="preserve"> 23.737</w:t>
      </w:r>
      <w:r w:rsidR="00312A11">
        <w:rPr>
          <w:rFonts w:ascii="Times New Roman" w:hAnsi="Times New Roman" w:cs="Times New Roman"/>
          <w:sz w:val="24"/>
          <w:szCs w:val="24"/>
        </w:rPr>
        <w:t>;</w:t>
      </w:r>
      <w:r w:rsidR="00312A11" w:rsidRPr="00DB3115">
        <w:rPr>
          <w:rFonts w:ascii="Times New Roman" w:hAnsi="Times New Roman" w:cs="Times New Roman"/>
          <w:sz w:val="24"/>
          <w:szCs w:val="24"/>
        </w:rPr>
        <w:t xml:space="preserve"> </w:t>
      </w:r>
      <w:r w:rsidRPr="003F3FAF">
        <w:rPr>
          <w:rFonts w:ascii="Times New Roman" w:hAnsi="Times New Roman" w:cs="Times New Roman"/>
          <w:i/>
          <w:iCs/>
          <w:sz w:val="24"/>
          <w:szCs w:val="24"/>
        </w:rPr>
        <w:t>p</w:t>
      </w:r>
      <w:r w:rsidR="00312A11">
        <w:rPr>
          <w:rFonts w:ascii="Times New Roman" w:hAnsi="Times New Roman" w:cs="Times New Roman"/>
          <w:sz w:val="24"/>
          <w:szCs w:val="24"/>
        </w:rPr>
        <w:t xml:space="preserve"> </w:t>
      </w:r>
      <w:r w:rsidRPr="00DB3115">
        <w:rPr>
          <w:rFonts w:ascii="Times New Roman" w:hAnsi="Times New Roman" w:cs="Times New Roman"/>
          <w:sz w:val="24"/>
          <w:szCs w:val="24"/>
        </w:rPr>
        <w:t>=</w:t>
      </w:r>
      <w:r w:rsidR="00312A11">
        <w:rPr>
          <w:rFonts w:ascii="Times New Roman" w:hAnsi="Times New Roman" w:cs="Times New Roman"/>
          <w:sz w:val="24"/>
          <w:szCs w:val="24"/>
        </w:rPr>
        <w:t xml:space="preserve"> </w:t>
      </w:r>
      <w:r w:rsidRPr="00DB3115">
        <w:rPr>
          <w:rFonts w:ascii="Times New Roman" w:hAnsi="Times New Roman" w:cs="Times New Roman"/>
          <w:sz w:val="24"/>
          <w:szCs w:val="24"/>
        </w:rPr>
        <w:t>0.001), proteínas totales (</w:t>
      </w:r>
      <w:r w:rsidR="00312A11">
        <w:rPr>
          <w:rFonts w:ascii="Times New Roman" w:hAnsi="Times New Roman" w:cs="Times New Roman"/>
          <w:sz w:val="24"/>
          <w:szCs w:val="24"/>
        </w:rPr>
        <w:t>t</w:t>
      </w:r>
      <w:r w:rsidR="00312A11" w:rsidRPr="00DB3115">
        <w:rPr>
          <w:rFonts w:ascii="Times New Roman" w:hAnsi="Times New Roman" w:cs="Times New Roman"/>
          <w:sz w:val="24"/>
          <w:szCs w:val="24"/>
        </w:rPr>
        <w:t xml:space="preserve"> </w:t>
      </w:r>
      <w:r w:rsidRPr="00DB3115">
        <w:rPr>
          <w:rFonts w:ascii="Times New Roman" w:hAnsi="Times New Roman" w:cs="Times New Roman"/>
          <w:sz w:val="24"/>
          <w:szCs w:val="24"/>
        </w:rPr>
        <w:t xml:space="preserve">de </w:t>
      </w:r>
      <w:proofErr w:type="spellStart"/>
      <w:r w:rsidRPr="00DB3115">
        <w:rPr>
          <w:rFonts w:ascii="Times New Roman" w:hAnsi="Times New Roman" w:cs="Times New Roman"/>
          <w:sz w:val="24"/>
          <w:szCs w:val="24"/>
        </w:rPr>
        <w:t>Student</w:t>
      </w:r>
      <w:proofErr w:type="spellEnd"/>
      <w:r w:rsidR="00312A11">
        <w:rPr>
          <w:rFonts w:ascii="Times New Roman" w:hAnsi="Times New Roman" w:cs="Times New Roman"/>
          <w:sz w:val="24"/>
          <w:szCs w:val="24"/>
        </w:rPr>
        <w:t xml:space="preserve"> de</w:t>
      </w:r>
      <w:r w:rsidRPr="00DB3115">
        <w:rPr>
          <w:rFonts w:ascii="Times New Roman" w:hAnsi="Times New Roman" w:cs="Times New Roman"/>
          <w:sz w:val="24"/>
          <w:szCs w:val="24"/>
        </w:rPr>
        <w:t xml:space="preserve"> 13.40</w:t>
      </w:r>
      <w:r w:rsidR="00312A11">
        <w:rPr>
          <w:rFonts w:ascii="Times New Roman" w:hAnsi="Times New Roman" w:cs="Times New Roman"/>
          <w:sz w:val="24"/>
          <w:szCs w:val="24"/>
        </w:rPr>
        <w:t>;</w:t>
      </w:r>
      <w:r w:rsidR="00312A11" w:rsidRPr="00DB3115">
        <w:rPr>
          <w:rFonts w:ascii="Times New Roman" w:hAnsi="Times New Roman" w:cs="Times New Roman"/>
          <w:sz w:val="24"/>
          <w:szCs w:val="24"/>
        </w:rPr>
        <w:t xml:space="preserve"> </w:t>
      </w:r>
      <w:r w:rsidRPr="003F3FAF">
        <w:rPr>
          <w:rFonts w:ascii="Times New Roman" w:hAnsi="Times New Roman" w:cs="Times New Roman"/>
          <w:i/>
          <w:iCs/>
          <w:sz w:val="24"/>
          <w:szCs w:val="24"/>
        </w:rPr>
        <w:t>p</w:t>
      </w:r>
      <w:r w:rsidR="00312A11">
        <w:rPr>
          <w:rFonts w:ascii="Times New Roman" w:hAnsi="Times New Roman" w:cs="Times New Roman"/>
          <w:sz w:val="24"/>
          <w:szCs w:val="24"/>
        </w:rPr>
        <w:t xml:space="preserve"> </w:t>
      </w:r>
      <w:r w:rsidRPr="00DB3115">
        <w:rPr>
          <w:rFonts w:ascii="Times New Roman" w:hAnsi="Times New Roman" w:cs="Times New Roman"/>
          <w:sz w:val="24"/>
          <w:szCs w:val="24"/>
        </w:rPr>
        <w:t>=</w:t>
      </w:r>
      <w:r w:rsidR="00312A11">
        <w:rPr>
          <w:rFonts w:ascii="Times New Roman" w:hAnsi="Times New Roman" w:cs="Times New Roman"/>
          <w:sz w:val="24"/>
          <w:szCs w:val="24"/>
        </w:rPr>
        <w:t xml:space="preserve"> </w:t>
      </w:r>
      <w:r w:rsidRPr="00DB3115">
        <w:rPr>
          <w:rFonts w:ascii="Times New Roman" w:hAnsi="Times New Roman" w:cs="Times New Roman"/>
          <w:sz w:val="24"/>
          <w:szCs w:val="24"/>
        </w:rPr>
        <w:t>0.001), leucocitos (</w:t>
      </w:r>
      <w:r w:rsidR="00312A11">
        <w:rPr>
          <w:rFonts w:ascii="Times New Roman" w:hAnsi="Times New Roman" w:cs="Times New Roman"/>
          <w:sz w:val="24"/>
          <w:szCs w:val="24"/>
        </w:rPr>
        <w:t>t</w:t>
      </w:r>
      <w:r w:rsidR="00312A11" w:rsidRPr="00DB3115">
        <w:rPr>
          <w:rFonts w:ascii="Times New Roman" w:hAnsi="Times New Roman" w:cs="Times New Roman"/>
          <w:sz w:val="24"/>
          <w:szCs w:val="24"/>
        </w:rPr>
        <w:t xml:space="preserve"> </w:t>
      </w:r>
      <w:proofErr w:type="spellStart"/>
      <w:r w:rsidRPr="00DB3115">
        <w:rPr>
          <w:rFonts w:ascii="Times New Roman" w:hAnsi="Times New Roman" w:cs="Times New Roman"/>
          <w:sz w:val="24"/>
          <w:szCs w:val="24"/>
        </w:rPr>
        <w:t>Student</w:t>
      </w:r>
      <w:proofErr w:type="spellEnd"/>
      <w:r w:rsidRPr="00DB3115">
        <w:rPr>
          <w:rFonts w:ascii="Times New Roman" w:hAnsi="Times New Roman" w:cs="Times New Roman"/>
          <w:sz w:val="24"/>
          <w:szCs w:val="24"/>
        </w:rPr>
        <w:t xml:space="preserve"> de 2.05</w:t>
      </w:r>
      <w:r w:rsidR="00312A11">
        <w:rPr>
          <w:rFonts w:ascii="Times New Roman" w:hAnsi="Times New Roman" w:cs="Times New Roman"/>
          <w:sz w:val="24"/>
          <w:szCs w:val="24"/>
        </w:rPr>
        <w:t>;</w:t>
      </w:r>
      <w:r w:rsidR="00312A11" w:rsidRPr="00DB3115">
        <w:rPr>
          <w:rFonts w:ascii="Times New Roman" w:hAnsi="Times New Roman" w:cs="Times New Roman"/>
          <w:sz w:val="24"/>
          <w:szCs w:val="24"/>
        </w:rPr>
        <w:t xml:space="preserve"> </w:t>
      </w:r>
      <w:r w:rsidRPr="003F3FAF">
        <w:rPr>
          <w:rFonts w:ascii="Times New Roman" w:hAnsi="Times New Roman" w:cs="Times New Roman"/>
          <w:i/>
          <w:iCs/>
          <w:sz w:val="24"/>
          <w:szCs w:val="24"/>
        </w:rPr>
        <w:t>p</w:t>
      </w:r>
      <w:r w:rsidRPr="00DB3115">
        <w:rPr>
          <w:rFonts w:ascii="Times New Roman" w:hAnsi="Times New Roman" w:cs="Times New Roman"/>
          <w:sz w:val="24"/>
          <w:szCs w:val="24"/>
        </w:rPr>
        <w:t xml:space="preserve"> =</w:t>
      </w:r>
      <w:r w:rsidR="00312A11">
        <w:rPr>
          <w:rFonts w:ascii="Times New Roman" w:hAnsi="Times New Roman" w:cs="Times New Roman"/>
          <w:sz w:val="24"/>
          <w:szCs w:val="24"/>
        </w:rPr>
        <w:t xml:space="preserve"> </w:t>
      </w:r>
      <w:r w:rsidRPr="00DB3115">
        <w:rPr>
          <w:rFonts w:ascii="Times New Roman" w:hAnsi="Times New Roman" w:cs="Times New Roman"/>
          <w:sz w:val="24"/>
          <w:szCs w:val="24"/>
        </w:rPr>
        <w:t>0.002) y linfocitos (</w:t>
      </w:r>
      <w:r w:rsidR="00312A11">
        <w:rPr>
          <w:rFonts w:ascii="Times New Roman" w:hAnsi="Times New Roman" w:cs="Times New Roman"/>
          <w:sz w:val="24"/>
          <w:szCs w:val="24"/>
        </w:rPr>
        <w:t>t</w:t>
      </w:r>
      <w:r w:rsidR="00312A11" w:rsidRPr="00DB3115">
        <w:rPr>
          <w:rFonts w:ascii="Times New Roman" w:hAnsi="Times New Roman" w:cs="Times New Roman"/>
          <w:sz w:val="24"/>
          <w:szCs w:val="24"/>
        </w:rPr>
        <w:t xml:space="preserve"> </w:t>
      </w:r>
      <w:r w:rsidRPr="00DB3115">
        <w:rPr>
          <w:rFonts w:ascii="Times New Roman" w:hAnsi="Times New Roman" w:cs="Times New Roman"/>
          <w:sz w:val="24"/>
          <w:szCs w:val="24"/>
        </w:rPr>
        <w:t xml:space="preserve">de </w:t>
      </w:r>
      <w:proofErr w:type="spellStart"/>
      <w:r w:rsidRPr="00DB3115">
        <w:rPr>
          <w:rFonts w:ascii="Times New Roman" w:hAnsi="Times New Roman" w:cs="Times New Roman"/>
          <w:sz w:val="24"/>
          <w:szCs w:val="24"/>
        </w:rPr>
        <w:t>Student</w:t>
      </w:r>
      <w:proofErr w:type="spellEnd"/>
      <w:r w:rsidR="00312A11">
        <w:rPr>
          <w:rFonts w:ascii="Times New Roman" w:hAnsi="Times New Roman" w:cs="Times New Roman"/>
          <w:sz w:val="24"/>
          <w:szCs w:val="24"/>
        </w:rPr>
        <w:t xml:space="preserve"> de</w:t>
      </w:r>
      <w:r w:rsidRPr="00DB3115">
        <w:rPr>
          <w:rFonts w:ascii="Times New Roman" w:hAnsi="Times New Roman" w:cs="Times New Roman"/>
          <w:sz w:val="24"/>
          <w:szCs w:val="24"/>
        </w:rPr>
        <w:t xml:space="preserve"> 7.09</w:t>
      </w:r>
      <w:r w:rsidR="00312A11">
        <w:rPr>
          <w:rFonts w:ascii="Times New Roman" w:hAnsi="Times New Roman" w:cs="Times New Roman"/>
          <w:sz w:val="24"/>
          <w:szCs w:val="24"/>
        </w:rPr>
        <w:t>;</w:t>
      </w:r>
      <w:r w:rsidR="00312A11" w:rsidRPr="00DB3115">
        <w:rPr>
          <w:rFonts w:ascii="Times New Roman" w:hAnsi="Times New Roman" w:cs="Times New Roman"/>
          <w:sz w:val="24"/>
          <w:szCs w:val="24"/>
        </w:rPr>
        <w:t xml:space="preserve"> </w:t>
      </w:r>
      <w:r w:rsidRPr="003F3FAF">
        <w:rPr>
          <w:rFonts w:ascii="Times New Roman" w:hAnsi="Times New Roman" w:cs="Times New Roman"/>
          <w:i/>
          <w:iCs/>
          <w:sz w:val="24"/>
          <w:szCs w:val="24"/>
        </w:rPr>
        <w:t>p</w:t>
      </w:r>
      <w:r w:rsidR="00312A11">
        <w:rPr>
          <w:rFonts w:ascii="Times New Roman" w:hAnsi="Times New Roman" w:cs="Times New Roman"/>
          <w:sz w:val="24"/>
          <w:szCs w:val="24"/>
        </w:rPr>
        <w:t xml:space="preserve"> </w:t>
      </w:r>
      <w:r w:rsidRPr="00DB3115">
        <w:rPr>
          <w:rFonts w:ascii="Times New Roman" w:hAnsi="Times New Roman" w:cs="Times New Roman"/>
          <w:sz w:val="24"/>
          <w:szCs w:val="24"/>
        </w:rPr>
        <w:t>=</w:t>
      </w:r>
      <w:r w:rsidR="00312A11">
        <w:rPr>
          <w:rFonts w:ascii="Times New Roman" w:hAnsi="Times New Roman" w:cs="Times New Roman"/>
          <w:sz w:val="24"/>
          <w:szCs w:val="24"/>
        </w:rPr>
        <w:t xml:space="preserve"> </w:t>
      </w:r>
      <w:r w:rsidRPr="00DB3115">
        <w:rPr>
          <w:rFonts w:ascii="Times New Roman" w:hAnsi="Times New Roman" w:cs="Times New Roman"/>
          <w:sz w:val="24"/>
          <w:szCs w:val="24"/>
        </w:rPr>
        <w:t>0.001) al egreso de la UCI (</w:t>
      </w:r>
      <w:r w:rsidR="005B21B5">
        <w:rPr>
          <w:rFonts w:ascii="Times New Roman" w:hAnsi="Times New Roman" w:cs="Times New Roman"/>
          <w:sz w:val="24"/>
          <w:szCs w:val="24"/>
        </w:rPr>
        <w:t>t</w:t>
      </w:r>
      <w:r w:rsidR="005B21B5" w:rsidRPr="00DB3115">
        <w:rPr>
          <w:rFonts w:ascii="Times New Roman" w:hAnsi="Times New Roman" w:cs="Times New Roman"/>
          <w:sz w:val="24"/>
          <w:szCs w:val="24"/>
        </w:rPr>
        <w:t xml:space="preserve">abla </w:t>
      </w:r>
      <w:r w:rsidR="005B21B5">
        <w:rPr>
          <w:rFonts w:ascii="Times New Roman" w:hAnsi="Times New Roman" w:cs="Times New Roman"/>
          <w:sz w:val="24"/>
          <w:szCs w:val="24"/>
        </w:rPr>
        <w:t>2</w:t>
      </w:r>
      <w:r w:rsidRPr="00DB3115">
        <w:rPr>
          <w:rFonts w:ascii="Times New Roman" w:hAnsi="Times New Roman" w:cs="Times New Roman"/>
          <w:sz w:val="24"/>
          <w:szCs w:val="24"/>
        </w:rPr>
        <w:t>).</w:t>
      </w:r>
    </w:p>
    <w:p w14:paraId="0BF2DB1F" w14:textId="77777777" w:rsidR="00403A4F" w:rsidRDefault="00403A4F" w:rsidP="003F3FAF">
      <w:pPr>
        <w:spacing w:after="0" w:line="360" w:lineRule="auto"/>
        <w:ind w:left="-426" w:right="49"/>
        <w:jc w:val="both"/>
        <w:rPr>
          <w:rFonts w:ascii="Times New Roman" w:hAnsi="Times New Roman" w:cs="Times New Roman"/>
          <w:sz w:val="20"/>
          <w:szCs w:val="20"/>
        </w:rPr>
      </w:pPr>
    </w:p>
    <w:p w14:paraId="55785C16" w14:textId="77777777" w:rsidR="00647DB0" w:rsidRDefault="00647DB0" w:rsidP="003F3FAF">
      <w:pPr>
        <w:spacing w:after="0" w:line="360" w:lineRule="auto"/>
        <w:ind w:left="-426" w:right="49"/>
        <w:jc w:val="both"/>
        <w:rPr>
          <w:rFonts w:ascii="Times New Roman" w:hAnsi="Times New Roman" w:cs="Times New Roman"/>
          <w:sz w:val="20"/>
          <w:szCs w:val="20"/>
        </w:rPr>
      </w:pPr>
    </w:p>
    <w:p w14:paraId="0571A17F" w14:textId="77777777" w:rsidR="00647DB0" w:rsidRDefault="00647DB0" w:rsidP="003F3FAF">
      <w:pPr>
        <w:spacing w:after="0" w:line="360" w:lineRule="auto"/>
        <w:ind w:left="-426" w:right="49"/>
        <w:jc w:val="both"/>
        <w:rPr>
          <w:rFonts w:ascii="Times New Roman" w:hAnsi="Times New Roman" w:cs="Times New Roman"/>
          <w:sz w:val="20"/>
          <w:szCs w:val="20"/>
        </w:rPr>
      </w:pPr>
    </w:p>
    <w:p w14:paraId="734D2F05" w14:textId="77777777" w:rsidR="00647DB0" w:rsidRDefault="00647DB0" w:rsidP="003F3FAF">
      <w:pPr>
        <w:spacing w:after="0" w:line="360" w:lineRule="auto"/>
        <w:ind w:left="-426" w:right="49"/>
        <w:jc w:val="both"/>
        <w:rPr>
          <w:rFonts w:ascii="Times New Roman" w:hAnsi="Times New Roman" w:cs="Times New Roman"/>
          <w:sz w:val="20"/>
          <w:szCs w:val="20"/>
        </w:rPr>
      </w:pPr>
    </w:p>
    <w:p w14:paraId="7311C142" w14:textId="77777777" w:rsidR="00647DB0" w:rsidRDefault="00647DB0" w:rsidP="003F3FAF">
      <w:pPr>
        <w:spacing w:after="0" w:line="360" w:lineRule="auto"/>
        <w:ind w:left="-426" w:right="49"/>
        <w:jc w:val="both"/>
        <w:rPr>
          <w:rFonts w:ascii="Times New Roman" w:hAnsi="Times New Roman" w:cs="Times New Roman"/>
          <w:sz w:val="20"/>
          <w:szCs w:val="20"/>
        </w:rPr>
      </w:pPr>
    </w:p>
    <w:p w14:paraId="0B2FF74B" w14:textId="77777777" w:rsidR="00647DB0" w:rsidRDefault="00647DB0" w:rsidP="003F3FAF">
      <w:pPr>
        <w:spacing w:after="0" w:line="360" w:lineRule="auto"/>
        <w:ind w:left="-426" w:right="49"/>
        <w:jc w:val="both"/>
        <w:rPr>
          <w:rFonts w:ascii="Times New Roman" w:hAnsi="Times New Roman" w:cs="Times New Roman"/>
          <w:sz w:val="20"/>
          <w:szCs w:val="20"/>
        </w:rPr>
      </w:pPr>
    </w:p>
    <w:p w14:paraId="4A2EA487" w14:textId="77777777" w:rsidR="00647DB0" w:rsidRDefault="00647DB0" w:rsidP="003F3FAF">
      <w:pPr>
        <w:spacing w:after="0" w:line="360" w:lineRule="auto"/>
        <w:ind w:left="-426" w:right="49"/>
        <w:jc w:val="both"/>
        <w:rPr>
          <w:rFonts w:ascii="Times New Roman" w:hAnsi="Times New Roman" w:cs="Times New Roman"/>
          <w:sz w:val="20"/>
          <w:szCs w:val="20"/>
        </w:rPr>
      </w:pPr>
    </w:p>
    <w:p w14:paraId="7A6AB64A" w14:textId="77777777" w:rsidR="00647DB0" w:rsidRDefault="00647DB0" w:rsidP="003F3FAF">
      <w:pPr>
        <w:spacing w:after="0" w:line="360" w:lineRule="auto"/>
        <w:ind w:left="-426" w:right="49"/>
        <w:jc w:val="both"/>
        <w:rPr>
          <w:rFonts w:ascii="Times New Roman" w:hAnsi="Times New Roman" w:cs="Times New Roman"/>
          <w:sz w:val="20"/>
          <w:szCs w:val="20"/>
        </w:rPr>
      </w:pPr>
    </w:p>
    <w:p w14:paraId="6AE0409F" w14:textId="77777777" w:rsidR="00647DB0" w:rsidRDefault="00647DB0" w:rsidP="003F3FAF">
      <w:pPr>
        <w:spacing w:after="0" w:line="360" w:lineRule="auto"/>
        <w:ind w:left="-426" w:right="49"/>
        <w:jc w:val="both"/>
        <w:rPr>
          <w:rFonts w:ascii="Times New Roman" w:hAnsi="Times New Roman" w:cs="Times New Roman"/>
          <w:sz w:val="20"/>
          <w:szCs w:val="20"/>
        </w:rPr>
      </w:pPr>
    </w:p>
    <w:p w14:paraId="756FB347" w14:textId="42654E07" w:rsidR="00F91208" w:rsidRPr="003F3FAF" w:rsidRDefault="00403A4F" w:rsidP="003F3FAF">
      <w:pPr>
        <w:spacing w:after="0" w:line="360" w:lineRule="auto"/>
        <w:ind w:left="-426" w:right="49"/>
        <w:jc w:val="center"/>
        <w:rPr>
          <w:rFonts w:ascii="Times New Roman" w:hAnsi="Times New Roman" w:cs="Times New Roman"/>
          <w:sz w:val="24"/>
          <w:szCs w:val="24"/>
        </w:rPr>
      </w:pPr>
      <w:r w:rsidRPr="003F3FAF">
        <w:rPr>
          <w:rFonts w:ascii="Times New Roman" w:hAnsi="Times New Roman" w:cs="Times New Roman"/>
          <w:b/>
          <w:bCs/>
          <w:sz w:val="24"/>
          <w:szCs w:val="24"/>
        </w:rPr>
        <w:lastRenderedPageBreak/>
        <w:t xml:space="preserve">Tabla </w:t>
      </w:r>
      <w:r w:rsidR="00505A5A" w:rsidRPr="003F3FAF">
        <w:rPr>
          <w:rFonts w:ascii="Times New Roman" w:hAnsi="Times New Roman" w:cs="Times New Roman"/>
          <w:b/>
          <w:bCs/>
          <w:sz w:val="24"/>
          <w:szCs w:val="24"/>
        </w:rPr>
        <w:t>2</w:t>
      </w:r>
      <w:r w:rsidRPr="003F3FAF">
        <w:rPr>
          <w:rFonts w:ascii="Times New Roman" w:hAnsi="Times New Roman" w:cs="Times New Roman"/>
          <w:sz w:val="24"/>
          <w:szCs w:val="24"/>
        </w:rPr>
        <w:t>. Características del estado nutricional en la población en estudio</w:t>
      </w:r>
    </w:p>
    <w:tbl>
      <w:tblPr>
        <w:tblStyle w:val="Tablaconcuadrcula"/>
        <w:tblW w:w="8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559"/>
        <w:gridCol w:w="1276"/>
        <w:gridCol w:w="1275"/>
        <w:gridCol w:w="1256"/>
      </w:tblGrid>
      <w:tr w:rsidR="00F91208" w:rsidRPr="00505A5A" w14:paraId="45D506C7" w14:textId="77777777" w:rsidTr="003F3FAF">
        <w:trPr>
          <w:trHeight w:val="559"/>
          <w:jc w:val="center"/>
        </w:trPr>
        <w:tc>
          <w:tcPr>
            <w:tcW w:w="2694" w:type="dxa"/>
            <w:tcBorders>
              <w:top w:val="single" w:sz="4" w:space="0" w:color="auto"/>
              <w:bottom w:val="single" w:sz="4" w:space="0" w:color="auto"/>
            </w:tcBorders>
            <w:vAlign w:val="center"/>
          </w:tcPr>
          <w:p w14:paraId="593D9F15" w14:textId="77777777" w:rsidR="00F91208" w:rsidRPr="003F3FAF" w:rsidRDefault="00F91208"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Características</w:t>
            </w:r>
          </w:p>
        </w:tc>
        <w:tc>
          <w:tcPr>
            <w:tcW w:w="2835" w:type="dxa"/>
            <w:gridSpan w:val="2"/>
            <w:tcBorders>
              <w:top w:val="single" w:sz="4" w:space="0" w:color="auto"/>
              <w:bottom w:val="single" w:sz="4" w:space="0" w:color="auto"/>
            </w:tcBorders>
            <w:vAlign w:val="center"/>
          </w:tcPr>
          <w:p w14:paraId="2C0CBEDF" w14:textId="77777777" w:rsidR="00F91208" w:rsidRPr="003F3FAF" w:rsidRDefault="00F91208"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NETL</w:t>
            </w:r>
          </w:p>
          <w:p w14:paraId="00034D7A" w14:textId="77777777" w:rsidR="00F91208" w:rsidRPr="003F3FAF" w:rsidRDefault="00F91208"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Media (</w:t>
            </w:r>
            <w:r w:rsidRPr="003F3FAF">
              <w:rPr>
                <w:rFonts w:ascii="Times New Roman" w:hAnsi="Times New Roman" w:cs="Times New Roman"/>
                <w:b/>
                <w:bCs/>
                <w:i/>
                <w:sz w:val="24"/>
                <w:szCs w:val="24"/>
              </w:rPr>
              <w:t>DS</w:t>
            </w:r>
            <w:r w:rsidRPr="003F3FAF">
              <w:rPr>
                <w:rFonts w:ascii="Times New Roman" w:hAnsi="Times New Roman" w:cs="Times New Roman"/>
                <w:b/>
                <w:bCs/>
                <w:sz w:val="24"/>
                <w:szCs w:val="24"/>
              </w:rPr>
              <w:t>)</w:t>
            </w:r>
          </w:p>
        </w:tc>
        <w:tc>
          <w:tcPr>
            <w:tcW w:w="2531" w:type="dxa"/>
            <w:gridSpan w:val="2"/>
            <w:tcBorders>
              <w:top w:val="single" w:sz="4" w:space="0" w:color="auto"/>
              <w:bottom w:val="single" w:sz="4" w:space="0" w:color="auto"/>
            </w:tcBorders>
            <w:vAlign w:val="center"/>
          </w:tcPr>
          <w:p w14:paraId="19BFFA58" w14:textId="77777777" w:rsidR="00F91208" w:rsidRPr="003F3FAF" w:rsidRDefault="00F91208"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NETI</w:t>
            </w:r>
          </w:p>
          <w:p w14:paraId="74F3BE36" w14:textId="77777777" w:rsidR="00F91208" w:rsidRPr="003F3FAF" w:rsidRDefault="00F91208"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Media (</w:t>
            </w:r>
            <w:r w:rsidRPr="003F3FAF">
              <w:rPr>
                <w:rFonts w:ascii="Times New Roman" w:hAnsi="Times New Roman" w:cs="Times New Roman"/>
                <w:b/>
                <w:bCs/>
                <w:i/>
                <w:sz w:val="24"/>
                <w:szCs w:val="24"/>
              </w:rPr>
              <w:t>DS</w:t>
            </w:r>
            <w:r w:rsidRPr="003F3FAF">
              <w:rPr>
                <w:rFonts w:ascii="Times New Roman" w:hAnsi="Times New Roman" w:cs="Times New Roman"/>
                <w:b/>
                <w:bCs/>
                <w:sz w:val="24"/>
                <w:szCs w:val="24"/>
              </w:rPr>
              <w:t>)</w:t>
            </w:r>
          </w:p>
        </w:tc>
      </w:tr>
      <w:tr w:rsidR="00F91208" w:rsidRPr="00505A5A" w14:paraId="01049B48" w14:textId="77777777" w:rsidTr="003F3FAF">
        <w:trPr>
          <w:trHeight w:val="269"/>
          <w:jc w:val="center"/>
        </w:trPr>
        <w:tc>
          <w:tcPr>
            <w:tcW w:w="2694" w:type="dxa"/>
            <w:vMerge w:val="restart"/>
            <w:tcBorders>
              <w:top w:val="single" w:sz="4" w:space="0" w:color="auto"/>
            </w:tcBorders>
            <w:vAlign w:val="center"/>
          </w:tcPr>
          <w:p w14:paraId="1871EAC5"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Total</w:t>
            </w:r>
          </w:p>
        </w:tc>
        <w:tc>
          <w:tcPr>
            <w:tcW w:w="2835" w:type="dxa"/>
            <w:gridSpan w:val="2"/>
            <w:tcBorders>
              <w:top w:val="single" w:sz="4" w:space="0" w:color="auto"/>
            </w:tcBorders>
            <w:vAlign w:val="center"/>
          </w:tcPr>
          <w:p w14:paraId="65483F50" w14:textId="77777777" w:rsidR="00F91208" w:rsidRPr="003F3FAF" w:rsidRDefault="00F91208" w:rsidP="003F3FAF">
            <w:pPr>
              <w:spacing w:line="360" w:lineRule="auto"/>
              <w:ind w:left="34" w:right="49"/>
              <w:jc w:val="both"/>
              <w:rPr>
                <w:rFonts w:ascii="Times New Roman" w:hAnsi="Times New Roman" w:cs="Times New Roman"/>
                <w:sz w:val="24"/>
                <w:szCs w:val="24"/>
              </w:rPr>
            </w:pPr>
            <w:r w:rsidRPr="003F3FAF">
              <w:rPr>
                <w:rFonts w:ascii="Times New Roman" w:hAnsi="Times New Roman" w:cs="Times New Roman"/>
                <w:sz w:val="24"/>
                <w:szCs w:val="24"/>
              </w:rPr>
              <w:t>11</w:t>
            </w:r>
          </w:p>
        </w:tc>
        <w:tc>
          <w:tcPr>
            <w:tcW w:w="2531" w:type="dxa"/>
            <w:gridSpan w:val="2"/>
            <w:tcBorders>
              <w:top w:val="single" w:sz="4" w:space="0" w:color="auto"/>
            </w:tcBorders>
            <w:vAlign w:val="center"/>
          </w:tcPr>
          <w:p w14:paraId="1FB1BF4C"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11</w:t>
            </w:r>
          </w:p>
        </w:tc>
      </w:tr>
      <w:tr w:rsidR="00F91208" w:rsidRPr="00505A5A" w14:paraId="4C30A4E3" w14:textId="77777777" w:rsidTr="003F3FAF">
        <w:trPr>
          <w:trHeight w:val="272"/>
          <w:jc w:val="center"/>
        </w:trPr>
        <w:tc>
          <w:tcPr>
            <w:tcW w:w="2694" w:type="dxa"/>
            <w:vMerge/>
            <w:vAlign w:val="center"/>
          </w:tcPr>
          <w:p w14:paraId="28C5D660" w14:textId="77777777" w:rsidR="00F91208" w:rsidRPr="003F3FAF" w:rsidRDefault="00F91208" w:rsidP="003F3FAF">
            <w:pPr>
              <w:spacing w:line="360" w:lineRule="auto"/>
              <w:ind w:right="49"/>
              <w:jc w:val="both"/>
              <w:rPr>
                <w:rFonts w:ascii="Times New Roman" w:hAnsi="Times New Roman" w:cs="Times New Roman"/>
                <w:sz w:val="24"/>
                <w:szCs w:val="24"/>
              </w:rPr>
            </w:pPr>
          </w:p>
        </w:tc>
        <w:tc>
          <w:tcPr>
            <w:tcW w:w="1559" w:type="dxa"/>
            <w:vAlign w:val="center"/>
          </w:tcPr>
          <w:p w14:paraId="48BDE3B6"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Ingreso</w:t>
            </w:r>
          </w:p>
        </w:tc>
        <w:tc>
          <w:tcPr>
            <w:tcW w:w="1276" w:type="dxa"/>
            <w:vAlign w:val="center"/>
          </w:tcPr>
          <w:p w14:paraId="37D5A35C"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Egreso</w:t>
            </w:r>
          </w:p>
        </w:tc>
        <w:tc>
          <w:tcPr>
            <w:tcW w:w="1275" w:type="dxa"/>
            <w:vAlign w:val="center"/>
          </w:tcPr>
          <w:p w14:paraId="19E8C150"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Ingreso</w:t>
            </w:r>
          </w:p>
        </w:tc>
        <w:tc>
          <w:tcPr>
            <w:tcW w:w="1256" w:type="dxa"/>
            <w:vAlign w:val="center"/>
          </w:tcPr>
          <w:p w14:paraId="114CD915"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Egreso</w:t>
            </w:r>
          </w:p>
        </w:tc>
      </w:tr>
      <w:tr w:rsidR="00F91208" w:rsidRPr="00505A5A" w14:paraId="1E51241A" w14:textId="77777777" w:rsidTr="003F3FAF">
        <w:trPr>
          <w:trHeight w:val="299"/>
          <w:jc w:val="center"/>
        </w:trPr>
        <w:tc>
          <w:tcPr>
            <w:tcW w:w="2694" w:type="dxa"/>
            <w:vAlign w:val="center"/>
          </w:tcPr>
          <w:p w14:paraId="01328364"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IMC (kg/m</w:t>
            </w:r>
            <w:r w:rsidRPr="003F3FAF">
              <w:rPr>
                <w:rFonts w:ascii="Times New Roman" w:hAnsi="Times New Roman" w:cs="Times New Roman"/>
                <w:sz w:val="24"/>
                <w:szCs w:val="24"/>
                <w:vertAlign w:val="superscript"/>
              </w:rPr>
              <w:t>2</w:t>
            </w:r>
            <w:r w:rsidRPr="003F3FAF">
              <w:rPr>
                <w:rFonts w:ascii="Times New Roman" w:hAnsi="Times New Roman" w:cs="Times New Roman"/>
                <w:sz w:val="24"/>
                <w:szCs w:val="24"/>
              </w:rPr>
              <w:t>)</w:t>
            </w:r>
          </w:p>
        </w:tc>
        <w:tc>
          <w:tcPr>
            <w:tcW w:w="1559" w:type="dxa"/>
            <w:vAlign w:val="center"/>
          </w:tcPr>
          <w:p w14:paraId="09E74E86"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26.6 (3.0)</w:t>
            </w:r>
          </w:p>
        </w:tc>
        <w:tc>
          <w:tcPr>
            <w:tcW w:w="1276" w:type="dxa"/>
            <w:vAlign w:val="center"/>
          </w:tcPr>
          <w:p w14:paraId="09BC3131"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25.4 (2.6)</w:t>
            </w:r>
          </w:p>
        </w:tc>
        <w:tc>
          <w:tcPr>
            <w:tcW w:w="1275" w:type="dxa"/>
            <w:vAlign w:val="center"/>
          </w:tcPr>
          <w:p w14:paraId="13B7E0DC"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27.0 (8.0)</w:t>
            </w:r>
          </w:p>
        </w:tc>
        <w:tc>
          <w:tcPr>
            <w:tcW w:w="1256" w:type="dxa"/>
            <w:vAlign w:val="center"/>
          </w:tcPr>
          <w:p w14:paraId="103A0EA9"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25.6 (5.9)</w:t>
            </w:r>
          </w:p>
        </w:tc>
      </w:tr>
      <w:tr w:rsidR="00F91208" w:rsidRPr="00505A5A" w14:paraId="47CB17C4" w14:textId="77777777" w:rsidTr="003F3FAF">
        <w:trPr>
          <w:trHeight w:val="299"/>
          <w:jc w:val="center"/>
        </w:trPr>
        <w:tc>
          <w:tcPr>
            <w:tcW w:w="2694" w:type="dxa"/>
            <w:vAlign w:val="center"/>
          </w:tcPr>
          <w:p w14:paraId="29E2CC35"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Peso (kg)</w:t>
            </w:r>
          </w:p>
        </w:tc>
        <w:tc>
          <w:tcPr>
            <w:tcW w:w="1559" w:type="dxa"/>
            <w:vAlign w:val="center"/>
          </w:tcPr>
          <w:p w14:paraId="7CC0C569"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54.1 (18.2)</w:t>
            </w:r>
          </w:p>
        </w:tc>
        <w:tc>
          <w:tcPr>
            <w:tcW w:w="1276" w:type="dxa"/>
            <w:vAlign w:val="center"/>
          </w:tcPr>
          <w:p w14:paraId="0A623F87"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52.4(17.9)</w:t>
            </w:r>
          </w:p>
        </w:tc>
        <w:tc>
          <w:tcPr>
            <w:tcW w:w="1275" w:type="dxa"/>
            <w:vAlign w:val="center"/>
          </w:tcPr>
          <w:p w14:paraId="762BC8F9"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70.2 (10.7)</w:t>
            </w:r>
          </w:p>
        </w:tc>
        <w:tc>
          <w:tcPr>
            <w:tcW w:w="1256" w:type="dxa"/>
            <w:vAlign w:val="center"/>
          </w:tcPr>
          <w:p w14:paraId="08C9FBBC"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75.0 (18.4) *</w:t>
            </w:r>
          </w:p>
        </w:tc>
      </w:tr>
      <w:tr w:rsidR="00F91208" w:rsidRPr="00505A5A" w14:paraId="51406C1E" w14:textId="77777777" w:rsidTr="003F3FAF">
        <w:trPr>
          <w:trHeight w:val="299"/>
          <w:jc w:val="center"/>
        </w:trPr>
        <w:tc>
          <w:tcPr>
            <w:tcW w:w="2694" w:type="dxa"/>
            <w:vAlign w:val="center"/>
          </w:tcPr>
          <w:p w14:paraId="555B8415"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Pliegue tricipital (cm)</w:t>
            </w:r>
          </w:p>
        </w:tc>
        <w:tc>
          <w:tcPr>
            <w:tcW w:w="1559" w:type="dxa"/>
            <w:vAlign w:val="center"/>
          </w:tcPr>
          <w:p w14:paraId="32E6F737"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14.7 (7.5)</w:t>
            </w:r>
          </w:p>
        </w:tc>
        <w:tc>
          <w:tcPr>
            <w:tcW w:w="1276" w:type="dxa"/>
            <w:vAlign w:val="center"/>
          </w:tcPr>
          <w:p w14:paraId="61A6CDCC"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15.2 (8.5)</w:t>
            </w:r>
          </w:p>
        </w:tc>
        <w:tc>
          <w:tcPr>
            <w:tcW w:w="1275" w:type="dxa"/>
            <w:vAlign w:val="center"/>
          </w:tcPr>
          <w:p w14:paraId="5731FCA0"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16.9 (9.2)</w:t>
            </w:r>
          </w:p>
        </w:tc>
        <w:tc>
          <w:tcPr>
            <w:tcW w:w="1256" w:type="dxa"/>
            <w:vAlign w:val="center"/>
          </w:tcPr>
          <w:p w14:paraId="33B56715"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15.7 (9.3)</w:t>
            </w:r>
          </w:p>
        </w:tc>
      </w:tr>
      <w:tr w:rsidR="00F91208" w:rsidRPr="00505A5A" w14:paraId="524C4525" w14:textId="77777777" w:rsidTr="003F3FAF">
        <w:trPr>
          <w:trHeight w:val="299"/>
          <w:jc w:val="center"/>
        </w:trPr>
        <w:tc>
          <w:tcPr>
            <w:tcW w:w="2694" w:type="dxa"/>
            <w:vAlign w:val="center"/>
          </w:tcPr>
          <w:p w14:paraId="2F808C6C"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Diámetro medio braquial (cm)</w:t>
            </w:r>
          </w:p>
        </w:tc>
        <w:tc>
          <w:tcPr>
            <w:tcW w:w="1559" w:type="dxa"/>
            <w:vAlign w:val="center"/>
          </w:tcPr>
          <w:p w14:paraId="7197D6AF"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33.9 (11.2)</w:t>
            </w:r>
          </w:p>
        </w:tc>
        <w:tc>
          <w:tcPr>
            <w:tcW w:w="1276" w:type="dxa"/>
            <w:vAlign w:val="center"/>
          </w:tcPr>
          <w:p w14:paraId="6913F467"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33.4 (11.4)</w:t>
            </w:r>
          </w:p>
        </w:tc>
        <w:tc>
          <w:tcPr>
            <w:tcW w:w="1275" w:type="dxa"/>
            <w:vAlign w:val="center"/>
          </w:tcPr>
          <w:p w14:paraId="3D9404EF"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30.2 (5.5)</w:t>
            </w:r>
          </w:p>
        </w:tc>
        <w:tc>
          <w:tcPr>
            <w:tcW w:w="1256" w:type="dxa"/>
            <w:vAlign w:val="center"/>
          </w:tcPr>
          <w:p w14:paraId="728E25C7"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28.7 (4.1)</w:t>
            </w:r>
          </w:p>
        </w:tc>
      </w:tr>
      <w:tr w:rsidR="00F91208" w:rsidRPr="00505A5A" w14:paraId="4D4695F4" w14:textId="77777777" w:rsidTr="003F3FAF">
        <w:trPr>
          <w:trHeight w:val="299"/>
          <w:jc w:val="center"/>
        </w:trPr>
        <w:tc>
          <w:tcPr>
            <w:tcW w:w="2694" w:type="dxa"/>
            <w:vAlign w:val="center"/>
          </w:tcPr>
          <w:p w14:paraId="53056E0A"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Perímetro muscular medio braquial (cm)</w:t>
            </w:r>
          </w:p>
        </w:tc>
        <w:tc>
          <w:tcPr>
            <w:tcW w:w="1559" w:type="dxa"/>
            <w:vAlign w:val="center"/>
          </w:tcPr>
          <w:p w14:paraId="125B480F"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37.2 (24.7)</w:t>
            </w:r>
          </w:p>
        </w:tc>
        <w:tc>
          <w:tcPr>
            <w:tcW w:w="1276" w:type="dxa"/>
            <w:vAlign w:val="center"/>
          </w:tcPr>
          <w:p w14:paraId="52E8136E"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17.2 (9.2)</w:t>
            </w:r>
          </w:p>
        </w:tc>
        <w:tc>
          <w:tcPr>
            <w:tcW w:w="1275" w:type="dxa"/>
            <w:vAlign w:val="center"/>
          </w:tcPr>
          <w:p w14:paraId="2C3E54B4"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27.2 (7.1)</w:t>
            </w:r>
          </w:p>
        </w:tc>
        <w:tc>
          <w:tcPr>
            <w:tcW w:w="1256" w:type="dxa"/>
            <w:vAlign w:val="center"/>
          </w:tcPr>
          <w:p w14:paraId="6E444CE3"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26.5 (5.6)</w:t>
            </w:r>
          </w:p>
        </w:tc>
      </w:tr>
      <w:tr w:rsidR="00F91208" w:rsidRPr="00505A5A" w14:paraId="168352DC" w14:textId="77777777" w:rsidTr="003F3FAF">
        <w:trPr>
          <w:trHeight w:val="299"/>
          <w:jc w:val="center"/>
        </w:trPr>
        <w:tc>
          <w:tcPr>
            <w:tcW w:w="2694" w:type="dxa"/>
            <w:vAlign w:val="center"/>
          </w:tcPr>
          <w:p w14:paraId="27F3844A" w14:textId="436F357D"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Alb</w:t>
            </w:r>
            <w:r w:rsidR="00940CF8">
              <w:rPr>
                <w:rFonts w:ascii="Times New Roman" w:hAnsi="Times New Roman" w:cs="Times New Roman"/>
                <w:sz w:val="24"/>
                <w:szCs w:val="24"/>
              </w:rPr>
              <w:t>ú</w:t>
            </w:r>
            <w:r w:rsidRPr="003F3FAF">
              <w:rPr>
                <w:rFonts w:ascii="Times New Roman" w:hAnsi="Times New Roman" w:cs="Times New Roman"/>
                <w:sz w:val="24"/>
                <w:szCs w:val="24"/>
              </w:rPr>
              <w:t>mina (g/</w:t>
            </w:r>
            <w:proofErr w:type="spellStart"/>
            <w:r w:rsidRPr="003F3FAF">
              <w:rPr>
                <w:rFonts w:ascii="Times New Roman" w:hAnsi="Times New Roman" w:cs="Times New Roman"/>
                <w:sz w:val="24"/>
                <w:szCs w:val="24"/>
              </w:rPr>
              <w:t>dL</w:t>
            </w:r>
            <w:proofErr w:type="spellEnd"/>
            <w:r w:rsidRPr="003F3FAF">
              <w:rPr>
                <w:rFonts w:ascii="Times New Roman" w:hAnsi="Times New Roman" w:cs="Times New Roman"/>
                <w:sz w:val="24"/>
                <w:szCs w:val="24"/>
              </w:rPr>
              <w:t>)</w:t>
            </w:r>
          </w:p>
        </w:tc>
        <w:tc>
          <w:tcPr>
            <w:tcW w:w="1559" w:type="dxa"/>
            <w:vAlign w:val="center"/>
          </w:tcPr>
          <w:p w14:paraId="4426CBC5"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2.8 (.86)</w:t>
            </w:r>
          </w:p>
        </w:tc>
        <w:tc>
          <w:tcPr>
            <w:tcW w:w="1276" w:type="dxa"/>
            <w:vAlign w:val="center"/>
          </w:tcPr>
          <w:p w14:paraId="1F6429F2"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2.3 (.82)</w:t>
            </w:r>
          </w:p>
        </w:tc>
        <w:tc>
          <w:tcPr>
            <w:tcW w:w="1275" w:type="dxa"/>
            <w:vAlign w:val="center"/>
          </w:tcPr>
          <w:p w14:paraId="60A9F989"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2.8 (1.0)</w:t>
            </w:r>
          </w:p>
        </w:tc>
        <w:tc>
          <w:tcPr>
            <w:tcW w:w="1256" w:type="dxa"/>
            <w:vAlign w:val="center"/>
          </w:tcPr>
          <w:p w14:paraId="73D6E7B0"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2.8 (.63)</w:t>
            </w:r>
          </w:p>
        </w:tc>
      </w:tr>
      <w:tr w:rsidR="00F91208" w:rsidRPr="00505A5A" w14:paraId="5B8C747B" w14:textId="77777777" w:rsidTr="003F3FAF">
        <w:trPr>
          <w:trHeight w:val="299"/>
          <w:jc w:val="center"/>
        </w:trPr>
        <w:tc>
          <w:tcPr>
            <w:tcW w:w="2694" w:type="dxa"/>
            <w:vAlign w:val="center"/>
          </w:tcPr>
          <w:p w14:paraId="470E8894"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Proteínas totales (g/</w:t>
            </w:r>
            <w:proofErr w:type="spellStart"/>
            <w:r w:rsidRPr="003F3FAF">
              <w:rPr>
                <w:rFonts w:ascii="Times New Roman" w:hAnsi="Times New Roman" w:cs="Times New Roman"/>
                <w:sz w:val="24"/>
                <w:szCs w:val="24"/>
              </w:rPr>
              <w:t>dL</w:t>
            </w:r>
            <w:proofErr w:type="spellEnd"/>
            <w:r w:rsidRPr="003F3FAF">
              <w:rPr>
                <w:rFonts w:ascii="Times New Roman" w:hAnsi="Times New Roman" w:cs="Times New Roman"/>
                <w:sz w:val="24"/>
                <w:szCs w:val="24"/>
              </w:rPr>
              <w:t>)</w:t>
            </w:r>
          </w:p>
        </w:tc>
        <w:tc>
          <w:tcPr>
            <w:tcW w:w="1559" w:type="dxa"/>
            <w:vAlign w:val="center"/>
          </w:tcPr>
          <w:p w14:paraId="139A7A9F"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5.3 (1.0)</w:t>
            </w:r>
          </w:p>
        </w:tc>
        <w:tc>
          <w:tcPr>
            <w:tcW w:w="1276" w:type="dxa"/>
            <w:vAlign w:val="center"/>
          </w:tcPr>
          <w:p w14:paraId="285EEBF9"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4.9 (1.6)</w:t>
            </w:r>
          </w:p>
        </w:tc>
        <w:tc>
          <w:tcPr>
            <w:tcW w:w="1275" w:type="dxa"/>
            <w:vAlign w:val="center"/>
          </w:tcPr>
          <w:p w14:paraId="5C8F6A80"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4.9 (.96)</w:t>
            </w:r>
          </w:p>
        </w:tc>
        <w:tc>
          <w:tcPr>
            <w:tcW w:w="1256" w:type="dxa"/>
            <w:vAlign w:val="center"/>
          </w:tcPr>
          <w:p w14:paraId="04F58F70"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5.5 (1.3) *</w:t>
            </w:r>
          </w:p>
        </w:tc>
      </w:tr>
      <w:tr w:rsidR="00F91208" w:rsidRPr="00505A5A" w14:paraId="126F4E51" w14:textId="77777777" w:rsidTr="003F3FAF">
        <w:trPr>
          <w:trHeight w:val="299"/>
          <w:jc w:val="center"/>
        </w:trPr>
        <w:tc>
          <w:tcPr>
            <w:tcW w:w="2694" w:type="dxa"/>
            <w:vAlign w:val="center"/>
          </w:tcPr>
          <w:p w14:paraId="365D86C0"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Leucocitos (mg/</w:t>
            </w:r>
            <w:proofErr w:type="spellStart"/>
            <w:r w:rsidRPr="003F3FAF">
              <w:rPr>
                <w:rFonts w:ascii="Times New Roman" w:hAnsi="Times New Roman" w:cs="Times New Roman"/>
                <w:sz w:val="24"/>
                <w:szCs w:val="24"/>
              </w:rPr>
              <w:t>dL</w:t>
            </w:r>
            <w:proofErr w:type="spellEnd"/>
            <w:r w:rsidRPr="003F3FAF">
              <w:rPr>
                <w:rFonts w:ascii="Times New Roman" w:hAnsi="Times New Roman" w:cs="Times New Roman"/>
                <w:sz w:val="24"/>
                <w:szCs w:val="24"/>
              </w:rPr>
              <w:t>)</w:t>
            </w:r>
          </w:p>
        </w:tc>
        <w:tc>
          <w:tcPr>
            <w:tcW w:w="1559" w:type="dxa"/>
            <w:vAlign w:val="center"/>
          </w:tcPr>
          <w:p w14:paraId="3D073517"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9,793 (37)</w:t>
            </w:r>
          </w:p>
        </w:tc>
        <w:tc>
          <w:tcPr>
            <w:tcW w:w="1276" w:type="dxa"/>
            <w:vAlign w:val="center"/>
          </w:tcPr>
          <w:p w14:paraId="588C75D1"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8,559 (82.2) *</w:t>
            </w:r>
          </w:p>
        </w:tc>
        <w:tc>
          <w:tcPr>
            <w:tcW w:w="1275" w:type="dxa"/>
            <w:vAlign w:val="center"/>
          </w:tcPr>
          <w:p w14:paraId="1F90B130"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19,732 (17.0)</w:t>
            </w:r>
          </w:p>
        </w:tc>
        <w:tc>
          <w:tcPr>
            <w:tcW w:w="1256" w:type="dxa"/>
            <w:vAlign w:val="center"/>
          </w:tcPr>
          <w:p w14:paraId="0CEA4540"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25,343 (40.8) *</w:t>
            </w:r>
          </w:p>
        </w:tc>
      </w:tr>
      <w:tr w:rsidR="00F91208" w:rsidRPr="00505A5A" w14:paraId="31A02BA7" w14:textId="77777777" w:rsidTr="003F3FAF">
        <w:trPr>
          <w:trHeight w:val="299"/>
          <w:jc w:val="center"/>
        </w:trPr>
        <w:tc>
          <w:tcPr>
            <w:tcW w:w="2694" w:type="dxa"/>
            <w:tcBorders>
              <w:bottom w:val="single" w:sz="4" w:space="0" w:color="auto"/>
            </w:tcBorders>
            <w:vAlign w:val="center"/>
          </w:tcPr>
          <w:p w14:paraId="531C3764"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Linfocitos (mg/</w:t>
            </w:r>
            <w:proofErr w:type="spellStart"/>
            <w:r w:rsidRPr="003F3FAF">
              <w:rPr>
                <w:rFonts w:ascii="Times New Roman" w:hAnsi="Times New Roman" w:cs="Times New Roman"/>
                <w:sz w:val="24"/>
                <w:szCs w:val="24"/>
              </w:rPr>
              <w:t>dL</w:t>
            </w:r>
            <w:proofErr w:type="spellEnd"/>
            <w:r w:rsidRPr="003F3FAF">
              <w:rPr>
                <w:rFonts w:ascii="Times New Roman" w:hAnsi="Times New Roman" w:cs="Times New Roman"/>
                <w:sz w:val="24"/>
                <w:szCs w:val="24"/>
              </w:rPr>
              <w:t>)</w:t>
            </w:r>
          </w:p>
        </w:tc>
        <w:tc>
          <w:tcPr>
            <w:tcW w:w="1559" w:type="dxa"/>
            <w:tcBorders>
              <w:bottom w:val="single" w:sz="4" w:space="0" w:color="auto"/>
            </w:tcBorders>
            <w:vAlign w:val="center"/>
          </w:tcPr>
          <w:p w14:paraId="7C85D97B"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11.7 (10.6)</w:t>
            </w:r>
          </w:p>
        </w:tc>
        <w:tc>
          <w:tcPr>
            <w:tcW w:w="1276" w:type="dxa"/>
            <w:tcBorders>
              <w:bottom w:val="single" w:sz="4" w:space="0" w:color="auto"/>
            </w:tcBorders>
            <w:vAlign w:val="center"/>
          </w:tcPr>
          <w:p w14:paraId="35F541F0"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11.17 (10.6)</w:t>
            </w:r>
          </w:p>
        </w:tc>
        <w:tc>
          <w:tcPr>
            <w:tcW w:w="1275" w:type="dxa"/>
            <w:tcBorders>
              <w:bottom w:val="single" w:sz="4" w:space="0" w:color="auto"/>
            </w:tcBorders>
            <w:vAlign w:val="center"/>
          </w:tcPr>
          <w:p w14:paraId="1CEF7094"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8.10 (43)</w:t>
            </w:r>
          </w:p>
        </w:tc>
        <w:tc>
          <w:tcPr>
            <w:tcW w:w="1256" w:type="dxa"/>
            <w:tcBorders>
              <w:bottom w:val="single" w:sz="4" w:space="0" w:color="auto"/>
            </w:tcBorders>
            <w:vAlign w:val="center"/>
          </w:tcPr>
          <w:p w14:paraId="28BE8FD2"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15.4 (7.2)*</w:t>
            </w:r>
          </w:p>
        </w:tc>
      </w:tr>
    </w:tbl>
    <w:p w14:paraId="1664F249" w14:textId="3D8F41E1" w:rsidR="00505A5A" w:rsidRPr="003F3FAF" w:rsidRDefault="00F91208" w:rsidP="003F3FAF">
      <w:pPr>
        <w:spacing w:after="0" w:line="360" w:lineRule="auto"/>
        <w:ind w:right="49"/>
        <w:jc w:val="both"/>
        <w:rPr>
          <w:rFonts w:ascii="Times New Roman" w:hAnsi="Times New Roman" w:cs="Times New Roman"/>
          <w:sz w:val="20"/>
          <w:szCs w:val="20"/>
        </w:rPr>
      </w:pPr>
      <w:r w:rsidRPr="003F3FAF">
        <w:rPr>
          <w:rFonts w:ascii="Times New Roman" w:hAnsi="Times New Roman" w:cs="Times New Roman"/>
          <w:sz w:val="20"/>
          <w:szCs w:val="20"/>
        </w:rPr>
        <w:t>(N=22); *p&lt;0.001</w:t>
      </w:r>
    </w:p>
    <w:p w14:paraId="62CE8DF5" w14:textId="7AE2A2C1" w:rsidR="00F91208" w:rsidRPr="003F3FAF" w:rsidRDefault="00F91208" w:rsidP="003F3FAF">
      <w:pPr>
        <w:spacing w:after="0" w:line="360" w:lineRule="auto"/>
        <w:ind w:right="51"/>
        <w:jc w:val="center"/>
        <w:rPr>
          <w:rFonts w:ascii="Times New Roman" w:hAnsi="Times New Roman" w:cs="Times New Roman"/>
          <w:sz w:val="32"/>
          <w:szCs w:val="32"/>
        </w:rPr>
      </w:pPr>
      <w:r w:rsidRPr="003F3FAF">
        <w:rPr>
          <w:rFonts w:ascii="Times New Roman" w:hAnsi="Times New Roman" w:cs="Times New Roman"/>
          <w:sz w:val="24"/>
          <w:szCs w:val="24"/>
        </w:rPr>
        <w:t xml:space="preserve">Fuente: </w:t>
      </w:r>
      <w:r w:rsidR="000E4AC1">
        <w:rPr>
          <w:rFonts w:ascii="Times New Roman" w:hAnsi="Times New Roman" w:cs="Times New Roman"/>
          <w:sz w:val="24"/>
          <w:szCs w:val="24"/>
        </w:rPr>
        <w:t>Elaboración propia</w:t>
      </w:r>
    </w:p>
    <w:p w14:paraId="38FE0165" w14:textId="77777777" w:rsidR="000D5B95" w:rsidRDefault="000D5B95" w:rsidP="000D5B95">
      <w:pPr>
        <w:tabs>
          <w:tab w:val="left" w:pos="1125"/>
        </w:tabs>
        <w:spacing w:after="0" w:line="360" w:lineRule="auto"/>
        <w:ind w:right="51"/>
        <w:jc w:val="both"/>
        <w:rPr>
          <w:rFonts w:ascii="Times New Roman" w:hAnsi="Times New Roman" w:cs="Times New Roman"/>
          <w:sz w:val="16"/>
          <w:szCs w:val="16"/>
        </w:rPr>
      </w:pPr>
    </w:p>
    <w:p w14:paraId="3F5680D9" w14:textId="1F15FA43" w:rsidR="00F13115" w:rsidRDefault="000E4AC1" w:rsidP="003F3FAF">
      <w:pPr>
        <w:spacing w:after="0" w:line="360" w:lineRule="auto"/>
        <w:ind w:right="51"/>
        <w:jc w:val="both"/>
        <w:rPr>
          <w:rFonts w:ascii="Times New Roman" w:hAnsi="Times New Roman" w:cs="Times New Roman"/>
          <w:sz w:val="24"/>
          <w:szCs w:val="24"/>
        </w:rPr>
      </w:pPr>
      <w:r>
        <w:rPr>
          <w:rFonts w:ascii="Times New Roman" w:hAnsi="Times New Roman" w:cs="Times New Roman"/>
          <w:sz w:val="16"/>
          <w:szCs w:val="16"/>
        </w:rPr>
        <w:tab/>
      </w:r>
      <w:r w:rsidR="00F13115" w:rsidRPr="00DB3115">
        <w:rPr>
          <w:rFonts w:ascii="Times New Roman" w:hAnsi="Times New Roman" w:cs="Times New Roman"/>
          <w:sz w:val="24"/>
          <w:szCs w:val="24"/>
        </w:rPr>
        <w:t>Los pacientes del grupo con NETI presentaron mayor tipo de patologías asociadas al TCE a su ingreso a la UCI, como hemorragia parenquimatosa, hematoma epidural, subdural y fracturas, sin encontra</w:t>
      </w:r>
      <w:r w:rsidR="00907090">
        <w:rPr>
          <w:rFonts w:ascii="Times New Roman" w:hAnsi="Times New Roman" w:cs="Times New Roman"/>
          <w:sz w:val="24"/>
          <w:szCs w:val="24"/>
        </w:rPr>
        <w:t>r</w:t>
      </w:r>
      <w:r w:rsidR="00F13115" w:rsidRPr="00DB3115">
        <w:rPr>
          <w:rFonts w:ascii="Times New Roman" w:hAnsi="Times New Roman" w:cs="Times New Roman"/>
          <w:sz w:val="24"/>
          <w:szCs w:val="24"/>
        </w:rPr>
        <w:t>se diferencias significativas (</w:t>
      </w:r>
      <w:r>
        <w:rPr>
          <w:rFonts w:ascii="Times New Roman" w:hAnsi="Times New Roman" w:cs="Times New Roman"/>
          <w:sz w:val="24"/>
          <w:szCs w:val="24"/>
        </w:rPr>
        <w:t>véase tabla 3</w:t>
      </w:r>
      <w:r w:rsidR="00F13115" w:rsidRPr="00DB3115">
        <w:rPr>
          <w:rFonts w:ascii="Times New Roman" w:hAnsi="Times New Roman" w:cs="Times New Roman"/>
          <w:sz w:val="24"/>
          <w:szCs w:val="24"/>
        </w:rPr>
        <w:t>).</w:t>
      </w:r>
    </w:p>
    <w:p w14:paraId="2CE04A2F" w14:textId="77777777" w:rsidR="000E4AC1" w:rsidRDefault="000E4AC1" w:rsidP="003F3FAF">
      <w:pPr>
        <w:tabs>
          <w:tab w:val="left" w:pos="1125"/>
        </w:tabs>
        <w:spacing w:after="0" w:line="360" w:lineRule="auto"/>
        <w:ind w:right="51"/>
        <w:jc w:val="both"/>
        <w:rPr>
          <w:rFonts w:ascii="Times New Roman" w:hAnsi="Times New Roman" w:cs="Times New Roman"/>
          <w:sz w:val="28"/>
          <w:szCs w:val="28"/>
        </w:rPr>
      </w:pPr>
    </w:p>
    <w:p w14:paraId="381C0AD3" w14:textId="77777777" w:rsidR="00647DB0" w:rsidRDefault="00647DB0" w:rsidP="003F3FAF">
      <w:pPr>
        <w:tabs>
          <w:tab w:val="left" w:pos="1125"/>
        </w:tabs>
        <w:spacing w:after="0" w:line="360" w:lineRule="auto"/>
        <w:ind w:right="51"/>
        <w:jc w:val="both"/>
        <w:rPr>
          <w:rFonts w:ascii="Times New Roman" w:hAnsi="Times New Roman" w:cs="Times New Roman"/>
          <w:sz w:val="28"/>
          <w:szCs w:val="28"/>
        </w:rPr>
      </w:pPr>
    </w:p>
    <w:p w14:paraId="495AFE04" w14:textId="77777777" w:rsidR="00647DB0" w:rsidRPr="003F3FAF" w:rsidRDefault="00647DB0" w:rsidP="003F3FAF">
      <w:pPr>
        <w:tabs>
          <w:tab w:val="left" w:pos="1125"/>
        </w:tabs>
        <w:spacing w:after="0" w:line="360" w:lineRule="auto"/>
        <w:ind w:right="51"/>
        <w:jc w:val="both"/>
        <w:rPr>
          <w:rFonts w:ascii="Times New Roman" w:hAnsi="Times New Roman" w:cs="Times New Roman"/>
          <w:sz w:val="28"/>
          <w:szCs w:val="28"/>
        </w:rPr>
      </w:pPr>
    </w:p>
    <w:p w14:paraId="2F2749CA" w14:textId="25098CD4" w:rsidR="00F91208" w:rsidRDefault="000E4AC1" w:rsidP="003F3FAF">
      <w:pPr>
        <w:spacing w:after="0" w:line="360" w:lineRule="auto"/>
        <w:ind w:right="49"/>
        <w:jc w:val="center"/>
        <w:rPr>
          <w:rFonts w:ascii="Times New Roman" w:hAnsi="Times New Roman" w:cs="Times New Roman"/>
          <w:sz w:val="24"/>
          <w:szCs w:val="24"/>
        </w:rPr>
      </w:pPr>
      <w:r w:rsidRPr="00152674">
        <w:rPr>
          <w:rFonts w:ascii="Times New Roman" w:hAnsi="Times New Roman" w:cs="Times New Roman"/>
          <w:b/>
          <w:bCs/>
          <w:sz w:val="24"/>
          <w:szCs w:val="24"/>
        </w:rPr>
        <w:lastRenderedPageBreak/>
        <w:t>Tabla 3</w:t>
      </w:r>
      <w:r w:rsidRPr="00152674">
        <w:rPr>
          <w:rFonts w:ascii="Times New Roman" w:hAnsi="Times New Roman" w:cs="Times New Roman"/>
          <w:sz w:val="24"/>
          <w:szCs w:val="24"/>
        </w:rPr>
        <w:t>. Patologías asociadas al TCE al ingreso a la UCI</w:t>
      </w:r>
    </w:p>
    <w:tbl>
      <w:tblPr>
        <w:tblStyle w:val="Tablaconcuadrcula"/>
        <w:tblpPr w:leftFromText="141" w:rightFromText="141" w:vertAnchor="text" w:horzAnchor="margin" w:tblpY="2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3"/>
      </w:tblGrid>
      <w:tr w:rsidR="00F91208" w:rsidRPr="00505A5A" w14:paraId="45CD1962" w14:textId="77777777" w:rsidTr="00F91208">
        <w:tc>
          <w:tcPr>
            <w:tcW w:w="2882" w:type="dxa"/>
            <w:tcBorders>
              <w:top w:val="single" w:sz="4" w:space="0" w:color="auto"/>
              <w:bottom w:val="single" w:sz="4" w:space="0" w:color="auto"/>
            </w:tcBorders>
            <w:vAlign w:val="center"/>
          </w:tcPr>
          <w:p w14:paraId="1342DD17"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Morbilidad</w:t>
            </w:r>
          </w:p>
        </w:tc>
        <w:tc>
          <w:tcPr>
            <w:tcW w:w="2882" w:type="dxa"/>
            <w:tcBorders>
              <w:top w:val="single" w:sz="4" w:space="0" w:color="auto"/>
              <w:bottom w:val="single" w:sz="4" w:space="0" w:color="auto"/>
            </w:tcBorders>
            <w:vAlign w:val="center"/>
          </w:tcPr>
          <w:p w14:paraId="07288550"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NETL</w:t>
            </w:r>
          </w:p>
          <w:p w14:paraId="388F0C41" w14:textId="70F4C59E" w:rsidR="00F91208" w:rsidRPr="003F3FAF" w:rsidRDefault="000E4AC1"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i/>
                <w:iCs/>
                <w:sz w:val="24"/>
                <w:szCs w:val="24"/>
              </w:rPr>
              <w:t>N</w:t>
            </w:r>
            <w:r>
              <w:rPr>
                <w:rFonts w:ascii="Times New Roman" w:hAnsi="Times New Roman" w:cs="Times New Roman"/>
                <w:sz w:val="24"/>
                <w:szCs w:val="24"/>
              </w:rPr>
              <w:t xml:space="preserve"> </w:t>
            </w:r>
            <w:r w:rsidR="00F91208" w:rsidRPr="003F3FAF">
              <w:rPr>
                <w:rFonts w:ascii="Times New Roman" w:hAnsi="Times New Roman" w:cs="Times New Roman"/>
                <w:sz w:val="24"/>
                <w:szCs w:val="24"/>
              </w:rPr>
              <w:t>=</w:t>
            </w:r>
            <w:r>
              <w:rPr>
                <w:rFonts w:ascii="Times New Roman" w:hAnsi="Times New Roman" w:cs="Times New Roman"/>
                <w:sz w:val="24"/>
                <w:szCs w:val="24"/>
              </w:rPr>
              <w:t xml:space="preserve"> </w:t>
            </w:r>
            <w:r w:rsidR="00F91208" w:rsidRPr="003F3FAF">
              <w:rPr>
                <w:rFonts w:ascii="Times New Roman" w:hAnsi="Times New Roman" w:cs="Times New Roman"/>
                <w:sz w:val="24"/>
                <w:szCs w:val="24"/>
              </w:rPr>
              <w:t>11</w:t>
            </w:r>
          </w:p>
          <w:p w14:paraId="62D5EA4F"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Frecuencia (%)</w:t>
            </w:r>
          </w:p>
        </w:tc>
        <w:tc>
          <w:tcPr>
            <w:tcW w:w="2883" w:type="dxa"/>
            <w:tcBorders>
              <w:top w:val="single" w:sz="4" w:space="0" w:color="auto"/>
              <w:bottom w:val="single" w:sz="4" w:space="0" w:color="auto"/>
            </w:tcBorders>
            <w:vAlign w:val="center"/>
          </w:tcPr>
          <w:p w14:paraId="438ACA97"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NETI</w:t>
            </w:r>
          </w:p>
          <w:p w14:paraId="3E8AE04B" w14:textId="275D7FC6" w:rsidR="00F91208" w:rsidRPr="003F3FAF" w:rsidRDefault="000E4AC1"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i/>
                <w:iCs/>
                <w:sz w:val="24"/>
                <w:szCs w:val="24"/>
              </w:rPr>
              <w:t>N</w:t>
            </w:r>
            <w:r>
              <w:rPr>
                <w:rFonts w:ascii="Times New Roman" w:hAnsi="Times New Roman" w:cs="Times New Roman"/>
                <w:sz w:val="24"/>
                <w:szCs w:val="24"/>
              </w:rPr>
              <w:t xml:space="preserve"> </w:t>
            </w:r>
            <w:r w:rsidR="00F91208" w:rsidRPr="003F3FAF">
              <w:rPr>
                <w:rFonts w:ascii="Times New Roman" w:hAnsi="Times New Roman" w:cs="Times New Roman"/>
                <w:sz w:val="24"/>
                <w:szCs w:val="24"/>
              </w:rPr>
              <w:t>=</w:t>
            </w:r>
            <w:r>
              <w:rPr>
                <w:rFonts w:ascii="Times New Roman" w:hAnsi="Times New Roman" w:cs="Times New Roman"/>
                <w:sz w:val="24"/>
                <w:szCs w:val="24"/>
              </w:rPr>
              <w:t xml:space="preserve"> </w:t>
            </w:r>
            <w:r w:rsidR="00F91208" w:rsidRPr="003F3FAF">
              <w:rPr>
                <w:rFonts w:ascii="Times New Roman" w:hAnsi="Times New Roman" w:cs="Times New Roman"/>
                <w:sz w:val="24"/>
                <w:szCs w:val="24"/>
              </w:rPr>
              <w:t>11</w:t>
            </w:r>
          </w:p>
          <w:p w14:paraId="70CB6420"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Frecuencia (%)</w:t>
            </w:r>
          </w:p>
        </w:tc>
      </w:tr>
      <w:tr w:rsidR="00F91208" w:rsidRPr="00505A5A" w14:paraId="325D8D52" w14:textId="77777777" w:rsidTr="00F91208">
        <w:trPr>
          <w:trHeight w:val="293"/>
        </w:trPr>
        <w:tc>
          <w:tcPr>
            <w:tcW w:w="2882" w:type="dxa"/>
            <w:tcBorders>
              <w:top w:val="single" w:sz="4" w:space="0" w:color="auto"/>
            </w:tcBorders>
            <w:vAlign w:val="center"/>
          </w:tcPr>
          <w:p w14:paraId="6853A4E2"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Daño axonal difuso</w:t>
            </w:r>
          </w:p>
        </w:tc>
        <w:tc>
          <w:tcPr>
            <w:tcW w:w="2882" w:type="dxa"/>
            <w:tcBorders>
              <w:top w:val="single" w:sz="4" w:space="0" w:color="auto"/>
            </w:tcBorders>
            <w:vAlign w:val="center"/>
          </w:tcPr>
          <w:p w14:paraId="6BE95B99"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 (9.1)</w:t>
            </w:r>
          </w:p>
        </w:tc>
        <w:tc>
          <w:tcPr>
            <w:tcW w:w="2883" w:type="dxa"/>
            <w:tcBorders>
              <w:top w:val="single" w:sz="4" w:space="0" w:color="auto"/>
            </w:tcBorders>
            <w:vAlign w:val="center"/>
          </w:tcPr>
          <w:p w14:paraId="726BF331"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 (9.1)</w:t>
            </w:r>
          </w:p>
        </w:tc>
      </w:tr>
      <w:tr w:rsidR="00F91208" w:rsidRPr="00505A5A" w14:paraId="49624AB5" w14:textId="77777777" w:rsidTr="00F91208">
        <w:trPr>
          <w:trHeight w:val="293"/>
        </w:trPr>
        <w:tc>
          <w:tcPr>
            <w:tcW w:w="2882" w:type="dxa"/>
            <w:vAlign w:val="center"/>
          </w:tcPr>
          <w:p w14:paraId="4A0359A1"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Hemorragia parenquimatosa</w:t>
            </w:r>
          </w:p>
        </w:tc>
        <w:tc>
          <w:tcPr>
            <w:tcW w:w="2882" w:type="dxa"/>
            <w:vAlign w:val="center"/>
          </w:tcPr>
          <w:p w14:paraId="7D926354"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0</w:t>
            </w:r>
          </w:p>
        </w:tc>
        <w:tc>
          <w:tcPr>
            <w:tcW w:w="2883" w:type="dxa"/>
            <w:vAlign w:val="center"/>
          </w:tcPr>
          <w:p w14:paraId="73F998A8"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 (9.1)</w:t>
            </w:r>
          </w:p>
        </w:tc>
      </w:tr>
      <w:tr w:rsidR="00F91208" w:rsidRPr="00505A5A" w14:paraId="5EC69842" w14:textId="77777777" w:rsidTr="00F91208">
        <w:trPr>
          <w:trHeight w:val="293"/>
        </w:trPr>
        <w:tc>
          <w:tcPr>
            <w:tcW w:w="2882" w:type="dxa"/>
            <w:vAlign w:val="center"/>
          </w:tcPr>
          <w:p w14:paraId="5AD8EE53"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Hematoma epidural</w:t>
            </w:r>
          </w:p>
        </w:tc>
        <w:tc>
          <w:tcPr>
            <w:tcW w:w="2882" w:type="dxa"/>
            <w:vAlign w:val="center"/>
          </w:tcPr>
          <w:p w14:paraId="4F3BC78F"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 (9.1)</w:t>
            </w:r>
          </w:p>
        </w:tc>
        <w:tc>
          <w:tcPr>
            <w:tcW w:w="2883" w:type="dxa"/>
            <w:vAlign w:val="center"/>
          </w:tcPr>
          <w:p w14:paraId="436397E2"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 (18.2)</w:t>
            </w:r>
          </w:p>
        </w:tc>
      </w:tr>
      <w:tr w:rsidR="00F91208" w:rsidRPr="00505A5A" w14:paraId="2ACCF7A7" w14:textId="77777777" w:rsidTr="00F91208">
        <w:trPr>
          <w:trHeight w:val="293"/>
        </w:trPr>
        <w:tc>
          <w:tcPr>
            <w:tcW w:w="2882" w:type="dxa"/>
            <w:vAlign w:val="center"/>
          </w:tcPr>
          <w:p w14:paraId="03CC100B"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Hematoma subdural</w:t>
            </w:r>
          </w:p>
        </w:tc>
        <w:tc>
          <w:tcPr>
            <w:tcW w:w="2882" w:type="dxa"/>
            <w:vAlign w:val="center"/>
          </w:tcPr>
          <w:p w14:paraId="46903755"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 (9.1)</w:t>
            </w:r>
          </w:p>
        </w:tc>
        <w:tc>
          <w:tcPr>
            <w:tcW w:w="2883" w:type="dxa"/>
            <w:vAlign w:val="center"/>
          </w:tcPr>
          <w:p w14:paraId="25A7A0B5"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4 (36.4)</w:t>
            </w:r>
          </w:p>
        </w:tc>
      </w:tr>
      <w:tr w:rsidR="00F91208" w:rsidRPr="00505A5A" w14:paraId="1B7541A4" w14:textId="77777777" w:rsidTr="00F91208">
        <w:trPr>
          <w:trHeight w:val="293"/>
        </w:trPr>
        <w:tc>
          <w:tcPr>
            <w:tcW w:w="2882" w:type="dxa"/>
            <w:vAlign w:val="center"/>
          </w:tcPr>
          <w:p w14:paraId="1445887A"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Fractura de cráneo</w:t>
            </w:r>
          </w:p>
        </w:tc>
        <w:tc>
          <w:tcPr>
            <w:tcW w:w="2882" w:type="dxa"/>
            <w:vAlign w:val="center"/>
          </w:tcPr>
          <w:p w14:paraId="4A917CBF"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5 (45.5)</w:t>
            </w:r>
          </w:p>
        </w:tc>
        <w:tc>
          <w:tcPr>
            <w:tcW w:w="2883" w:type="dxa"/>
            <w:vAlign w:val="center"/>
          </w:tcPr>
          <w:p w14:paraId="4A6B8FB7"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 (18.2)</w:t>
            </w:r>
          </w:p>
        </w:tc>
      </w:tr>
      <w:tr w:rsidR="00F91208" w:rsidRPr="00505A5A" w14:paraId="18157A9B" w14:textId="77777777" w:rsidTr="00F91208">
        <w:trPr>
          <w:trHeight w:val="293"/>
        </w:trPr>
        <w:tc>
          <w:tcPr>
            <w:tcW w:w="2882" w:type="dxa"/>
            <w:vAlign w:val="center"/>
          </w:tcPr>
          <w:p w14:paraId="7C63E21A"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Fractura costal</w:t>
            </w:r>
          </w:p>
        </w:tc>
        <w:tc>
          <w:tcPr>
            <w:tcW w:w="2882" w:type="dxa"/>
            <w:vAlign w:val="center"/>
          </w:tcPr>
          <w:p w14:paraId="1EE6021F"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 (18.2)</w:t>
            </w:r>
          </w:p>
        </w:tc>
        <w:tc>
          <w:tcPr>
            <w:tcW w:w="2883" w:type="dxa"/>
            <w:vAlign w:val="center"/>
          </w:tcPr>
          <w:p w14:paraId="78EC30B5"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3 (27.3)</w:t>
            </w:r>
          </w:p>
        </w:tc>
      </w:tr>
      <w:tr w:rsidR="00F91208" w:rsidRPr="00505A5A" w14:paraId="0D8344F6" w14:textId="77777777" w:rsidTr="00F91208">
        <w:trPr>
          <w:trHeight w:val="293"/>
        </w:trPr>
        <w:tc>
          <w:tcPr>
            <w:tcW w:w="2882" w:type="dxa"/>
            <w:vAlign w:val="center"/>
          </w:tcPr>
          <w:p w14:paraId="0B0D40B0"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Fractura de tórax</w:t>
            </w:r>
          </w:p>
        </w:tc>
        <w:tc>
          <w:tcPr>
            <w:tcW w:w="2882" w:type="dxa"/>
            <w:vAlign w:val="center"/>
          </w:tcPr>
          <w:p w14:paraId="16775224"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 (9.1)</w:t>
            </w:r>
          </w:p>
        </w:tc>
        <w:tc>
          <w:tcPr>
            <w:tcW w:w="2883" w:type="dxa"/>
            <w:vAlign w:val="center"/>
          </w:tcPr>
          <w:p w14:paraId="7A96FD60"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3 (27.3)</w:t>
            </w:r>
          </w:p>
        </w:tc>
      </w:tr>
      <w:tr w:rsidR="00F91208" w:rsidRPr="00505A5A" w14:paraId="72F74AB6" w14:textId="77777777" w:rsidTr="00F91208">
        <w:trPr>
          <w:trHeight w:val="293"/>
        </w:trPr>
        <w:tc>
          <w:tcPr>
            <w:tcW w:w="2882" w:type="dxa"/>
            <w:tcBorders>
              <w:bottom w:val="single" w:sz="4" w:space="0" w:color="auto"/>
            </w:tcBorders>
            <w:vAlign w:val="center"/>
          </w:tcPr>
          <w:p w14:paraId="7FF95938"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Otras facturas (pelvis, fémur)</w:t>
            </w:r>
          </w:p>
        </w:tc>
        <w:tc>
          <w:tcPr>
            <w:tcW w:w="2882" w:type="dxa"/>
            <w:tcBorders>
              <w:bottom w:val="single" w:sz="4" w:space="0" w:color="auto"/>
            </w:tcBorders>
            <w:vAlign w:val="center"/>
          </w:tcPr>
          <w:p w14:paraId="1BE0C0F7"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0</w:t>
            </w:r>
          </w:p>
        </w:tc>
        <w:tc>
          <w:tcPr>
            <w:tcW w:w="2883" w:type="dxa"/>
            <w:tcBorders>
              <w:bottom w:val="single" w:sz="4" w:space="0" w:color="auto"/>
            </w:tcBorders>
            <w:vAlign w:val="center"/>
          </w:tcPr>
          <w:p w14:paraId="185794E1"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3 (27.3)</w:t>
            </w:r>
          </w:p>
        </w:tc>
      </w:tr>
    </w:tbl>
    <w:p w14:paraId="0B853202" w14:textId="7703B583" w:rsidR="00505A5A" w:rsidRPr="003F3FAF" w:rsidRDefault="00F91208" w:rsidP="003F3FAF">
      <w:pPr>
        <w:spacing w:after="0" w:line="360" w:lineRule="auto"/>
        <w:ind w:right="49"/>
        <w:jc w:val="both"/>
        <w:rPr>
          <w:rFonts w:ascii="Times New Roman" w:hAnsi="Times New Roman" w:cs="Times New Roman"/>
          <w:sz w:val="20"/>
          <w:szCs w:val="20"/>
        </w:rPr>
      </w:pPr>
      <w:r w:rsidRPr="003F3FAF">
        <w:rPr>
          <w:rFonts w:ascii="Times New Roman" w:hAnsi="Times New Roman" w:cs="Times New Roman"/>
          <w:sz w:val="20"/>
          <w:szCs w:val="20"/>
        </w:rPr>
        <w:t>(</w:t>
      </w:r>
      <w:r w:rsidRPr="003F3FAF">
        <w:rPr>
          <w:rFonts w:ascii="Times New Roman" w:hAnsi="Times New Roman" w:cs="Times New Roman"/>
          <w:i/>
          <w:iCs/>
          <w:sz w:val="20"/>
          <w:szCs w:val="20"/>
        </w:rPr>
        <w:t>N</w:t>
      </w:r>
      <w:r w:rsidR="00505A5A" w:rsidRPr="003F3FAF">
        <w:rPr>
          <w:rFonts w:ascii="Times New Roman" w:hAnsi="Times New Roman" w:cs="Times New Roman"/>
          <w:sz w:val="20"/>
          <w:szCs w:val="20"/>
        </w:rPr>
        <w:t xml:space="preserve"> </w:t>
      </w:r>
      <w:r w:rsidRPr="003F3FAF">
        <w:rPr>
          <w:rFonts w:ascii="Times New Roman" w:hAnsi="Times New Roman" w:cs="Times New Roman"/>
          <w:sz w:val="20"/>
          <w:szCs w:val="20"/>
        </w:rPr>
        <w:t>=</w:t>
      </w:r>
      <w:r w:rsidR="00505A5A" w:rsidRPr="003F3FAF">
        <w:rPr>
          <w:rFonts w:ascii="Times New Roman" w:hAnsi="Times New Roman" w:cs="Times New Roman"/>
          <w:sz w:val="20"/>
          <w:szCs w:val="20"/>
        </w:rPr>
        <w:t xml:space="preserve"> </w:t>
      </w:r>
      <w:r w:rsidRPr="003F3FAF">
        <w:rPr>
          <w:rFonts w:ascii="Times New Roman" w:hAnsi="Times New Roman" w:cs="Times New Roman"/>
          <w:sz w:val="20"/>
          <w:szCs w:val="20"/>
        </w:rPr>
        <w:t xml:space="preserve">22) </w:t>
      </w:r>
    </w:p>
    <w:p w14:paraId="067F6B4B" w14:textId="645758C0" w:rsidR="00F91208" w:rsidRPr="003F3FAF" w:rsidRDefault="00F91208" w:rsidP="003F3FAF">
      <w:pPr>
        <w:spacing w:after="0" w:line="360" w:lineRule="auto"/>
        <w:ind w:right="49"/>
        <w:jc w:val="center"/>
        <w:rPr>
          <w:rFonts w:ascii="Times New Roman" w:hAnsi="Times New Roman" w:cs="Times New Roman"/>
          <w:sz w:val="24"/>
          <w:szCs w:val="24"/>
        </w:rPr>
      </w:pPr>
      <w:r w:rsidRPr="003F3FAF">
        <w:rPr>
          <w:rFonts w:ascii="Times New Roman" w:hAnsi="Times New Roman" w:cs="Times New Roman"/>
          <w:sz w:val="24"/>
          <w:szCs w:val="24"/>
        </w:rPr>
        <w:t xml:space="preserve">Fuente: </w:t>
      </w:r>
      <w:r w:rsidR="000E4AC1">
        <w:rPr>
          <w:rFonts w:ascii="Times New Roman" w:hAnsi="Times New Roman" w:cs="Times New Roman"/>
          <w:sz w:val="24"/>
          <w:szCs w:val="24"/>
        </w:rPr>
        <w:t>Elaboración propia</w:t>
      </w:r>
    </w:p>
    <w:p w14:paraId="7FCD07A3" w14:textId="77777777" w:rsidR="00FF3853" w:rsidRDefault="00FF3853" w:rsidP="003F3FAF">
      <w:pPr>
        <w:spacing w:after="0" w:line="360" w:lineRule="auto"/>
        <w:ind w:right="49"/>
        <w:jc w:val="both"/>
        <w:rPr>
          <w:rFonts w:ascii="Times New Roman" w:hAnsi="Times New Roman" w:cs="Times New Roman"/>
          <w:sz w:val="24"/>
          <w:szCs w:val="24"/>
        </w:rPr>
      </w:pPr>
    </w:p>
    <w:p w14:paraId="7499DB72" w14:textId="25F82985" w:rsidR="00F13115" w:rsidRDefault="00F13115" w:rsidP="003F3FAF">
      <w:pPr>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t xml:space="preserve">La principal morbilidad que se presentó en ambos grupos fue neumonía (diagnosticada por cuadro clínico, método radiológico y cultivo de secreciones bronquiales), </w:t>
      </w:r>
      <w:r w:rsidR="000E4AC1">
        <w:rPr>
          <w:rFonts w:ascii="Times New Roman" w:hAnsi="Times New Roman" w:cs="Times New Roman"/>
          <w:sz w:val="24"/>
          <w:szCs w:val="24"/>
        </w:rPr>
        <w:t>y se encontró</w:t>
      </w:r>
      <w:r w:rsidR="000E4AC1" w:rsidRPr="00DB3115">
        <w:rPr>
          <w:rFonts w:ascii="Times New Roman" w:hAnsi="Times New Roman" w:cs="Times New Roman"/>
          <w:sz w:val="24"/>
          <w:szCs w:val="24"/>
        </w:rPr>
        <w:t xml:space="preserve"> </w:t>
      </w:r>
      <w:r w:rsidRPr="00DB3115">
        <w:rPr>
          <w:rFonts w:ascii="Times New Roman" w:hAnsi="Times New Roman" w:cs="Times New Roman"/>
          <w:sz w:val="24"/>
          <w:szCs w:val="24"/>
        </w:rPr>
        <w:t xml:space="preserve">una significancia estadística en </w:t>
      </w:r>
      <w:r w:rsidR="00800A16" w:rsidRPr="00DB3115">
        <w:rPr>
          <w:rFonts w:ascii="Times New Roman" w:hAnsi="Times New Roman" w:cs="Times New Roman"/>
          <w:sz w:val="24"/>
          <w:szCs w:val="24"/>
        </w:rPr>
        <w:t>el grupo de NETI con neumonía (</w:t>
      </w:r>
      <w:r w:rsidR="000E4AC1">
        <w:rPr>
          <w:rFonts w:ascii="Times New Roman" w:hAnsi="Times New Roman" w:cs="Times New Roman"/>
          <w:sz w:val="24"/>
          <w:szCs w:val="24"/>
        </w:rPr>
        <w:t>t</w:t>
      </w:r>
      <w:r w:rsidR="000E4AC1" w:rsidRPr="00DB3115">
        <w:rPr>
          <w:rFonts w:ascii="Times New Roman" w:hAnsi="Times New Roman" w:cs="Times New Roman"/>
          <w:sz w:val="24"/>
          <w:szCs w:val="24"/>
        </w:rPr>
        <w:t xml:space="preserve"> </w:t>
      </w:r>
      <w:r w:rsidRPr="00DB3115">
        <w:rPr>
          <w:rFonts w:ascii="Times New Roman" w:hAnsi="Times New Roman" w:cs="Times New Roman"/>
          <w:sz w:val="24"/>
          <w:szCs w:val="24"/>
        </w:rPr>
        <w:t xml:space="preserve">de </w:t>
      </w:r>
      <w:proofErr w:type="spellStart"/>
      <w:r w:rsidRPr="00DB3115">
        <w:rPr>
          <w:rFonts w:ascii="Times New Roman" w:hAnsi="Times New Roman" w:cs="Times New Roman"/>
          <w:sz w:val="24"/>
          <w:szCs w:val="24"/>
        </w:rPr>
        <w:t>Student</w:t>
      </w:r>
      <w:proofErr w:type="spellEnd"/>
      <w:r w:rsidRPr="00DB3115">
        <w:rPr>
          <w:rFonts w:ascii="Times New Roman" w:hAnsi="Times New Roman" w:cs="Times New Roman"/>
          <w:sz w:val="24"/>
          <w:szCs w:val="24"/>
        </w:rPr>
        <w:t xml:space="preserve"> </w:t>
      </w:r>
      <w:r w:rsidR="000E4AC1">
        <w:rPr>
          <w:rFonts w:ascii="Times New Roman" w:hAnsi="Times New Roman" w:cs="Times New Roman"/>
          <w:sz w:val="24"/>
          <w:szCs w:val="24"/>
        </w:rPr>
        <w:t xml:space="preserve">de </w:t>
      </w:r>
      <w:r w:rsidRPr="00DB3115">
        <w:rPr>
          <w:rFonts w:ascii="Times New Roman" w:hAnsi="Times New Roman" w:cs="Times New Roman"/>
          <w:sz w:val="24"/>
          <w:szCs w:val="24"/>
        </w:rPr>
        <w:t>13.78</w:t>
      </w:r>
      <w:r w:rsidR="000E4AC1">
        <w:rPr>
          <w:rFonts w:ascii="Times New Roman" w:hAnsi="Times New Roman" w:cs="Times New Roman"/>
          <w:sz w:val="24"/>
          <w:szCs w:val="24"/>
        </w:rPr>
        <w:t>,</w:t>
      </w:r>
      <w:r w:rsidRPr="00DB3115">
        <w:rPr>
          <w:rFonts w:ascii="Times New Roman" w:hAnsi="Times New Roman" w:cs="Times New Roman"/>
          <w:sz w:val="24"/>
          <w:szCs w:val="24"/>
        </w:rPr>
        <w:t xml:space="preserve"> </w:t>
      </w:r>
      <w:r w:rsidRPr="003F3FAF">
        <w:rPr>
          <w:rFonts w:ascii="Times New Roman" w:hAnsi="Times New Roman" w:cs="Times New Roman"/>
          <w:i/>
          <w:iCs/>
          <w:sz w:val="24"/>
          <w:szCs w:val="24"/>
        </w:rPr>
        <w:t>p</w:t>
      </w:r>
      <w:r w:rsidR="000E4AC1">
        <w:rPr>
          <w:rFonts w:ascii="Times New Roman" w:hAnsi="Times New Roman" w:cs="Times New Roman"/>
          <w:sz w:val="24"/>
          <w:szCs w:val="24"/>
        </w:rPr>
        <w:t xml:space="preserve"> </w:t>
      </w:r>
      <w:r w:rsidRPr="00DB3115">
        <w:rPr>
          <w:rFonts w:ascii="Times New Roman" w:hAnsi="Times New Roman" w:cs="Times New Roman"/>
          <w:sz w:val="24"/>
          <w:szCs w:val="24"/>
        </w:rPr>
        <w:t>=</w:t>
      </w:r>
      <w:r w:rsidR="000E4AC1">
        <w:rPr>
          <w:rFonts w:ascii="Times New Roman" w:hAnsi="Times New Roman" w:cs="Times New Roman"/>
          <w:sz w:val="24"/>
          <w:szCs w:val="24"/>
        </w:rPr>
        <w:t xml:space="preserve"> </w:t>
      </w:r>
      <w:r w:rsidRPr="00DB3115">
        <w:rPr>
          <w:rFonts w:ascii="Times New Roman" w:hAnsi="Times New Roman" w:cs="Times New Roman"/>
          <w:sz w:val="24"/>
          <w:szCs w:val="24"/>
        </w:rPr>
        <w:t xml:space="preserve">0.001) e infección de vías urinarias diagnosticadas por </w:t>
      </w:r>
      <w:r w:rsidR="00800A16" w:rsidRPr="00DB3115">
        <w:rPr>
          <w:rFonts w:ascii="Times New Roman" w:hAnsi="Times New Roman" w:cs="Times New Roman"/>
          <w:sz w:val="24"/>
          <w:szCs w:val="24"/>
        </w:rPr>
        <w:t xml:space="preserve">general de orina y </w:t>
      </w:r>
      <w:proofErr w:type="spellStart"/>
      <w:r w:rsidR="00800A16" w:rsidRPr="00DB3115">
        <w:rPr>
          <w:rFonts w:ascii="Times New Roman" w:hAnsi="Times New Roman" w:cs="Times New Roman"/>
          <w:sz w:val="24"/>
          <w:szCs w:val="24"/>
        </w:rPr>
        <w:t>urocultivo</w:t>
      </w:r>
      <w:proofErr w:type="spellEnd"/>
      <w:r w:rsidR="00800A16" w:rsidRPr="00DB3115">
        <w:rPr>
          <w:rFonts w:ascii="Times New Roman" w:hAnsi="Times New Roman" w:cs="Times New Roman"/>
          <w:sz w:val="24"/>
          <w:szCs w:val="24"/>
        </w:rPr>
        <w:t xml:space="preserve"> (</w:t>
      </w:r>
      <w:r w:rsidR="000E4AC1">
        <w:rPr>
          <w:rFonts w:ascii="Times New Roman" w:hAnsi="Times New Roman" w:cs="Times New Roman"/>
          <w:sz w:val="24"/>
          <w:szCs w:val="24"/>
        </w:rPr>
        <w:t>t</w:t>
      </w:r>
      <w:r w:rsidR="000E4AC1" w:rsidRPr="00DB3115">
        <w:rPr>
          <w:rFonts w:ascii="Times New Roman" w:hAnsi="Times New Roman" w:cs="Times New Roman"/>
          <w:sz w:val="24"/>
          <w:szCs w:val="24"/>
        </w:rPr>
        <w:t xml:space="preserve"> </w:t>
      </w:r>
      <w:r w:rsidRPr="00DB3115">
        <w:rPr>
          <w:rFonts w:ascii="Times New Roman" w:hAnsi="Times New Roman" w:cs="Times New Roman"/>
          <w:sz w:val="24"/>
          <w:szCs w:val="24"/>
        </w:rPr>
        <w:t xml:space="preserve">de </w:t>
      </w:r>
      <w:proofErr w:type="spellStart"/>
      <w:r w:rsidRPr="00DB3115">
        <w:rPr>
          <w:rFonts w:ascii="Times New Roman" w:hAnsi="Times New Roman" w:cs="Times New Roman"/>
          <w:sz w:val="24"/>
          <w:szCs w:val="24"/>
        </w:rPr>
        <w:t>Student</w:t>
      </w:r>
      <w:proofErr w:type="spellEnd"/>
      <w:r w:rsidRPr="00DB3115">
        <w:rPr>
          <w:rFonts w:ascii="Times New Roman" w:hAnsi="Times New Roman" w:cs="Times New Roman"/>
          <w:sz w:val="24"/>
          <w:szCs w:val="24"/>
        </w:rPr>
        <w:t xml:space="preserve"> </w:t>
      </w:r>
      <w:r w:rsidR="000E4AC1">
        <w:rPr>
          <w:rFonts w:ascii="Times New Roman" w:hAnsi="Times New Roman" w:cs="Times New Roman"/>
          <w:sz w:val="24"/>
          <w:szCs w:val="24"/>
        </w:rPr>
        <w:t xml:space="preserve">de </w:t>
      </w:r>
      <w:r w:rsidRPr="00DB3115">
        <w:rPr>
          <w:rFonts w:ascii="Times New Roman" w:hAnsi="Times New Roman" w:cs="Times New Roman"/>
          <w:sz w:val="24"/>
          <w:szCs w:val="24"/>
        </w:rPr>
        <w:t xml:space="preserve">8.07, </w:t>
      </w:r>
      <w:r w:rsidRPr="003F3FAF">
        <w:rPr>
          <w:rFonts w:ascii="Times New Roman" w:hAnsi="Times New Roman" w:cs="Times New Roman"/>
          <w:i/>
          <w:iCs/>
          <w:sz w:val="24"/>
          <w:szCs w:val="24"/>
        </w:rPr>
        <w:t>p</w:t>
      </w:r>
      <w:r w:rsidR="000E4AC1">
        <w:rPr>
          <w:rFonts w:ascii="Times New Roman" w:hAnsi="Times New Roman" w:cs="Times New Roman"/>
          <w:sz w:val="24"/>
          <w:szCs w:val="24"/>
        </w:rPr>
        <w:t xml:space="preserve"> </w:t>
      </w:r>
      <w:r w:rsidRPr="00DB3115">
        <w:rPr>
          <w:rFonts w:ascii="Times New Roman" w:hAnsi="Times New Roman" w:cs="Times New Roman"/>
          <w:sz w:val="24"/>
          <w:szCs w:val="24"/>
        </w:rPr>
        <w:t>=</w:t>
      </w:r>
      <w:r w:rsidR="000E4AC1">
        <w:rPr>
          <w:rFonts w:ascii="Times New Roman" w:hAnsi="Times New Roman" w:cs="Times New Roman"/>
          <w:sz w:val="24"/>
          <w:szCs w:val="24"/>
        </w:rPr>
        <w:t xml:space="preserve"> </w:t>
      </w:r>
      <w:r w:rsidRPr="00DB3115">
        <w:rPr>
          <w:rFonts w:ascii="Times New Roman" w:hAnsi="Times New Roman" w:cs="Times New Roman"/>
          <w:sz w:val="24"/>
          <w:szCs w:val="24"/>
        </w:rPr>
        <w:t>0.001), e</w:t>
      </w:r>
      <w:r w:rsidR="00800A16" w:rsidRPr="00DB3115">
        <w:rPr>
          <w:rFonts w:ascii="Times New Roman" w:hAnsi="Times New Roman" w:cs="Times New Roman"/>
          <w:sz w:val="24"/>
          <w:szCs w:val="24"/>
        </w:rPr>
        <w:t>n comparación con el grupo NETL</w:t>
      </w:r>
      <w:r w:rsidRPr="00DB3115">
        <w:rPr>
          <w:rFonts w:ascii="Times New Roman" w:hAnsi="Times New Roman" w:cs="Times New Roman"/>
          <w:sz w:val="24"/>
          <w:szCs w:val="24"/>
        </w:rPr>
        <w:t xml:space="preserve"> (</w:t>
      </w:r>
      <w:r w:rsidR="000E4AC1">
        <w:rPr>
          <w:rFonts w:ascii="Times New Roman" w:hAnsi="Times New Roman" w:cs="Times New Roman"/>
          <w:sz w:val="24"/>
          <w:szCs w:val="24"/>
        </w:rPr>
        <w:t>t</w:t>
      </w:r>
      <w:r w:rsidR="000E4AC1" w:rsidRPr="00DB3115">
        <w:rPr>
          <w:rFonts w:ascii="Times New Roman" w:hAnsi="Times New Roman" w:cs="Times New Roman"/>
          <w:sz w:val="24"/>
          <w:szCs w:val="24"/>
        </w:rPr>
        <w:t xml:space="preserve">abla </w:t>
      </w:r>
      <w:r w:rsidR="000E4AC1">
        <w:rPr>
          <w:rFonts w:ascii="Times New Roman" w:hAnsi="Times New Roman" w:cs="Times New Roman"/>
          <w:sz w:val="24"/>
          <w:szCs w:val="24"/>
        </w:rPr>
        <w:t>4</w:t>
      </w:r>
      <w:r w:rsidRPr="00DB3115">
        <w:rPr>
          <w:rFonts w:ascii="Times New Roman" w:hAnsi="Times New Roman" w:cs="Times New Roman"/>
          <w:sz w:val="24"/>
          <w:szCs w:val="24"/>
        </w:rPr>
        <w:t>).</w:t>
      </w:r>
    </w:p>
    <w:p w14:paraId="0B472493" w14:textId="77777777" w:rsidR="00F91208" w:rsidRDefault="00F91208" w:rsidP="003F3FAF">
      <w:pPr>
        <w:spacing w:after="0" w:line="360" w:lineRule="auto"/>
        <w:ind w:right="49"/>
        <w:jc w:val="both"/>
        <w:rPr>
          <w:rFonts w:ascii="Times New Roman" w:hAnsi="Times New Roman" w:cs="Times New Roman"/>
          <w:sz w:val="20"/>
          <w:szCs w:val="20"/>
        </w:rPr>
      </w:pPr>
    </w:p>
    <w:p w14:paraId="42CFC894" w14:textId="77777777" w:rsidR="00647DB0" w:rsidRDefault="00647DB0" w:rsidP="003F3FAF">
      <w:pPr>
        <w:spacing w:after="0" w:line="360" w:lineRule="auto"/>
        <w:ind w:right="49"/>
        <w:jc w:val="both"/>
        <w:rPr>
          <w:rFonts w:ascii="Times New Roman" w:hAnsi="Times New Roman" w:cs="Times New Roman"/>
          <w:sz w:val="20"/>
          <w:szCs w:val="20"/>
        </w:rPr>
      </w:pPr>
    </w:p>
    <w:p w14:paraId="384EA989" w14:textId="77777777" w:rsidR="00647DB0" w:rsidRDefault="00647DB0" w:rsidP="003F3FAF">
      <w:pPr>
        <w:spacing w:after="0" w:line="360" w:lineRule="auto"/>
        <w:ind w:right="49"/>
        <w:jc w:val="both"/>
        <w:rPr>
          <w:rFonts w:ascii="Times New Roman" w:hAnsi="Times New Roman" w:cs="Times New Roman"/>
          <w:sz w:val="20"/>
          <w:szCs w:val="20"/>
        </w:rPr>
      </w:pPr>
    </w:p>
    <w:p w14:paraId="3CCAC975" w14:textId="77777777" w:rsidR="00647DB0" w:rsidRDefault="00647DB0" w:rsidP="003F3FAF">
      <w:pPr>
        <w:spacing w:after="0" w:line="360" w:lineRule="auto"/>
        <w:ind w:right="49"/>
        <w:jc w:val="both"/>
        <w:rPr>
          <w:rFonts w:ascii="Times New Roman" w:hAnsi="Times New Roman" w:cs="Times New Roman"/>
          <w:sz w:val="20"/>
          <w:szCs w:val="20"/>
        </w:rPr>
      </w:pPr>
    </w:p>
    <w:p w14:paraId="4A9F5B6E" w14:textId="77777777" w:rsidR="00647DB0" w:rsidRDefault="00647DB0" w:rsidP="003F3FAF">
      <w:pPr>
        <w:spacing w:after="0" w:line="360" w:lineRule="auto"/>
        <w:ind w:right="49"/>
        <w:jc w:val="both"/>
        <w:rPr>
          <w:rFonts w:ascii="Times New Roman" w:hAnsi="Times New Roman" w:cs="Times New Roman"/>
          <w:sz w:val="20"/>
          <w:szCs w:val="20"/>
        </w:rPr>
      </w:pPr>
    </w:p>
    <w:p w14:paraId="5E836134" w14:textId="77777777" w:rsidR="00647DB0" w:rsidRDefault="00647DB0" w:rsidP="003F3FAF">
      <w:pPr>
        <w:spacing w:after="0" w:line="360" w:lineRule="auto"/>
        <w:ind w:right="49"/>
        <w:jc w:val="both"/>
        <w:rPr>
          <w:rFonts w:ascii="Times New Roman" w:hAnsi="Times New Roman" w:cs="Times New Roman"/>
          <w:sz w:val="20"/>
          <w:szCs w:val="20"/>
        </w:rPr>
      </w:pPr>
    </w:p>
    <w:p w14:paraId="7134E459" w14:textId="77777777" w:rsidR="00647DB0" w:rsidRDefault="00647DB0" w:rsidP="003F3FAF">
      <w:pPr>
        <w:spacing w:after="0" w:line="360" w:lineRule="auto"/>
        <w:ind w:right="49"/>
        <w:jc w:val="both"/>
        <w:rPr>
          <w:rFonts w:ascii="Times New Roman" w:hAnsi="Times New Roman" w:cs="Times New Roman"/>
          <w:sz w:val="20"/>
          <w:szCs w:val="20"/>
        </w:rPr>
      </w:pPr>
    </w:p>
    <w:p w14:paraId="15293015" w14:textId="77777777" w:rsidR="00647DB0" w:rsidRPr="00DB3115" w:rsidRDefault="00647DB0" w:rsidP="003F3FAF">
      <w:pPr>
        <w:spacing w:after="0" w:line="360" w:lineRule="auto"/>
        <w:ind w:right="49"/>
        <w:jc w:val="both"/>
        <w:rPr>
          <w:rFonts w:ascii="Times New Roman" w:hAnsi="Times New Roman" w:cs="Times New Roman"/>
          <w:sz w:val="20"/>
          <w:szCs w:val="20"/>
        </w:rPr>
      </w:pPr>
    </w:p>
    <w:tbl>
      <w:tblPr>
        <w:tblStyle w:val="Tablaconcuadrcula"/>
        <w:tblpPr w:leftFromText="141" w:rightFromText="141" w:vertAnchor="text" w:horzAnchor="margin" w:tblpY="27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1"/>
        <w:gridCol w:w="3071"/>
        <w:gridCol w:w="3072"/>
      </w:tblGrid>
      <w:tr w:rsidR="00F91208" w:rsidRPr="00505A5A" w14:paraId="599047F1" w14:textId="77777777" w:rsidTr="00F91208">
        <w:trPr>
          <w:trHeight w:val="848"/>
        </w:trPr>
        <w:tc>
          <w:tcPr>
            <w:tcW w:w="3071" w:type="dxa"/>
            <w:tcBorders>
              <w:top w:val="single" w:sz="4" w:space="0" w:color="auto"/>
              <w:bottom w:val="single" w:sz="4" w:space="0" w:color="auto"/>
            </w:tcBorders>
            <w:vAlign w:val="center"/>
          </w:tcPr>
          <w:p w14:paraId="4352DA7E" w14:textId="77777777" w:rsidR="00F91208" w:rsidRPr="003F3FAF" w:rsidRDefault="00F91208"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lastRenderedPageBreak/>
              <w:t>Morbimortalidad</w:t>
            </w:r>
          </w:p>
        </w:tc>
        <w:tc>
          <w:tcPr>
            <w:tcW w:w="3071" w:type="dxa"/>
            <w:tcBorders>
              <w:top w:val="single" w:sz="4" w:space="0" w:color="auto"/>
              <w:bottom w:val="single" w:sz="4" w:space="0" w:color="auto"/>
            </w:tcBorders>
            <w:vAlign w:val="center"/>
          </w:tcPr>
          <w:p w14:paraId="5C94EB5D" w14:textId="77777777" w:rsidR="00F91208" w:rsidRPr="003F3FAF" w:rsidRDefault="00F91208"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NETL</w:t>
            </w:r>
          </w:p>
          <w:p w14:paraId="58163596" w14:textId="6FC68096" w:rsidR="00F91208" w:rsidRPr="003F3FAF" w:rsidRDefault="000E4AC1"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i/>
                <w:iCs/>
                <w:sz w:val="24"/>
                <w:szCs w:val="24"/>
              </w:rPr>
              <w:t>N</w:t>
            </w:r>
            <w:r w:rsidRPr="003F3FAF">
              <w:rPr>
                <w:rFonts w:ascii="Times New Roman" w:hAnsi="Times New Roman" w:cs="Times New Roman"/>
                <w:b/>
                <w:bCs/>
                <w:sz w:val="24"/>
                <w:szCs w:val="24"/>
              </w:rPr>
              <w:t xml:space="preserve"> </w:t>
            </w:r>
            <w:r w:rsidR="00F91208" w:rsidRPr="003F3FAF">
              <w:rPr>
                <w:rFonts w:ascii="Times New Roman" w:hAnsi="Times New Roman" w:cs="Times New Roman"/>
                <w:b/>
                <w:bCs/>
                <w:sz w:val="24"/>
                <w:szCs w:val="24"/>
              </w:rPr>
              <w:t>=</w:t>
            </w:r>
            <w:r w:rsidRPr="003F3FAF">
              <w:rPr>
                <w:rFonts w:ascii="Times New Roman" w:hAnsi="Times New Roman" w:cs="Times New Roman"/>
                <w:b/>
                <w:bCs/>
                <w:sz w:val="24"/>
                <w:szCs w:val="24"/>
              </w:rPr>
              <w:t xml:space="preserve"> </w:t>
            </w:r>
            <w:r w:rsidR="00F91208" w:rsidRPr="003F3FAF">
              <w:rPr>
                <w:rFonts w:ascii="Times New Roman" w:hAnsi="Times New Roman" w:cs="Times New Roman"/>
                <w:b/>
                <w:bCs/>
                <w:sz w:val="24"/>
                <w:szCs w:val="24"/>
              </w:rPr>
              <w:t>11</w:t>
            </w:r>
          </w:p>
          <w:p w14:paraId="67129D6C" w14:textId="77777777" w:rsidR="00F91208" w:rsidRPr="003F3FAF" w:rsidRDefault="00F91208"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Frecuencia (%)</w:t>
            </w:r>
          </w:p>
        </w:tc>
        <w:tc>
          <w:tcPr>
            <w:tcW w:w="3072" w:type="dxa"/>
            <w:tcBorders>
              <w:top w:val="single" w:sz="4" w:space="0" w:color="auto"/>
              <w:bottom w:val="single" w:sz="4" w:space="0" w:color="auto"/>
            </w:tcBorders>
            <w:vAlign w:val="center"/>
          </w:tcPr>
          <w:p w14:paraId="502E2195" w14:textId="77777777" w:rsidR="00F91208" w:rsidRPr="003F3FAF" w:rsidRDefault="00F91208"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NETI</w:t>
            </w:r>
          </w:p>
          <w:p w14:paraId="14CB39CF" w14:textId="4C0D4F99" w:rsidR="00F91208" w:rsidRPr="003F3FAF" w:rsidRDefault="000E4AC1"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i/>
                <w:iCs/>
                <w:sz w:val="24"/>
                <w:szCs w:val="24"/>
              </w:rPr>
              <w:t>N</w:t>
            </w:r>
            <w:r w:rsidRPr="003F3FAF">
              <w:rPr>
                <w:rFonts w:ascii="Times New Roman" w:hAnsi="Times New Roman" w:cs="Times New Roman"/>
                <w:b/>
                <w:bCs/>
                <w:sz w:val="24"/>
                <w:szCs w:val="24"/>
              </w:rPr>
              <w:t xml:space="preserve"> </w:t>
            </w:r>
            <w:r w:rsidR="00F91208" w:rsidRPr="003F3FAF">
              <w:rPr>
                <w:rFonts w:ascii="Times New Roman" w:hAnsi="Times New Roman" w:cs="Times New Roman"/>
                <w:b/>
                <w:bCs/>
                <w:sz w:val="24"/>
                <w:szCs w:val="24"/>
              </w:rPr>
              <w:t>=</w:t>
            </w:r>
            <w:r w:rsidRPr="003F3FAF">
              <w:rPr>
                <w:rFonts w:ascii="Times New Roman" w:hAnsi="Times New Roman" w:cs="Times New Roman"/>
                <w:b/>
                <w:bCs/>
                <w:sz w:val="24"/>
                <w:szCs w:val="24"/>
              </w:rPr>
              <w:t xml:space="preserve"> </w:t>
            </w:r>
            <w:r w:rsidR="00F91208" w:rsidRPr="003F3FAF">
              <w:rPr>
                <w:rFonts w:ascii="Times New Roman" w:hAnsi="Times New Roman" w:cs="Times New Roman"/>
                <w:b/>
                <w:bCs/>
                <w:sz w:val="24"/>
                <w:szCs w:val="24"/>
              </w:rPr>
              <w:t>11</w:t>
            </w:r>
          </w:p>
          <w:p w14:paraId="53756429" w14:textId="77777777" w:rsidR="00F91208" w:rsidRPr="003F3FAF" w:rsidRDefault="00F91208"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Frecuencia (%)</w:t>
            </w:r>
          </w:p>
        </w:tc>
      </w:tr>
      <w:tr w:rsidR="00F91208" w:rsidRPr="00505A5A" w14:paraId="6B78590B" w14:textId="77777777" w:rsidTr="00F91208">
        <w:trPr>
          <w:trHeight w:val="347"/>
        </w:trPr>
        <w:tc>
          <w:tcPr>
            <w:tcW w:w="3071" w:type="dxa"/>
            <w:tcBorders>
              <w:top w:val="single" w:sz="4" w:space="0" w:color="auto"/>
            </w:tcBorders>
            <w:vAlign w:val="center"/>
          </w:tcPr>
          <w:p w14:paraId="0F24DA98"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Fiebre</w:t>
            </w:r>
          </w:p>
        </w:tc>
        <w:tc>
          <w:tcPr>
            <w:tcW w:w="3071" w:type="dxa"/>
            <w:tcBorders>
              <w:top w:val="single" w:sz="4" w:space="0" w:color="auto"/>
            </w:tcBorders>
            <w:vAlign w:val="center"/>
          </w:tcPr>
          <w:p w14:paraId="13E2BE3B"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7 (63.3)</w:t>
            </w:r>
          </w:p>
        </w:tc>
        <w:tc>
          <w:tcPr>
            <w:tcW w:w="3072" w:type="dxa"/>
            <w:tcBorders>
              <w:top w:val="single" w:sz="4" w:space="0" w:color="auto"/>
            </w:tcBorders>
            <w:vAlign w:val="center"/>
          </w:tcPr>
          <w:p w14:paraId="7CA89C12"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4 (36.3)</w:t>
            </w:r>
          </w:p>
        </w:tc>
      </w:tr>
      <w:tr w:rsidR="00F91208" w:rsidRPr="00505A5A" w14:paraId="4C4AFADE" w14:textId="77777777" w:rsidTr="00F91208">
        <w:trPr>
          <w:trHeight w:val="281"/>
        </w:trPr>
        <w:tc>
          <w:tcPr>
            <w:tcW w:w="3071" w:type="dxa"/>
            <w:vAlign w:val="center"/>
          </w:tcPr>
          <w:p w14:paraId="02FCFA9A"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Neumonía</w:t>
            </w:r>
          </w:p>
        </w:tc>
        <w:tc>
          <w:tcPr>
            <w:tcW w:w="3071" w:type="dxa"/>
            <w:vAlign w:val="center"/>
          </w:tcPr>
          <w:p w14:paraId="3E26A64F"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7 (63.3)</w:t>
            </w:r>
          </w:p>
        </w:tc>
        <w:tc>
          <w:tcPr>
            <w:tcW w:w="3072" w:type="dxa"/>
            <w:vAlign w:val="center"/>
          </w:tcPr>
          <w:p w14:paraId="6BC6FFAA"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4 (36.3) *</w:t>
            </w:r>
          </w:p>
        </w:tc>
      </w:tr>
      <w:tr w:rsidR="00F91208" w:rsidRPr="00505A5A" w14:paraId="0434E463" w14:textId="77777777" w:rsidTr="00F91208">
        <w:trPr>
          <w:trHeight w:val="271"/>
        </w:trPr>
        <w:tc>
          <w:tcPr>
            <w:tcW w:w="3071" w:type="dxa"/>
            <w:vAlign w:val="center"/>
          </w:tcPr>
          <w:p w14:paraId="7386F5E1"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Infección de vías urinarias</w:t>
            </w:r>
          </w:p>
        </w:tc>
        <w:tc>
          <w:tcPr>
            <w:tcW w:w="3071" w:type="dxa"/>
            <w:vAlign w:val="center"/>
          </w:tcPr>
          <w:p w14:paraId="1B93B3C6"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3 (33.0)</w:t>
            </w:r>
          </w:p>
        </w:tc>
        <w:tc>
          <w:tcPr>
            <w:tcW w:w="3072" w:type="dxa"/>
            <w:vAlign w:val="center"/>
          </w:tcPr>
          <w:p w14:paraId="0C64704D"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 (22.0) *</w:t>
            </w:r>
          </w:p>
        </w:tc>
      </w:tr>
      <w:tr w:rsidR="00F91208" w:rsidRPr="00505A5A" w14:paraId="68EDA302" w14:textId="77777777" w:rsidTr="00F91208">
        <w:trPr>
          <w:trHeight w:val="275"/>
        </w:trPr>
        <w:tc>
          <w:tcPr>
            <w:tcW w:w="3071" w:type="dxa"/>
            <w:vAlign w:val="center"/>
          </w:tcPr>
          <w:p w14:paraId="7C2A5618"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Falla renal</w:t>
            </w:r>
          </w:p>
        </w:tc>
        <w:tc>
          <w:tcPr>
            <w:tcW w:w="3071" w:type="dxa"/>
            <w:vAlign w:val="center"/>
          </w:tcPr>
          <w:p w14:paraId="7F35D665"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2 (18.2)</w:t>
            </w:r>
          </w:p>
        </w:tc>
        <w:tc>
          <w:tcPr>
            <w:tcW w:w="3072" w:type="dxa"/>
            <w:vAlign w:val="center"/>
          </w:tcPr>
          <w:p w14:paraId="4F6ECE50"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0</w:t>
            </w:r>
          </w:p>
        </w:tc>
      </w:tr>
      <w:tr w:rsidR="00F91208" w:rsidRPr="00505A5A" w14:paraId="38633B74" w14:textId="77777777" w:rsidTr="00F91208">
        <w:tc>
          <w:tcPr>
            <w:tcW w:w="3071" w:type="dxa"/>
            <w:vAlign w:val="center"/>
          </w:tcPr>
          <w:p w14:paraId="7F937CA8"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Choque séptico</w:t>
            </w:r>
          </w:p>
        </w:tc>
        <w:tc>
          <w:tcPr>
            <w:tcW w:w="3071" w:type="dxa"/>
            <w:vAlign w:val="center"/>
          </w:tcPr>
          <w:p w14:paraId="58223FAD"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 (11.1)</w:t>
            </w:r>
          </w:p>
        </w:tc>
        <w:tc>
          <w:tcPr>
            <w:tcW w:w="3072" w:type="dxa"/>
            <w:vAlign w:val="center"/>
          </w:tcPr>
          <w:p w14:paraId="34F1B96C"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0</w:t>
            </w:r>
          </w:p>
        </w:tc>
      </w:tr>
      <w:tr w:rsidR="00F91208" w:rsidRPr="00505A5A" w14:paraId="43362F5F" w14:textId="77777777" w:rsidTr="00F91208">
        <w:trPr>
          <w:trHeight w:val="339"/>
        </w:trPr>
        <w:tc>
          <w:tcPr>
            <w:tcW w:w="3071" w:type="dxa"/>
            <w:tcBorders>
              <w:bottom w:val="single" w:sz="4" w:space="0" w:color="auto"/>
            </w:tcBorders>
            <w:vAlign w:val="center"/>
          </w:tcPr>
          <w:p w14:paraId="51EC951A"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Mortalidad</w:t>
            </w:r>
          </w:p>
        </w:tc>
        <w:tc>
          <w:tcPr>
            <w:tcW w:w="3071" w:type="dxa"/>
            <w:tcBorders>
              <w:bottom w:val="single" w:sz="4" w:space="0" w:color="auto"/>
            </w:tcBorders>
            <w:vAlign w:val="center"/>
          </w:tcPr>
          <w:p w14:paraId="7C20D69E"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 (11.1)</w:t>
            </w:r>
          </w:p>
        </w:tc>
        <w:tc>
          <w:tcPr>
            <w:tcW w:w="3072" w:type="dxa"/>
            <w:tcBorders>
              <w:bottom w:val="single" w:sz="4" w:space="0" w:color="auto"/>
            </w:tcBorders>
            <w:vAlign w:val="center"/>
          </w:tcPr>
          <w:p w14:paraId="12D652E1"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0</w:t>
            </w:r>
          </w:p>
        </w:tc>
      </w:tr>
    </w:tbl>
    <w:p w14:paraId="10C41ABE" w14:textId="6CBDD7C2" w:rsidR="00F91208" w:rsidRPr="003F3FAF" w:rsidRDefault="00F91208" w:rsidP="003F3FAF">
      <w:pPr>
        <w:spacing w:after="0" w:line="360" w:lineRule="auto"/>
        <w:ind w:right="49"/>
        <w:jc w:val="center"/>
        <w:rPr>
          <w:rFonts w:ascii="Times New Roman" w:hAnsi="Times New Roman" w:cs="Times New Roman"/>
          <w:sz w:val="24"/>
          <w:szCs w:val="24"/>
        </w:rPr>
      </w:pPr>
      <w:r w:rsidRPr="003F3FAF">
        <w:rPr>
          <w:rFonts w:ascii="Times New Roman" w:hAnsi="Times New Roman" w:cs="Times New Roman"/>
          <w:b/>
          <w:bCs/>
          <w:sz w:val="24"/>
          <w:szCs w:val="24"/>
        </w:rPr>
        <w:lastRenderedPageBreak/>
        <w:t xml:space="preserve">Tabla </w:t>
      </w:r>
      <w:r w:rsidR="00505A5A" w:rsidRPr="003F3FAF">
        <w:rPr>
          <w:rFonts w:ascii="Times New Roman" w:hAnsi="Times New Roman" w:cs="Times New Roman"/>
          <w:b/>
          <w:bCs/>
          <w:sz w:val="24"/>
          <w:szCs w:val="24"/>
        </w:rPr>
        <w:t>4</w:t>
      </w:r>
      <w:r w:rsidRPr="003F3FAF">
        <w:rPr>
          <w:rFonts w:ascii="Times New Roman" w:hAnsi="Times New Roman" w:cs="Times New Roman"/>
          <w:sz w:val="24"/>
          <w:szCs w:val="24"/>
        </w:rPr>
        <w:t>. Morbimortalidad de la población en estudio</w:t>
      </w:r>
    </w:p>
    <w:p w14:paraId="356977E4" w14:textId="404DC763" w:rsidR="00505A5A" w:rsidRPr="003F3FAF" w:rsidRDefault="00F91208" w:rsidP="003F3FAF">
      <w:pPr>
        <w:spacing w:after="0" w:line="360" w:lineRule="auto"/>
        <w:ind w:right="49"/>
        <w:jc w:val="both"/>
        <w:rPr>
          <w:rFonts w:ascii="Times New Roman" w:hAnsi="Times New Roman" w:cs="Times New Roman"/>
          <w:sz w:val="20"/>
          <w:szCs w:val="20"/>
        </w:rPr>
      </w:pPr>
      <w:r w:rsidRPr="003F3FAF">
        <w:rPr>
          <w:rFonts w:ascii="Times New Roman" w:hAnsi="Times New Roman" w:cs="Times New Roman"/>
          <w:sz w:val="20"/>
          <w:szCs w:val="20"/>
        </w:rPr>
        <w:t xml:space="preserve"> </w:t>
      </w:r>
      <w:r w:rsidRPr="003F3FAF">
        <w:rPr>
          <w:rFonts w:ascii="Times New Roman" w:hAnsi="Times New Roman" w:cs="Times New Roman"/>
          <w:i/>
          <w:iCs/>
          <w:sz w:val="20"/>
          <w:szCs w:val="20"/>
        </w:rPr>
        <w:t>N</w:t>
      </w:r>
      <w:r w:rsidR="00505A5A" w:rsidRPr="003F3FAF">
        <w:rPr>
          <w:rFonts w:ascii="Times New Roman" w:hAnsi="Times New Roman" w:cs="Times New Roman"/>
          <w:sz w:val="20"/>
          <w:szCs w:val="20"/>
        </w:rPr>
        <w:t xml:space="preserve"> </w:t>
      </w:r>
      <w:r w:rsidRPr="003F3FAF">
        <w:rPr>
          <w:rFonts w:ascii="Times New Roman" w:hAnsi="Times New Roman" w:cs="Times New Roman"/>
          <w:sz w:val="20"/>
          <w:szCs w:val="20"/>
        </w:rPr>
        <w:t>=</w:t>
      </w:r>
      <w:r w:rsidR="00505A5A" w:rsidRPr="003F3FAF">
        <w:rPr>
          <w:rFonts w:ascii="Times New Roman" w:hAnsi="Times New Roman" w:cs="Times New Roman"/>
          <w:sz w:val="20"/>
          <w:szCs w:val="20"/>
        </w:rPr>
        <w:t xml:space="preserve"> </w:t>
      </w:r>
      <w:r w:rsidRPr="003F3FAF">
        <w:rPr>
          <w:rFonts w:ascii="Times New Roman" w:hAnsi="Times New Roman" w:cs="Times New Roman"/>
          <w:sz w:val="20"/>
          <w:szCs w:val="20"/>
        </w:rPr>
        <w:t>22; *</w:t>
      </w:r>
      <w:r w:rsidRPr="003F3FAF">
        <w:rPr>
          <w:rFonts w:ascii="Times New Roman" w:hAnsi="Times New Roman" w:cs="Times New Roman"/>
          <w:i/>
          <w:iCs/>
          <w:sz w:val="20"/>
          <w:szCs w:val="20"/>
        </w:rPr>
        <w:t>p</w:t>
      </w:r>
      <w:r w:rsidR="00505A5A" w:rsidRPr="003F3FAF">
        <w:rPr>
          <w:rFonts w:ascii="Times New Roman" w:hAnsi="Times New Roman" w:cs="Times New Roman"/>
          <w:sz w:val="20"/>
          <w:szCs w:val="20"/>
        </w:rPr>
        <w:t xml:space="preserve"> </w:t>
      </w:r>
      <w:r w:rsidRPr="003F3FAF">
        <w:rPr>
          <w:rFonts w:ascii="Times New Roman" w:hAnsi="Times New Roman" w:cs="Times New Roman"/>
          <w:sz w:val="20"/>
          <w:szCs w:val="20"/>
        </w:rPr>
        <w:t>&lt;</w:t>
      </w:r>
      <w:r w:rsidR="00505A5A" w:rsidRPr="003F3FAF">
        <w:rPr>
          <w:rFonts w:ascii="Times New Roman" w:hAnsi="Times New Roman" w:cs="Times New Roman"/>
          <w:sz w:val="20"/>
          <w:szCs w:val="20"/>
        </w:rPr>
        <w:t xml:space="preserve"> </w:t>
      </w:r>
      <w:r w:rsidRPr="003F3FAF">
        <w:rPr>
          <w:rFonts w:ascii="Times New Roman" w:hAnsi="Times New Roman" w:cs="Times New Roman"/>
          <w:sz w:val="20"/>
          <w:szCs w:val="20"/>
        </w:rPr>
        <w:t xml:space="preserve">0.001 </w:t>
      </w:r>
    </w:p>
    <w:p w14:paraId="4E42AC96" w14:textId="02E6F69D" w:rsidR="00F91208" w:rsidRPr="003F3FAF" w:rsidRDefault="00F91208" w:rsidP="003F3FAF">
      <w:pPr>
        <w:spacing w:after="0" w:line="360" w:lineRule="auto"/>
        <w:ind w:right="49"/>
        <w:jc w:val="center"/>
        <w:rPr>
          <w:rFonts w:ascii="Times New Roman" w:hAnsi="Times New Roman" w:cs="Times New Roman"/>
          <w:sz w:val="24"/>
          <w:szCs w:val="24"/>
        </w:rPr>
      </w:pPr>
      <w:r w:rsidRPr="003F3FAF">
        <w:rPr>
          <w:rFonts w:ascii="Times New Roman" w:hAnsi="Times New Roman" w:cs="Times New Roman"/>
          <w:sz w:val="24"/>
          <w:szCs w:val="24"/>
        </w:rPr>
        <w:t>Fuente: datos obtenidos del expediente clínico</w:t>
      </w:r>
    </w:p>
    <w:p w14:paraId="43C01916" w14:textId="3B8F26C0" w:rsidR="00F91208" w:rsidRDefault="00F91208" w:rsidP="003F3FAF">
      <w:pPr>
        <w:spacing w:after="0" w:line="360" w:lineRule="auto"/>
        <w:ind w:right="49"/>
        <w:jc w:val="both"/>
        <w:rPr>
          <w:rFonts w:ascii="Times New Roman" w:hAnsi="Times New Roman" w:cs="Times New Roman"/>
          <w:sz w:val="24"/>
          <w:szCs w:val="24"/>
        </w:rPr>
      </w:pPr>
    </w:p>
    <w:p w14:paraId="4D84A3B7" w14:textId="7FB99D45" w:rsidR="000E38C2" w:rsidRDefault="00F13115" w:rsidP="003F3FAF">
      <w:pPr>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t>Tanto los días de estancia en la UCI (X</w:t>
      </w:r>
      <w:r w:rsidRPr="00DB3115">
        <w:rPr>
          <w:rFonts w:ascii="Times New Roman" w:hAnsi="Times New Roman" w:cs="Times New Roman"/>
          <w:sz w:val="24"/>
          <w:szCs w:val="24"/>
          <w:vertAlign w:val="superscript"/>
        </w:rPr>
        <w:t xml:space="preserve">2 </w:t>
      </w:r>
      <w:r w:rsidRPr="00DB3115">
        <w:rPr>
          <w:rFonts w:ascii="Times New Roman" w:hAnsi="Times New Roman" w:cs="Times New Roman"/>
          <w:sz w:val="24"/>
          <w:szCs w:val="24"/>
        </w:rPr>
        <w:t xml:space="preserve">Spearman -.432, </w:t>
      </w:r>
      <w:r w:rsidRPr="003F3FAF">
        <w:rPr>
          <w:rFonts w:ascii="Times New Roman" w:hAnsi="Times New Roman" w:cs="Times New Roman"/>
          <w:i/>
          <w:iCs/>
          <w:sz w:val="24"/>
          <w:szCs w:val="24"/>
        </w:rPr>
        <w:t>p</w:t>
      </w:r>
      <w:r w:rsidR="000E4AC1">
        <w:rPr>
          <w:rFonts w:ascii="Times New Roman" w:hAnsi="Times New Roman" w:cs="Times New Roman"/>
          <w:sz w:val="24"/>
          <w:szCs w:val="24"/>
        </w:rPr>
        <w:t xml:space="preserve"> </w:t>
      </w:r>
      <w:r w:rsidRPr="00DB3115">
        <w:rPr>
          <w:rFonts w:ascii="Times New Roman" w:hAnsi="Times New Roman" w:cs="Times New Roman"/>
          <w:sz w:val="24"/>
          <w:szCs w:val="24"/>
        </w:rPr>
        <w:t>=</w:t>
      </w:r>
      <w:r w:rsidR="000E4AC1">
        <w:rPr>
          <w:rFonts w:ascii="Times New Roman" w:hAnsi="Times New Roman" w:cs="Times New Roman"/>
          <w:sz w:val="24"/>
          <w:szCs w:val="24"/>
        </w:rPr>
        <w:t xml:space="preserve"> </w:t>
      </w:r>
      <w:r w:rsidRPr="00DB3115">
        <w:rPr>
          <w:rFonts w:ascii="Times New Roman" w:hAnsi="Times New Roman" w:cs="Times New Roman"/>
          <w:sz w:val="24"/>
          <w:szCs w:val="24"/>
        </w:rPr>
        <w:t>0.05), de ventilación mecánica (X</w:t>
      </w:r>
      <w:r w:rsidRPr="00DB3115">
        <w:rPr>
          <w:rFonts w:ascii="Times New Roman" w:hAnsi="Times New Roman" w:cs="Times New Roman"/>
          <w:sz w:val="24"/>
          <w:szCs w:val="24"/>
          <w:vertAlign w:val="superscript"/>
        </w:rPr>
        <w:t xml:space="preserve">2 </w:t>
      </w:r>
      <w:r w:rsidRPr="00DB3115">
        <w:rPr>
          <w:rFonts w:ascii="Times New Roman" w:hAnsi="Times New Roman" w:cs="Times New Roman"/>
          <w:sz w:val="24"/>
          <w:szCs w:val="24"/>
        </w:rPr>
        <w:t xml:space="preserve">Spearman -.432, </w:t>
      </w:r>
      <w:r w:rsidRPr="003F3FAF">
        <w:rPr>
          <w:rFonts w:ascii="Times New Roman" w:hAnsi="Times New Roman" w:cs="Times New Roman"/>
          <w:i/>
          <w:iCs/>
          <w:sz w:val="24"/>
          <w:szCs w:val="24"/>
        </w:rPr>
        <w:t>p</w:t>
      </w:r>
      <w:r w:rsidR="000E4AC1">
        <w:rPr>
          <w:rFonts w:ascii="Times New Roman" w:hAnsi="Times New Roman" w:cs="Times New Roman"/>
          <w:sz w:val="24"/>
          <w:szCs w:val="24"/>
        </w:rPr>
        <w:t xml:space="preserve"> </w:t>
      </w:r>
      <w:r w:rsidRPr="00DB3115">
        <w:rPr>
          <w:rFonts w:ascii="Times New Roman" w:hAnsi="Times New Roman" w:cs="Times New Roman"/>
          <w:sz w:val="24"/>
          <w:szCs w:val="24"/>
        </w:rPr>
        <w:t>=</w:t>
      </w:r>
      <w:r w:rsidR="000E4AC1">
        <w:rPr>
          <w:rFonts w:ascii="Times New Roman" w:hAnsi="Times New Roman" w:cs="Times New Roman"/>
          <w:sz w:val="24"/>
          <w:szCs w:val="24"/>
        </w:rPr>
        <w:t xml:space="preserve"> </w:t>
      </w:r>
      <w:r w:rsidRPr="00DB3115">
        <w:rPr>
          <w:rFonts w:ascii="Times New Roman" w:hAnsi="Times New Roman" w:cs="Times New Roman"/>
          <w:sz w:val="24"/>
          <w:szCs w:val="24"/>
        </w:rPr>
        <w:t>0.05), como de nutrición enteral (X</w:t>
      </w:r>
      <w:r w:rsidRPr="00DB3115">
        <w:rPr>
          <w:rFonts w:ascii="Times New Roman" w:hAnsi="Times New Roman" w:cs="Times New Roman"/>
          <w:sz w:val="24"/>
          <w:szCs w:val="24"/>
          <w:vertAlign w:val="superscript"/>
        </w:rPr>
        <w:t xml:space="preserve">2 </w:t>
      </w:r>
      <w:r w:rsidRPr="00DB3115">
        <w:rPr>
          <w:rFonts w:ascii="Times New Roman" w:hAnsi="Times New Roman" w:cs="Times New Roman"/>
          <w:sz w:val="24"/>
          <w:szCs w:val="24"/>
        </w:rPr>
        <w:t xml:space="preserve">Spearman -.425, </w:t>
      </w:r>
      <w:r w:rsidRPr="003F3FAF">
        <w:rPr>
          <w:rFonts w:ascii="Times New Roman" w:hAnsi="Times New Roman" w:cs="Times New Roman"/>
          <w:i/>
          <w:iCs/>
          <w:sz w:val="24"/>
          <w:szCs w:val="24"/>
        </w:rPr>
        <w:t>p</w:t>
      </w:r>
      <w:r w:rsidR="000E4AC1">
        <w:rPr>
          <w:rFonts w:ascii="Times New Roman" w:hAnsi="Times New Roman" w:cs="Times New Roman"/>
          <w:sz w:val="24"/>
          <w:szCs w:val="24"/>
        </w:rPr>
        <w:t xml:space="preserve"> </w:t>
      </w:r>
      <w:r w:rsidRPr="00DB3115">
        <w:rPr>
          <w:rFonts w:ascii="Times New Roman" w:hAnsi="Times New Roman" w:cs="Times New Roman"/>
          <w:sz w:val="24"/>
          <w:szCs w:val="24"/>
        </w:rPr>
        <w:t>=</w:t>
      </w:r>
      <w:r w:rsidR="000E4AC1">
        <w:rPr>
          <w:rFonts w:ascii="Times New Roman" w:hAnsi="Times New Roman" w:cs="Times New Roman"/>
          <w:sz w:val="24"/>
          <w:szCs w:val="24"/>
        </w:rPr>
        <w:t xml:space="preserve"> </w:t>
      </w:r>
      <w:r w:rsidRPr="00DB3115">
        <w:rPr>
          <w:rFonts w:ascii="Times New Roman" w:hAnsi="Times New Roman" w:cs="Times New Roman"/>
          <w:sz w:val="24"/>
          <w:szCs w:val="24"/>
        </w:rPr>
        <w:t>0.05), fue</w:t>
      </w:r>
      <w:r w:rsidR="005B21B5">
        <w:rPr>
          <w:rFonts w:ascii="Times New Roman" w:hAnsi="Times New Roman" w:cs="Times New Roman"/>
          <w:sz w:val="24"/>
          <w:szCs w:val="24"/>
        </w:rPr>
        <w:t>ron</w:t>
      </w:r>
      <w:r w:rsidRPr="00DB3115">
        <w:rPr>
          <w:rFonts w:ascii="Times New Roman" w:hAnsi="Times New Roman" w:cs="Times New Roman"/>
          <w:sz w:val="24"/>
          <w:szCs w:val="24"/>
        </w:rPr>
        <w:t xml:space="preserve"> menor</w:t>
      </w:r>
      <w:r w:rsidR="005B21B5">
        <w:rPr>
          <w:rFonts w:ascii="Times New Roman" w:hAnsi="Times New Roman" w:cs="Times New Roman"/>
          <w:sz w:val="24"/>
          <w:szCs w:val="24"/>
        </w:rPr>
        <w:t>es</w:t>
      </w:r>
      <w:r w:rsidRPr="00DB3115">
        <w:rPr>
          <w:rFonts w:ascii="Times New Roman" w:hAnsi="Times New Roman" w:cs="Times New Roman"/>
          <w:sz w:val="24"/>
          <w:szCs w:val="24"/>
        </w:rPr>
        <w:t xml:space="preserve"> en el grupo de </w:t>
      </w:r>
      <w:r w:rsidR="00800A16" w:rsidRPr="00DB3115">
        <w:rPr>
          <w:rFonts w:ascii="Times New Roman" w:hAnsi="Times New Roman" w:cs="Times New Roman"/>
          <w:sz w:val="24"/>
          <w:szCs w:val="24"/>
        </w:rPr>
        <w:t xml:space="preserve">NETI en comparación con </w:t>
      </w:r>
      <w:r w:rsidR="005B21B5">
        <w:rPr>
          <w:rFonts w:ascii="Times New Roman" w:hAnsi="Times New Roman" w:cs="Times New Roman"/>
          <w:sz w:val="24"/>
          <w:szCs w:val="24"/>
        </w:rPr>
        <w:t>el de</w:t>
      </w:r>
      <w:r w:rsidR="005B21B5" w:rsidRPr="00DB3115">
        <w:rPr>
          <w:rFonts w:ascii="Times New Roman" w:hAnsi="Times New Roman" w:cs="Times New Roman"/>
          <w:sz w:val="24"/>
          <w:szCs w:val="24"/>
        </w:rPr>
        <w:t xml:space="preserve"> </w:t>
      </w:r>
      <w:r w:rsidR="00800A16" w:rsidRPr="00DB3115">
        <w:rPr>
          <w:rFonts w:ascii="Times New Roman" w:hAnsi="Times New Roman" w:cs="Times New Roman"/>
          <w:sz w:val="24"/>
          <w:szCs w:val="24"/>
        </w:rPr>
        <w:t>NETL</w:t>
      </w:r>
      <w:r w:rsidRPr="00DB3115">
        <w:rPr>
          <w:rFonts w:ascii="Times New Roman" w:hAnsi="Times New Roman" w:cs="Times New Roman"/>
          <w:sz w:val="24"/>
          <w:szCs w:val="24"/>
        </w:rPr>
        <w:t xml:space="preserve"> (</w:t>
      </w:r>
      <w:r w:rsidR="000E4AC1">
        <w:rPr>
          <w:rFonts w:ascii="Times New Roman" w:hAnsi="Times New Roman" w:cs="Times New Roman"/>
          <w:sz w:val="24"/>
          <w:szCs w:val="24"/>
        </w:rPr>
        <w:t>t</w:t>
      </w:r>
      <w:r w:rsidR="000E4AC1" w:rsidRPr="00DB3115">
        <w:rPr>
          <w:rFonts w:ascii="Times New Roman" w:hAnsi="Times New Roman" w:cs="Times New Roman"/>
          <w:sz w:val="24"/>
          <w:szCs w:val="24"/>
        </w:rPr>
        <w:t xml:space="preserve">abla </w:t>
      </w:r>
      <w:r w:rsidR="000E4AC1">
        <w:rPr>
          <w:rFonts w:ascii="Times New Roman" w:hAnsi="Times New Roman" w:cs="Times New Roman"/>
          <w:sz w:val="24"/>
          <w:szCs w:val="24"/>
        </w:rPr>
        <w:t>5</w:t>
      </w:r>
      <w:r w:rsidRPr="00DB3115">
        <w:rPr>
          <w:rFonts w:ascii="Times New Roman" w:hAnsi="Times New Roman" w:cs="Times New Roman"/>
          <w:sz w:val="24"/>
          <w:szCs w:val="24"/>
        </w:rPr>
        <w:t>).</w:t>
      </w:r>
    </w:p>
    <w:p w14:paraId="5787D7FE" w14:textId="77777777" w:rsidR="00F91208" w:rsidRPr="00DB3115" w:rsidRDefault="00F91208" w:rsidP="003F3FAF">
      <w:pPr>
        <w:autoSpaceDE w:val="0"/>
        <w:autoSpaceDN w:val="0"/>
        <w:adjustRightInd w:val="0"/>
        <w:spacing w:after="0" w:line="360" w:lineRule="auto"/>
        <w:ind w:right="49"/>
        <w:jc w:val="both"/>
        <w:rPr>
          <w:rFonts w:ascii="Times New Roman" w:eastAsia="Times New Roman" w:hAnsi="Times New Roman" w:cs="Times New Roman"/>
          <w:b/>
          <w:lang w:eastAsia="es-ES"/>
        </w:rPr>
      </w:pPr>
    </w:p>
    <w:p w14:paraId="11760125" w14:textId="5B77C789" w:rsidR="00F91208" w:rsidRPr="003F3FAF" w:rsidRDefault="00F91208" w:rsidP="003F3FAF">
      <w:pPr>
        <w:spacing w:after="0" w:line="360" w:lineRule="auto"/>
        <w:ind w:right="49"/>
        <w:jc w:val="center"/>
        <w:rPr>
          <w:rFonts w:ascii="Times New Roman" w:hAnsi="Times New Roman" w:cs="Times New Roman"/>
          <w:sz w:val="24"/>
          <w:szCs w:val="24"/>
        </w:rPr>
      </w:pPr>
      <w:r w:rsidRPr="003F3FAF">
        <w:rPr>
          <w:rFonts w:ascii="Times New Roman" w:hAnsi="Times New Roman" w:cs="Times New Roman"/>
          <w:b/>
          <w:bCs/>
          <w:sz w:val="24"/>
          <w:szCs w:val="24"/>
        </w:rPr>
        <w:t xml:space="preserve">Tabla </w:t>
      </w:r>
      <w:r w:rsidR="000E4AC1" w:rsidRPr="003F3FAF">
        <w:rPr>
          <w:rFonts w:ascii="Times New Roman" w:hAnsi="Times New Roman" w:cs="Times New Roman"/>
          <w:b/>
          <w:bCs/>
          <w:sz w:val="24"/>
          <w:szCs w:val="24"/>
        </w:rPr>
        <w:t>5</w:t>
      </w:r>
      <w:r w:rsidRPr="003F3FAF">
        <w:rPr>
          <w:rFonts w:ascii="Times New Roman" w:hAnsi="Times New Roman" w:cs="Times New Roman"/>
          <w:sz w:val="24"/>
          <w:szCs w:val="24"/>
        </w:rPr>
        <w:t>. Estancia hospitalaria de la población en estudio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096"/>
        <w:gridCol w:w="1859"/>
      </w:tblGrid>
      <w:tr w:rsidR="00F91208" w:rsidRPr="00505A5A" w14:paraId="3C6DE061" w14:textId="77777777" w:rsidTr="00F91208">
        <w:trPr>
          <w:trHeight w:val="894"/>
          <w:jc w:val="center"/>
        </w:trPr>
        <w:tc>
          <w:tcPr>
            <w:tcW w:w="3823" w:type="dxa"/>
            <w:tcBorders>
              <w:top w:val="single" w:sz="4" w:space="0" w:color="auto"/>
              <w:bottom w:val="single" w:sz="4" w:space="0" w:color="auto"/>
            </w:tcBorders>
            <w:vAlign w:val="center"/>
          </w:tcPr>
          <w:p w14:paraId="7716A20F" w14:textId="77777777" w:rsidR="00F91208" w:rsidRPr="003F3FAF" w:rsidRDefault="00F91208"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Características de la estancia hospitalaria</w:t>
            </w:r>
          </w:p>
        </w:tc>
        <w:tc>
          <w:tcPr>
            <w:tcW w:w="3096" w:type="dxa"/>
            <w:tcBorders>
              <w:top w:val="single" w:sz="4" w:space="0" w:color="auto"/>
              <w:bottom w:val="single" w:sz="4" w:space="0" w:color="auto"/>
            </w:tcBorders>
            <w:vAlign w:val="center"/>
          </w:tcPr>
          <w:p w14:paraId="3A540D70" w14:textId="77777777" w:rsidR="00F91208" w:rsidRPr="003F3FAF" w:rsidRDefault="00F91208"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NETL</w:t>
            </w:r>
          </w:p>
          <w:p w14:paraId="4594626B" w14:textId="117D5CAB" w:rsidR="00F91208" w:rsidRPr="003F3FAF" w:rsidRDefault="00505A5A"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i/>
                <w:iCs/>
                <w:sz w:val="24"/>
                <w:szCs w:val="24"/>
              </w:rPr>
              <w:t>N</w:t>
            </w:r>
            <w:r w:rsidRPr="003F3FAF">
              <w:rPr>
                <w:rFonts w:ascii="Times New Roman" w:hAnsi="Times New Roman" w:cs="Times New Roman"/>
                <w:b/>
                <w:bCs/>
                <w:sz w:val="24"/>
                <w:szCs w:val="24"/>
              </w:rPr>
              <w:t xml:space="preserve"> </w:t>
            </w:r>
            <w:r w:rsidR="00F91208" w:rsidRPr="003F3FAF">
              <w:rPr>
                <w:rFonts w:ascii="Times New Roman" w:hAnsi="Times New Roman" w:cs="Times New Roman"/>
                <w:b/>
                <w:bCs/>
                <w:sz w:val="24"/>
                <w:szCs w:val="24"/>
              </w:rPr>
              <w:t>=</w:t>
            </w:r>
            <w:r w:rsidRPr="003F3FAF">
              <w:rPr>
                <w:rFonts w:ascii="Times New Roman" w:hAnsi="Times New Roman" w:cs="Times New Roman"/>
                <w:b/>
                <w:bCs/>
                <w:sz w:val="24"/>
                <w:szCs w:val="24"/>
              </w:rPr>
              <w:t xml:space="preserve"> </w:t>
            </w:r>
            <w:r w:rsidR="00F91208" w:rsidRPr="003F3FAF">
              <w:rPr>
                <w:rFonts w:ascii="Times New Roman" w:hAnsi="Times New Roman" w:cs="Times New Roman"/>
                <w:b/>
                <w:bCs/>
                <w:sz w:val="24"/>
                <w:szCs w:val="24"/>
              </w:rPr>
              <w:t>11</w:t>
            </w:r>
          </w:p>
          <w:p w14:paraId="68908FD1" w14:textId="77777777" w:rsidR="00F91208" w:rsidRPr="003F3FAF" w:rsidRDefault="00F91208"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Media (</w:t>
            </w:r>
            <w:r w:rsidRPr="003F3FAF">
              <w:rPr>
                <w:rFonts w:ascii="Times New Roman" w:hAnsi="Times New Roman" w:cs="Times New Roman"/>
                <w:b/>
                <w:bCs/>
                <w:i/>
                <w:sz w:val="24"/>
                <w:szCs w:val="24"/>
              </w:rPr>
              <w:t>DS</w:t>
            </w:r>
            <w:r w:rsidRPr="003F3FAF">
              <w:rPr>
                <w:rFonts w:ascii="Times New Roman" w:hAnsi="Times New Roman" w:cs="Times New Roman"/>
                <w:b/>
                <w:bCs/>
                <w:sz w:val="24"/>
                <w:szCs w:val="24"/>
              </w:rPr>
              <w:t>)</w:t>
            </w:r>
          </w:p>
        </w:tc>
        <w:tc>
          <w:tcPr>
            <w:tcW w:w="1859" w:type="dxa"/>
            <w:tcBorders>
              <w:top w:val="single" w:sz="4" w:space="0" w:color="auto"/>
              <w:bottom w:val="single" w:sz="4" w:space="0" w:color="auto"/>
            </w:tcBorders>
            <w:vAlign w:val="center"/>
          </w:tcPr>
          <w:p w14:paraId="0CEA22D0" w14:textId="77777777" w:rsidR="00F91208" w:rsidRPr="003F3FAF" w:rsidRDefault="00F91208"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NETI</w:t>
            </w:r>
          </w:p>
          <w:p w14:paraId="0D464FE5" w14:textId="2C3CF2FE" w:rsidR="00F91208" w:rsidRPr="003F3FAF" w:rsidRDefault="00505A5A"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i/>
                <w:iCs/>
                <w:sz w:val="24"/>
                <w:szCs w:val="24"/>
              </w:rPr>
              <w:t>N</w:t>
            </w:r>
            <w:r w:rsidRPr="003F3FAF">
              <w:rPr>
                <w:rFonts w:ascii="Times New Roman" w:hAnsi="Times New Roman" w:cs="Times New Roman"/>
                <w:b/>
                <w:bCs/>
                <w:sz w:val="24"/>
                <w:szCs w:val="24"/>
              </w:rPr>
              <w:t xml:space="preserve"> </w:t>
            </w:r>
            <w:r w:rsidR="00F91208" w:rsidRPr="003F3FAF">
              <w:rPr>
                <w:rFonts w:ascii="Times New Roman" w:hAnsi="Times New Roman" w:cs="Times New Roman"/>
                <w:b/>
                <w:bCs/>
                <w:sz w:val="24"/>
                <w:szCs w:val="24"/>
              </w:rPr>
              <w:t>=</w:t>
            </w:r>
            <w:r w:rsidRPr="003F3FAF">
              <w:rPr>
                <w:rFonts w:ascii="Times New Roman" w:hAnsi="Times New Roman" w:cs="Times New Roman"/>
                <w:b/>
                <w:bCs/>
                <w:sz w:val="24"/>
                <w:szCs w:val="24"/>
              </w:rPr>
              <w:t xml:space="preserve"> </w:t>
            </w:r>
            <w:r w:rsidR="00F91208" w:rsidRPr="003F3FAF">
              <w:rPr>
                <w:rFonts w:ascii="Times New Roman" w:hAnsi="Times New Roman" w:cs="Times New Roman"/>
                <w:b/>
                <w:bCs/>
                <w:sz w:val="24"/>
                <w:szCs w:val="24"/>
              </w:rPr>
              <w:t>11</w:t>
            </w:r>
          </w:p>
          <w:p w14:paraId="5D73BEDC" w14:textId="77777777" w:rsidR="00F91208" w:rsidRPr="003F3FAF" w:rsidRDefault="00F91208" w:rsidP="003F3FAF">
            <w:pPr>
              <w:spacing w:line="360" w:lineRule="auto"/>
              <w:ind w:right="49"/>
              <w:jc w:val="both"/>
              <w:rPr>
                <w:rFonts w:ascii="Times New Roman" w:hAnsi="Times New Roman" w:cs="Times New Roman"/>
                <w:b/>
                <w:bCs/>
                <w:sz w:val="24"/>
                <w:szCs w:val="24"/>
              </w:rPr>
            </w:pPr>
            <w:r w:rsidRPr="003F3FAF">
              <w:rPr>
                <w:rFonts w:ascii="Times New Roman" w:hAnsi="Times New Roman" w:cs="Times New Roman"/>
                <w:b/>
                <w:bCs/>
                <w:sz w:val="24"/>
                <w:szCs w:val="24"/>
              </w:rPr>
              <w:t>Media (</w:t>
            </w:r>
            <w:r w:rsidRPr="003F3FAF">
              <w:rPr>
                <w:rFonts w:ascii="Times New Roman" w:hAnsi="Times New Roman" w:cs="Times New Roman"/>
                <w:b/>
                <w:bCs/>
                <w:i/>
                <w:sz w:val="24"/>
                <w:szCs w:val="24"/>
              </w:rPr>
              <w:t>DS</w:t>
            </w:r>
            <w:r w:rsidRPr="003F3FAF">
              <w:rPr>
                <w:rFonts w:ascii="Times New Roman" w:hAnsi="Times New Roman" w:cs="Times New Roman"/>
                <w:b/>
                <w:bCs/>
                <w:sz w:val="24"/>
                <w:szCs w:val="24"/>
              </w:rPr>
              <w:t>)</w:t>
            </w:r>
          </w:p>
        </w:tc>
      </w:tr>
      <w:tr w:rsidR="00F91208" w:rsidRPr="00505A5A" w14:paraId="43F1A955" w14:textId="77777777" w:rsidTr="00F91208">
        <w:trPr>
          <w:trHeight w:val="388"/>
          <w:jc w:val="center"/>
        </w:trPr>
        <w:tc>
          <w:tcPr>
            <w:tcW w:w="3823" w:type="dxa"/>
            <w:tcBorders>
              <w:top w:val="single" w:sz="4" w:space="0" w:color="auto"/>
            </w:tcBorders>
            <w:vAlign w:val="center"/>
          </w:tcPr>
          <w:p w14:paraId="5E45B6A3"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Días de ventilación mecánica en UCI</w:t>
            </w:r>
          </w:p>
        </w:tc>
        <w:tc>
          <w:tcPr>
            <w:tcW w:w="3096" w:type="dxa"/>
            <w:tcBorders>
              <w:top w:val="single" w:sz="4" w:space="0" w:color="auto"/>
            </w:tcBorders>
            <w:vAlign w:val="center"/>
          </w:tcPr>
          <w:p w14:paraId="337C7D68"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16.1 (10.2)</w:t>
            </w:r>
          </w:p>
        </w:tc>
        <w:tc>
          <w:tcPr>
            <w:tcW w:w="1859" w:type="dxa"/>
            <w:tcBorders>
              <w:top w:val="single" w:sz="4" w:space="0" w:color="auto"/>
            </w:tcBorders>
            <w:vAlign w:val="center"/>
          </w:tcPr>
          <w:p w14:paraId="49E3D1BA"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9.7 (6.0) *</w:t>
            </w:r>
          </w:p>
        </w:tc>
      </w:tr>
      <w:tr w:rsidR="00F91208" w:rsidRPr="00505A5A" w14:paraId="2EB238D0" w14:textId="77777777" w:rsidTr="00F91208">
        <w:trPr>
          <w:trHeight w:val="388"/>
          <w:jc w:val="center"/>
        </w:trPr>
        <w:tc>
          <w:tcPr>
            <w:tcW w:w="3823" w:type="dxa"/>
            <w:vAlign w:val="center"/>
          </w:tcPr>
          <w:p w14:paraId="28F9F6C6"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Días de estancia hospitalaria en UCI</w:t>
            </w:r>
          </w:p>
        </w:tc>
        <w:tc>
          <w:tcPr>
            <w:tcW w:w="3096" w:type="dxa"/>
            <w:vAlign w:val="center"/>
          </w:tcPr>
          <w:p w14:paraId="187CDC0E"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17.18 (10.2)</w:t>
            </w:r>
          </w:p>
        </w:tc>
        <w:tc>
          <w:tcPr>
            <w:tcW w:w="1859" w:type="dxa"/>
            <w:vAlign w:val="center"/>
          </w:tcPr>
          <w:p w14:paraId="0912BB90"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10.7 (6.8) *</w:t>
            </w:r>
          </w:p>
        </w:tc>
      </w:tr>
      <w:tr w:rsidR="00F91208" w:rsidRPr="00505A5A" w14:paraId="55150693" w14:textId="77777777" w:rsidTr="00F91208">
        <w:trPr>
          <w:trHeight w:val="388"/>
          <w:jc w:val="center"/>
        </w:trPr>
        <w:tc>
          <w:tcPr>
            <w:tcW w:w="3823" w:type="dxa"/>
            <w:tcBorders>
              <w:bottom w:val="single" w:sz="4" w:space="0" w:color="auto"/>
            </w:tcBorders>
            <w:vAlign w:val="center"/>
          </w:tcPr>
          <w:p w14:paraId="063A5191"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Días de nutrición enteral en UCI</w:t>
            </w:r>
          </w:p>
        </w:tc>
        <w:tc>
          <w:tcPr>
            <w:tcW w:w="3096" w:type="dxa"/>
            <w:tcBorders>
              <w:bottom w:val="single" w:sz="4" w:space="0" w:color="auto"/>
            </w:tcBorders>
            <w:vAlign w:val="center"/>
          </w:tcPr>
          <w:p w14:paraId="0657DE87"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15.9 (10.3)</w:t>
            </w:r>
          </w:p>
        </w:tc>
        <w:tc>
          <w:tcPr>
            <w:tcW w:w="1859" w:type="dxa"/>
            <w:tcBorders>
              <w:bottom w:val="single" w:sz="4" w:space="0" w:color="auto"/>
            </w:tcBorders>
            <w:vAlign w:val="center"/>
          </w:tcPr>
          <w:p w14:paraId="74009304" w14:textId="77777777" w:rsidR="00F91208" w:rsidRPr="003F3FAF" w:rsidRDefault="00F91208" w:rsidP="003F3FAF">
            <w:pPr>
              <w:spacing w:line="360" w:lineRule="auto"/>
              <w:ind w:right="49"/>
              <w:jc w:val="both"/>
              <w:rPr>
                <w:rFonts w:ascii="Times New Roman" w:hAnsi="Times New Roman" w:cs="Times New Roman"/>
                <w:sz w:val="24"/>
                <w:szCs w:val="24"/>
              </w:rPr>
            </w:pPr>
            <w:r w:rsidRPr="003F3FAF">
              <w:rPr>
                <w:rFonts w:ascii="Times New Roman" w:hAnsi="Times New Roman" w:cs="Times New Roman"/>
                <w:sz w:val="24"/>
                <w:szCs w:val="24"/>
              </w:rPr>
              <w:t>9.7 (6.0) *</w:t>
            </w:r>
          </w:p>
        </w:tc>
      </w:tr>
    </w:tbl>
    <w:p w14:paraId="4F74E063" w14:textId="4C3A7ECB" w:rsidR="00505A5A" w:rsidRPr="003F3FAF" w:rsidRDefault="00F91208" w:rsidP="003F3FAF">
      <w:pPr>
        <w:spacing w:after="0" w:line="360" w:lineRule="auto"/>
        <w:ind w:right="49"/>
        <w:jc w:val="both"/>
        <w:rPr>
          <w:rFonts w:ascii="Times New Roman" w:hAnsi="Times New Roman" w:cs="Times New Roman"/>
          <w:sz w:val="20"/>
          <w:szCs w:val="20"/>
        </w:rPr>
      </w:pPr>
      <w:r w:rsidRPr="003F3FAF">
        <w:rPr>
          <w:rFonts w:ascii="Times New Roman" w:hAnsi="Times New Roman" w:cs="Times New Roman"/>
          <w:sz w:val="20"/>
          <w:szCs w:val="20"/>
        </w:rPr>
        <w:t xml:space="preserve"> </w:t>
      </w:r>
      <w:r w:rsidRPr="003F3FAF">
        <w:rPr>
          <w:rFonts w:ascii="Times New Roman" w:hAnsi="Times New Roman" w:cs="Times New Roman"/>
          <w:i/>
          <w:iCs/>
          <w:sz w:val="20"/>
          <w:szCs w:val="20"/>
        </w:rPr>
        <w:t>N</w:t>
      </w:r>
      <w:r w:rsidR="00505A5A" w:rsidRPr="003F3FAF">
        <w:rPr>
          <w:rFonts w:ascii="Times New Roman" w:hAnsi="Times New Roman" w:cs="Times New Roman"/>
          <w:sz w:val="20"/>
          <w:szCs w:val="20"/>
        </w:rPr>
        <w:t xml:space="preserve"> </w:t>
      </w:r>
      <w:r w:rsidRPr="003F3FAF">
        <w:rPr>
          <w:rFonts w:ascii="Times New Roman" w:hAnsi="Times New Roman" w:cs="Times New Roman"/>
          <w:sz w:val="20"/>
          <w:szCs w:val="20"/>
        </w:rPr>
        <w:t>=</w:t>
      </w:r>
      <w:r w:rsidR="00505A5A" w:rsidRPr="003F3FAF">
        <w:rPr>
          <w:rFonts w:ascii="Times New Roman" w:hAnsi="Times New Roman" w:cs="Times New Roman"/>
          <w:sz w:val="20"/>
          <w:szCs w:val="20"/>
        </w:rPr>
        <w:t xml:space="preserve"> </w:t>
      </w:r>
      <w:r w:rsidRPr="003F3FAF">
        <w:rPr>
          <w:rFonts w:ascii="Times New Roman" w:hAnsi="Times New Roman" w:cs="Times New Roman"/>
          <w:sz w:val="20"/>
          <w:szCs w:val="20"/>
        </w:rPr>
        <w:t>22; *</w:t>
      </w:r>
      <w:r w:rsidRPr="003F3FAF">
        <w:rPr>
          <w:rFonts w:ascii="Times New Roman" w:hAnsi="Times New Roman" w:cs="Times New Roman"/>
          <w:i/>
          <w:iCs/>
          <w:sz w:val="20"/>
          <w:szCs w:val="20"/>
        </w:rPr>
        <w:t>p</w:t>
      </w:r>
      <w:r w:rsidR="00505A5A" w:rsidRPr="003F3FAF">
        <w:rPr>
          <w:rFonts w:ascii="Times New Roman" w:hAnsi="Times New Roman" w:cs="Times New Roman"/>
          <w:sz w:val="20"/>
          <w:szCs w:val="20"/>
        </w:rPr>
        <w:t xml:space="preserve"> </w:t>
      </w:r>
      <w:r w:rsidRPr="003F3FAF">
        <w:rPr>
          <w:rFonts w:ascii="Times New Roman" w:hAnsi="Times New Roman" w:cs="Times New Roman"/>
          <w:sz w:val="20"/>
          <w:szCs w:val="20"/>
        </w:rPr>
        <w:t>&lt;</w:t>
      </w:r>
      <w:r w:rsidR="00505A5A" w:rsidRPr="003F3FAF">
        <w:rPr>
          <w:rFonts w:ascii="Times New Roman" w:hAnsi="Times New Roman" w:cs="Times New Roman"/>
          <w:sz w:val="20"/>
          <w:szCs w:val="20"/>
        </w:rPr>
        <w:t xml:space="preserve"> </w:t>
      </w:r>
      <w:r w:rsidRPr="003F3FAF">
        <w:rPr>
          <w:rFonts w:ascii="Times New Roman" w:hAnsi="Times New Roman" w:cs="Times New Roman"/>
          <w:sz w:val="20"/>
          <w:szCs w:val="20"/>
        </w:rPr>
        <w:t>0.05</w:t>
      </w:r>
    </w:p>
    <w:p w14:paraId="22AA14A3" w14:textId="7422C799" w:rsidR="00F91208" w:rsidRPr="003F3FAF" w:rsidRDefault="00F91208" w:rsidP="003F3FAF">
      <w:pPr>
        <w:spacing w:after="0" w:line="360" w:lineRule="auto"/>
        <w:ind w:right="49"/>
        <w:jc w:val="center"/>
        <w:rPr>
          <w:rFonts w:ascii="Times New Roman" w:hAnsi="Times New Roman" w:cs="Times New Roman"/>
          <w:sz w:val="24"/>
          <w:szCs w:val="24"/>
        </w:rPr>
      </w:pPr>
      <w:r w:rsidRPr="003F3FAF">
        <w:rPr>
          <w:rFonts w:ascii="Times New Roman" w:hAnsi="Times New Roman" w:cs="Times New Roman"/>
          <w:sz w:val="24"/>
          <w:szCs w:val="24"/>
        </w:rPr>
        <w:t xml:space="preserve">Fuente: </w:t>
      </w:r>
      <w:r w:rsidR="000E4AC1">
        <w:rPr>
          <w:rFonts w:ascii="Times New Roman" w:hAnsi="Times New Roman" w:cs="Times New Roman"/>
          <w:sz w:val="24"/>
          <w:szCs w:val="24"/>
        </w:rPr>
        <w:t>Elaboración propia</w:t>
      </w:r>
    </w:p>
    <w:p w14:paraId="4854BE04" w14:textId="77777777" w:rsidR="00F91208" w:rsidRDefault="00F91208" w:rsidP="003F3FAF">
      <w:pPr>
        <w:spacing w:after="0" w:line="360" w:lineRule="auto"/>
        <w:ind w:right="49"/>
        <w:jc w:val="both"/>
        <w:rPr>
          <w:rFonts w:ascii="Times New Roman" w:hAnsi="Times New Roman" w:cs="Times New Roman"/>
          <w:sz w:val="24"/>
          <w:szCs w:val="24"/>
        </w:rPr>
      </w:pPr>
    </w:p>
    <w:p w14:paraId="682651F2" w14:textId="77777777" w:rsidR="00647DB0" w:rsidRDefault="00647DB0" w:rsidP="003F3FAF">
      <w:pPr>
        <w:spacing w:after="0" w:line="360" w:lineRule="auto"/>
        <w:ind w:right="49"/>
        <w:jc w:val="both"/>
        <w:rPr>
          <w:rFonts w:ascii="Times New Roman" w:hAnsi="Times New Roman" w:cs="Times New Roman"/>
          <w:sz w:val="24"/>
          <w:szCs w:val="24"/>
        </w:rPr>
      </w:pPr>
    </w:p>
    <w:p w14:paraId="21229339" w14:textId="77777777" w:rsidR="00647DB0" w:rsidRPr="00DB3115" w:rsidRDefault="00647DB0" w:rsidP="003F3FAF">
      <w:pPr>
        <w:spacing w:after="0" w:line="360" w:lineRule="auto"/>
        <w:ind w:right="49"/>
        <w:jc w:val="both"/>
        <w:rPr>
          <w:rFonts w:ascii="Times New Roman" w:hAnsi="Times New Roman" w:cs="Times New Roman"/>
          <w:sz w:val="24"/>
          <w:szCs w:val="24"/>
        </w:rPr>
      </w:pPr>
    </w:p>
    <w:p w14:paraId="748994B2" w14:textId="34879C41" w:rsidR="00B24C2A" w:rsidRPr="003F3FAF" w:rsidRDefault="00505A5A" w:rsidP="00903856">
      <w:pPr>
        <w:spacing w:after="0" w:line="360" w:lineRule="auto"/>
        <w:ind w:right="49"/>
        <w:jc w:val="center"/>
        <w:rPr>
          <w:rFonts w:ascii="Times New Roman" w:hAnsi="Times New Roman" w:cs="Times New Roman"/>
          <w:b/>
          <w:sz w:val="32"/>
          <w:szCs w:val="32"/>
        </w:rPr>
      </w:pPr>
      <w:r w:rsidRPr="003F3FAF">
        <w:rPr>
          <w:rFonts w:ascii="Times New Roman" w:hAnsi="Times New Roman" w:cs="Times New Roman"/>
          <w:b/>
          <w:sz w:val="32"/>
          <w:szCs w:val="32"/>
        </w:rPr>
        <w:lastRenderedPageBreak/>
        <w:t>Discusión</w:t>
      </w:r>
    </w:p>
    <w:p w14:paraId="5D1A5C1C" w14:textId="52FF501B" w:rsidR="00ED6469" w:rsidRPr="00DB3115" w:rsidRDefault="00ED6469" w:rsidP="003F3FAF">
      <w:pPr>
        <w:spacing w:after="0" w:line="360" w:lineRule="auto"/>
        <w:ind w:right="49" w:firstLine="708"/>
        <w:jc w:val="both"/>
        <w:rPr>
          <w:rFonts w:ascii="Times New Roman" w:hAnsi="Times New Roman" w:cs="Times New Roman"/>
          <w:b/>
          <w:sz w:val="24"/>
          <w:szCs w:val="24"/>
        </w:rPr>
      </w:pPr>
      <w:r w:rsidRPr="00DB3115">
        <w:rPr>
          <w:rFonts w:ascii="Times New Roman" w:hAnsi="Times New Roman" w:cs="Times New Roman"/>
          <w:sz w:val="24"/>
          <w:szCs w:val="24"/>
        </w:rPr>
        <w:t>El presente estudio concuerda con estudios previos que</w:t>
      </w:r>
      <w:r w:rsidR="000E4AC1">
        <w:rPr>
          <w:rFonts w:ascii="Times New Roman" w:hAnsi="Times New Roman" w:cs="Times New Roman"/>
          <w:sz w:val="24"/>
          <w:szCs w:val="24"/>
        </w:rPr>
        <w:t xml:space="preserve"> han reportado que</w:t>
      </w:r>
      <w:r w:rsidRPr="00DB3115">
        <w:rPr>
          <w:rFonts w:ascii="Times New Roman" w:hAnsi="Times New Roman" w:cs="Times New Roman"/>
          <w:sz w:val="24"/>
          <w:szCs w:val="24"/>
        </w:rPr>
        <w:t xml:space="preserve"> </w:t>
      </w:r>
      <w:r w:rsidR="00CC52C0" w:rsidRPr="00DB3115">
        <w:rPr>
          <w:rFonts w:ascii="Times New Roman" w:hAnsi="Times New Roman" w:cs="Times New Roman"/>
          <w:sz w:val="24"/>
          <w:szCs w:val="24"/>
        </w:rPr>
        <w:t>el TCE</w:t>
      </w:r>
      <w:r w:rsidRPr="00DB3115">
        <w:rPr>
          <w:rFonts w:ascii="Times New Roman" w:hAnsi="Times New Roman" w:cs="Times New Roman"/>
          <w:sz w:val="24"/>
          <w:szCs w:val="24"/>
        </w:rPr>
        <w:t xml:space="preserve"> se presenta con más frecuencia en hombres que en mujeres, en una proporción 3:1</w:t>
      </w:r>
      <w:r w:rsidR="000E4AC1">
        <w:rPr>
          <w:rFonts w:ascii="Times New Roman" w:hAnsi="Times New Roman" w:cs="Times New Roman"/>
          <w:sz w:val="24"/>
          <w:szCs w:val="24"/>
        </w:rPr>
        <w:t>,</w:t>
      </w:r>
      <w:r w:rsidRPr="00DB3115">
        <w:rPr>
          <w:rFonts w:ascii="Times New Roman" w:hAnsi="Times New Roman" w:cs="Times New Roman"/>
          <w:sz w:val="24"/>
          <w:szCs w:val="24"/>
        </w:rPr>
        <w:t xml:space="preserve"> y</w:t>
      </w:r>
      <w:r w:rsidR="000E4AC1">
        <w:rPr>
          <w:rFonts w:ascii="Times New Roman" w:hAnsi="Times New Roman" w:cs="Times New Roman"/>
          <w:sz w:val="24"/>
          <w:szCs w:val="24"/>
        </w:rPr>
        <w:t xml:space="preserve"> que</w:t>
      </w:r>
      <w:r w:rsidRPr="00DB3115">
        <w:rPr>
          <w:rFonts w:ascii="Times New Roman" w:hAnsi="Times New Roman" w:cs="Times New Roman"/>
          <w:sz w:val="24"/>
          <w:szCs w:val="24"/>
        </w:rPr>
        <w:t xml:space="preserve"> afecta principalmente a la población de 15 a 45 años</w:t>
      </w:r>
      <w:r w:rsidR="0017685F">
        <w:rPr>
          <w:rFonts w:ascii="Times New Roman" w:hAnsi="Times New Roman" w:cs="Times New Roman"/>
          <w:sz w:val="24"/>
          <w:szCs w:val="24"/>
        </w:rPr>
        <w:t>.</w:t>
      </w:r>
    </w:p>
    <w:p w14:paraId="574C8A4B" w14:textId="43B1BB7A" w:rsidR="00ED6469" w:rsidRPr="00DB3115" w:rsidRDefault="00ED6469" w:rsidP="003F3FAF">
      <w:pPr>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t>Según se ha citado en estudios previos</w:t>
      </w:r>
      <w:r w:rsidR="000E4AC1">
        <w:rPr>
          <w:rFonts w:ascii="Times New Roman" w:hAnsi="Times New Roman" w:cs="Times New Roman"/>
          <w:sz w:val="24"/>
          <w:szCs w:val="24"/>
        </w:rPr>
        <w:t>,</w:t>
      </w:r>
      <w:r w:rsidRPr="00DB3115">
        <w:rPr>
          <w:rFonts w:ascii="Times New Roman" w:hAnsi="Times New Roman" w:cs="Times New Roman"/>
          <w:sz w:val="24"/>
          <w:szCs w:val="24"/>
        </w:rPr>
        <w:t xml:space="preserve"> l</w:t>
      </w:r>
      <w:r w:rsidRPr="00DB3115">
        <w:rPr>
          <w:rFonts w:ascii="Times New Roman" w:hAnsi="Times New Roman" w:cs="Times New Roman"/>
          <w:sz w:val="24"/>
          <w:szCs w:val="24"/>
          <w:shd w:val="clear" w:color="auto" w:fill="FFFFFF"/>
        </w:rPr>
        <w:t>as causas más frecuentes del TCE son accidentes de tráfico (42</w:t>
      </w:r>
      <w:r w:rsidR="000E4AC1">
        <w:rPr>
          <w:rFonts w:ascii="Times New Roman" w:hAnsi="Times New Roman" w:cs="Times New Roman"/>
          <w:sz w:val="24"/>
          <w:szCs w:val="24"/>
          <w:shd w:val="clear" w:color="auto" w:fill="FFFFFF"/>
        </w:rPr>
        <w:t xml:space="preserve"> </w:t>
      </w:r>
      <w:r w:rsidRPr="00DB3115">
        <w:rPr>
          <w:rFonts w:ascii="Times New Roman" w:hAnsi="Times New Roman" w:cs="Times New Roman"/>
          <w:sz w:val="24"/>
          <w:szCs w:val="24"/>
          <w:shd w:val="clear" w:color="auto" w:fill="FFFFFF"/>
        </w:rPr>
        <w:t>%), caídas (23</w:t>
      </w:r>
      <w:r w:rsidR="000E4AC1">
        <w:rPr>
          <w:rFonts w:ascii="Times New Roman" w:hAnsi="Times New Roman" w:cs="Times New Roman"/>
          <w:sz w:val="24"/>
          <w:szCs w:val="24"/>
          <w:shd w:val="clear" w:color="auto" w:fill="FFFFFF"/>
        </w:rPr>
        <w:t xml:space="preserve"> </w:t>
      </w:r>
      <w:r w:rsidRPr="00DB3115">
        <w:rPr>
          <w:rFonts w:ascii="Times New Roman" w:hAnsi="Times New Roman" w:cs="Times New Roman"/>
          <w:sz w:val="24"/>
          <w:szCs w:val="24"/>
          <w:shd w:val="clear" w:color="auto" w:fill="FFFFFF"/>
        </w:rPr>
        <w:t>%) y agresiones (14</w:t>
      </w:r>
      <w:r w:rsidR="000E4AC1">
        <w:rPr>
          <w:rFonts w:ascii="Times New Roman" w:hAnsi="Times New Roman" w:cs="Times New Roman"/>
          <w:sz w:val="24"/>
          <w:szCs w:val="24"/>
          <w:shd w:val="clear" w:color="auto" w:fill="FFFFFF"/>
        </w:rPr>
        <w:t xml:space="preserve"> </w:t>
      </w:r>
      <w:r w:rsidRPr="00DB3115">
        <w:rPr>
          <w:rFonts w:ascii="Times New Roman" w:hAnsi="Times New Roman" w:cs="Times New Roman"/>
          <w:sz w:val="24"/>
          <w:szCs w:val="24"/>
          <w:shd w:val="clear" w:color="auto" w:fill="FFFFFF"/>
        </w:rPr>
        <w:t>%)</w:t>
      </w:r>
      <w:r w:rsidRPr="00DB3115">
        <w:rPr>
          <w:rFonts w:ascii="Times New Roman" w:hAnsi="Times New Roman" w:cs="Times New Roman"/>
          <w:sz w:val="24"/>
          <w:szCs w:val="24"/>
          <w:shd w:val="clear" w:color="auto" w:fill="FFFFFF"/>
          <w:vertAlign w:val="superscript"/>
        </w:rPr>
        <w:t xml:space="preserve"> </w:t>
      </w:r>
      <w:r w:rsidRPr="00DB3115">
        <w:rPr>
          <w:rFonts w:ascii="Times New Roman" w:hAnsi="Times New Roman" w:cs="Times New Roman"/>
          <w:sz w:val="24"/>
          <w:szCs w:val="24"/>
          <w:shd w:val="clear" w:color="auto" w:fill="FFFFFF"/>
        </w:rPr>
        <w:t>(4)</w:t>
      </w:r>
      <w:r w:rsidR="000E4AC1">
        <w:rPr>
          <w:rFonts w:ascii="Times New Roman" w:hAnsi="Times New Roman" w:cs="Times New Roman"/>
          <w:sz w:val="24"/>
          <w:szCs w:val="24"/>
          <w:shd w:val="clear" w:color="auto" w:fill="FFFFFF"/>
        </w:rPr>
        <w:t>;</w:t>
      </w:r>
      <w:r w:rsidRPr="00DB3115">
        <w:rPr>
          <w:rStyle w:val="apple-converted-space"/>
          <w:rFonts w:ascii="Times New Roman" w:hAnsi="Times New Roman" w:cs="Times New Roman"/>
          <w:sz w:val="24"/>
          <w:szCs w:val="24"/>
          <w:shd w:val="clear" w:color="auto" w:fill="FFFFFF"/>
        </w:rPr>
        <w:t xml:space="preserve"> resultados similares</w:t>
      </w:r>
      <w:r w:rsidR="000E4AC1">
        <w:rPr>
          <w:rStyle w:val="apple-converted-space"/>
          <w:rFonts w:ascii="Times New Roman" w:hAnsi="Times New Roman" w:cs="Times New Roman"/>
          <w:sz w:val="24"/>
          <w:szCs w:val="24"/>
          <w:shd w:val="clear" w:color="auto" w:fill="FFFFFF"/>
        </w:rPr>
        <w:t xml:space="preserve"> se encontraron</w:t>
      </w:r>
      <w:r w:rsidRPr="00DB3115">
        <w:rPr>
          <w:rStyle w:val="apple-converted-space"/>
          <w:rFonts w:ascii="Times New Roman" w:hAnsi="Times New Roman" w:cs="Times New Roman"/>
          <w:sz w:val="24"/>
          <w:szCs w:val="24"/>
          <w:shd w:val="clear" w:color="auto" w:fill="FFFFFF"/>
        </w:rPr>
        <w:t xml:space="preserve"> en el presente estudio</w:t>
      </w:r>
      <w:r w:rsidR="000E4AC1">
        <w:rPr>
          <w:rStyle w:val="apple-converted-space"/>
          <w:rFonts w:ascii="Times New Roman" w:hAnsi="Times New Roman" w:cs="Times New Roman"/>
          <w:sz w:val="24"/>
          <w:szCs w:val="24"/>
          <w:shd w:val="clear" w:color="auto" w:fill="FFFFFF"/>
        </w:rPr>
        <w:t>,</w:t>
      </w:r>
      <w:r w:rsidRPr="00DB3115">
        <w:rPr>
          <w:rStyle w:val="apple-converted-space"/>
          <w:rFonts w:ascii="Times New Roman" w:hAnsi="Times New Roman" w:cs="Times New Roman"/>
          <w:sz w:val="24"/>
          <w:szCs w:val="24"/>
          <w:shd w:val="clear" w:color="auto" w:fill="FFFFFF"/>
        </w:rPr>
        <w:t xml:space="preserve"> </w:t>
      </w:r>
      <w:r w:rsidR="000E4AC1">
        <w:rPr>
          <w:rStyle w:val="apple-converted-space"/>
          <w:rFonts w:ascii="Times New Roman" w:hAnsi="Times New Roman" w:cs="Times New Roman"/>
          <w:sz w:val="24"/>
          <w:szCs w:val="24"/>
          <w:shd w:val="clear" w:color="auto" w:fill="FFFFFF"/>
        </w:rPr>
        <w:t>pues</w:t>
      </w:r>
      <w:r w:rsidRPr="00DB3115">
        <w:rPr>
          <w:rStyle w:val="apple-converted-space"/>
          <w:rFonts w:ascii="Times New Roman" w:hAnsi="Times New Roman" w:cs="Times New Roman"/>
          <w:sz w:val="24"/>
          <w:szCs w:val="24"/>
          <w:shd w:val="clear" w:color="auto" w:fill="FFFFFF"/>
        </w:rPr>
        <w:t xml:space="preserve"> se reporta que </w:t>
      </w:r>
      <w:r w:rsidRPr="00DB3115">
        <w:rPr>
          <w:rFonts w:ascii="Times New Roman" w:hAnsi="Times New Roman" w:cs="Times New Roman"/>
          <w:sz w:val="24"/>
          <w:szCs w:val="24"/>
        </w:rPr>
        <w:t>la principal causa del TCE fue por accidente de tránsito (27.20</w:t>
      </w:r>
      <w:r w:rsidR="000E4AC1">
        <w:rPr>
          <w:rFonts w:ascii="Times New Roman" w:hAnsi="Times New Roman" w:cs="Times New Roman"/>
          <w:sz w:val="24"/>
          <w:szCs w:val="24"/>
        </w:rPr>
        <w:t xml:space="preserve"> </w:t>
      </w:r>
      <w:r w:rsidRPr="00DB3115">
        <w:rPr>
          <w:rFonts w:ascii="Times New Roman" w:hAnsi="Times New Roman" w:cs="Times New Roman"/>
          <w:sz w:val="24"/>
          <w:szCs w:val="24"/>
        </w:rPr>
        <w:t>%) y atropellamiento (27.20</w:t>
      </w:r>
      <w:r w:rsidR="000E4AC1">
        <w:rPr>
          <w:rFonts w:ascii="Times New Roman" w:hAnsi="Times New Roman" w:cs="Times New Roman"/>
          <w:sz w:val="24"/>
          <w:szCs w:val="24"/>
        </w:rPr>
        <w:t xml:space="preserve"> </w:t>
      </w:r>
      <w:r w:rsidRPr="00DB3115">
        <w:rPr>
          <w:rFonts w:ascii="Times New Roman" w:hAnsi="Times New Roman" w:cs="Times New Roman"/>
          <w:sz w:val="24"/>
          <w:szCs w:val="24"/>
        </w:rPr>
        <w:t xml:space="preserve">%), seguido por agresión física </w:t>
      </w:r>
      <w:r w:rsidR="000E4AC1">
        <w:rPr>
          <w:rFonts w:ascii="Times New Roman" w:hAnsi="Times New Roman" w:cs="Times New Roman"/>
          <w:sz w:val="24"/>
          <w:szCs w:val="24"/>
        </w:rPr>
        <w:t>(</w:t>
      </w:r>
      <w:r w:rsidRPr="00DB3115">
        <w:rPr>
          <w:rFonts w:ascii="Times New Roman" w:hAnsi="Times New Roman" w:cs="Times New Roman"/>
          <w:sz w:val="24"/>
          <w:szCs w:val="24"/>
        </w:rPr>
        <w:t>22.7</w:t>
      </w:r>
      <w:r w:rsidR="000E4AC1">
        <w:rPr>
          <w:rFonts w:ascii="Times New Roman" w:hAnsi="Times New Roman" w:cs="Times New Roman"/>
          <w:sz w:val="24"/>
          <w:szCs w:val="24"/>
        </w:rPr>
        <w:t xml:space="preserve"> </w:t>
      </w:r>
      <w:r w:rsidRPr="00DB3115">
        <w:rPr>
          <w:rFonts w:ascii="Times New Roman" w:hAnsi="Times New Roman" w:cs="Times New Roman"/>
          <w:sz w:val="24"/>
          <w:szCs w:val="24"/>
        </w:rPr>
        <w:t>%</w:t>
      </w:r>
      <w:r w:rsidR="000E4AC1">
        <w:rPr>
          <w:rFonts w:ascii="Times New Roman" w:hAnsi="Times New Roman" w:cs="Times New Roman"/>
          <w:sz w:val="24"/>
          <w:szCs w:val="24"/>
        </w:rPr>
        <w:t>)</w:t>
      </w:r>
      <w:r w:rsidRPr="00DB3115">
        <w:rPr>
          <w:rFonts w:ascii="Times New Roman" w:hAnsi="Times New Roman" w:cs="Times New Roman"/>
          <w:sz w:val="24"/>
          <w:szCs w:val="24"/>
        </w:rPr>
        <w:t>.</w:t>
      </w:r>
    </w:p>
    <w:p w14:paraId="2E623D35" w14:textId="779BFBA1" w:rsidR="00ED6469" w:rsidRPr="00DB3115" w:rsidRDefault="00ED6469" w:rsidP="003F3FAF">
      <w:pPr>
        <w:spacing w:after="0" w:line="360" w:lineRule="auto"/>
        <w:ind w:right="49" w:firstLine="708"/>
        <w:jc w:val="both"/>
        <w:rPr>
          <w:rFonts w:ascii="Times New Roman" w:hAnsi="Times New Roman" w:cs="Times New Roman"/>
          <w:sz w:val="24"/>
          <w:szCs w:val="24"/>
          <w:vertAlign w:val="superscript"/>
        </w:rPr>
      </w:pPr>
      <w:r w:rsidRPr="0017685F">
        <w:rPr>
          <w:rFonts w:ascii="Times New Roman" w:hAnsi="Times New Roman" w:cs="Times New Roman"/>
          <w:sz w:val="24"/>
          <w:szCs w:val="24"/>
          <w:lang w:val="es-ES"/>
        </w:rPr>
        <w:t>Como se mencionó anteriormente, e</w:t>
      </w:r>
      <w:r w:rsidRPr="0017685F">
        <w:rPr>
          <w:rFonts w:ascii="Times New Roman" w:hAnsi="Times New Roman" w:cs="Times New Roman"/>
          <w:sz w:val="24"/>
          <w:szCs w:val="24"/>
        </w:rPr>
        <w:t>l TCE suele presentarse en pacientes previamente sanos y con buen estado nutricional. A pesar de ello, los cambios metabólicos originados por la agresión traumática colocan a estos pacientes inmediatamente en una situación de riesgo nutricional (</w:t>
      </w:r>
      <w:proofErr w:type="spellStart"/>
      <w:r w:rsidR="00FF3853" w:rsidRPr="0017685F">
        <w:rPr>
          <w:rFonts w:ascii="Times New Roman" w:hAnsi="Times New Roman" w:cs="Times New Roman"/>
          <w:sz w:val="24"/>
          <w:szCs w:val="24"/>
        </w:rPr>
        <w:t>Ninska</w:t>
      </w:r>
      <w:proofErr w:type="spellEnd"/>
      <w:r w:rsidR="00FF3853" w:rsidRPr="0017685F">
        <w:rPr>
          <w:rFonts w:ascii="Times New Roman" w:hAnsi="Times New Roman" w:cs="Times New Roman"/>
          <w:sz w:val="24"/>
          <w:szCs w:val="24"/>
        </w:rPr>
        <w:t xml:space="preserve"> de la Hoz </w:t>
      </w:r>
      <w:r w:rsidR="00C65158" w:rsidRPr="0017685F">
        <w:rPr>
          <w:rFonts w:ascii="Times New Roman" w:hAnsi="Times New Roman" w:cs="Times New Roman"/>
          <w:i/>
          <w:iCs/>
          <w:sz w:val="24"/>
          <w:szCs w:val="24"/>
        </w:rPr>
        <w:t>et al</w:t>
      </w:r>
      <w:r w:rsidR="00C65158" w:rsidRPr="0017685F">
        <w:rPr>
          <w:rFonts w:ascii="Times New Roman" w:hAnsi="Times New Roman" w:cs="Times New Roman"/>
          <w:sz w:val="24"/>
          <w:szCs w:val="24"/>
        </w:rPr>
        <w:t>.</w:t>
      </w:r>
      <w:r w:rsidR="00FF3853" w:rsidRPr="0017685F">
        <w:rPr>
          <w:rFonts w:ascii="Times New Roman" w:hAnsi="Times New Roman" w:cs="Times New Roman"/>
          <w:sz w:val="24"/>
          <w:szCs w:val="24"/>
        </w:rPr>
        <w:t>, 2013</w:t>
      </w:r>
      <w:r w:rsidRPr="0017685F">
        <w:rPr>
          <w:rFonts w:ascii="Times New Roman" w:hAnsi="Times New Roman" w:cs="Times New Roman"/>
          <w:sz w:val="24"/>
          <w:szCs w:val="24"/>
        </w:rPr>
        <w:t>). Con referencia a lo anterior, se puede observar que 100</w:t>
      </w:r>
      <w:r w:rsidR="00A05B2A">
        <w:rPr>
          <w:rFonts w:ascii="Times New Roman" w:hAnsi="Times New Roman" w:cs="Times New Roman"/>
          <w:sz w:val="24"/>
          <w:szCs w:val="24"/>
        </w:rPr>
        <w:t xml:space="preserve"> </w:t>
      </w:r>
      <w:r w:rsidRPr="0017685F">
        <w:rPr>
          <w:rFonts w:ascii="Times New Roman" w:hAnsi="Times New Roman" w:cs="Times New Roman"/>
          <w:sz w:val="24"/>
          <w:szCs w:val="24"/>
        </w:rPr>
        <w:t xml:space="preserve">% de los pacientes estudiados se encontraron a su ingreso a la UCI </w:t>
      </w:r>
      <w:proofErr w:type="spellStart"/>
      <w:r w:rsidRPr="0017685F">
        <w:rPr>
          <w:rFonts w:ascii="Times New Roman" w:hAnsi="Times New Roman" w:cs="Times New Roman"/>
          <w:sz w:val="24"/>
          <w:szCs w:val="24"/>
        </w:rPr>
        <w:t>normonutridos</w:t>
      </w:r>
      <w:proofErr w:type="spellEnd"/>
      <w:r w:rsidRPr="0017685F">
        <w:rPr>
          <w:rFonts w:ascii="Times New Roman" w:hAnsi="Times New Roman" w:cs="Times New Roman"/>
          <w:sz w:val="24"/>
          <w:szCs w:val="24"/>
        </w:rPr>
        <w:t xml:space="preserve"> en relación </w:t>
      </w:r>
      <w:r w:rsidR="00A05B2A">
        <w:rPr>
          <w:rFonts w:ascii="Times New Roman" w:hAnsi="Times New Roman" w:cs="Times New Roman"/>
          <w:sz w:val="24"/>
          <w:szCs w:val="24"/>
        </w:rPr>
        <w:t>con</w:t>
      </w:r>
      <w:r w:rsidR="00A05B2A" w:rsidRPr="0017685F">
        <w:rPr>
          <w:rFonts w:ascii="Times New Roman" w:hAnsi="Times New Roman" w:cs="Times New Roman"/>
          <w:sz w:val="24"/>
          <w:szCs w:val="24"/>
        </w:rPr>
        <w:t xml:space="preserve"> </w:t>
      </w:r>
      <w:r w:rsidRPr="0017685F">
        <w:rPr>
          <w:rFonts w:ascii="Times New Roman" w:hAnsi="Times New Roman" w:cs="Times New Roman"/>
          <w:sz w:val="24"/>
          <w:szCs w:val="24"/>
        </w:rPr>
        <w:t>las mediciones antropométricas</w:t>
      </w:r>
      <w:r w:rsidR="00A05B2A">
        <w:rPr>
          <w:rFonts w:ascii="Times New Roman" w:hAnsi="Times New Roman" w:cs="Times New Roman"/>
          <w:sz w:val="24"/>
          <w:szCs w:val="24"/>
        </w:rPr>
        <w:t>;</w:t>
      </w:r>
      <w:r w:rsidR="00A05B2A" w:rsidRPr="0017685F">
        <w:rPr>
          <w:rFonts w:ascii="Times New Roman" w:hAnsi="Times New Roman" w:cs="Times New Roman"/>
          <w:sz w:val="24"/>
          <w:szCs w:val="24"/>
        </w:rPr>
        <w:t xml:space="preserve"> </w:t>
      </w:r>
      <w:r w:rsidRPr="0017685F">
        <w:rPr>
          <w:rFonts w:ascii="Times New Roman" w:hAnsi="Times New Roman" w:cs="Times New Roman"/>
          <w:sz w:val="24"/>
          <w:szCs w:val="24"/>
        </w:rPr>
        <w:t>sin embargo, los niveles de albúmina, proteínas totales y leucocitos demuestran alteraciones propias del estado hipermetabólico. Al momento de su egreso, se observ</w:t>
      </w:r>
      <w:r w:rsidR="00BF0F96">
        <w:rPr>
          <w:rFonts w:ascii="Times New Roman" w:hAnsi="Times New Roman" w:cs="Times New Roman"/>
          <w:sz w:val="24"/>
          <w:szCs w:val="24"/>
        </w:rPr>
        <w:t>ó</w:t>
      </w:r>
      <w:r w:rsidRPr="0017685F">
        <w:rPr>
          <w:rFonts w:ascii="Times New Roman" w:hAnsi="Times New Roman" w:cs="Times New Roman"/>
          <w:sz w:val="24"/>
          <w:szCs w:val="24"/>
        </w:rPr>
        <w:t xml:space="preserve"> una disminución en las mediciones antropométricas en ambos grupos, </w:t>
      </w:r>
      <w:r w:rsidR="00BF0F96">
        <w:rPr>
          <w:rFonts w:ascii="Times New Roman" w:hAnsi="Times New Roman" w:cs="Times New Roman"/>
          <w:sz w:val="24"/>
          <w:szCs w:val="24"/>
        </w:rPr>
        <w:t>aunque</w:t>
      </w:r>
      <w:r w:rsidRPr="0017685F">
        <w:rPr>
          <w:rFonts w:ascii="Times New Roman" w:hAnsi="Times New Roman" w:cs="Times New Roman"/>
          <w:sz w:val="24"/>
          <w:szCs w:val="24"/>
        </w:rPr>
        <w:t xml:space="preserve"> en el grupo con NETI </w:t>
      </w:r>
      <w:r w:rsidR="00BF0F96">
        <w:rPr>
          <w:rFonts w:ascii="Times New Roman" w:hAnsi="Times New Roman" w:cs="Times New Roman"/>
          <w:sz w:val="24"/>
          <w:szCs w:val="24"/>
        </w:rPr>
        <w:t>hubo</w:t>
      </w:r>
      <w:r w:rsidR="00BF0F96" w:rsidRPr="0017685F">
        <w:rPr>
          <w:rFonts w:ascii="Times New Roman" w:hAnsi="Times New Roman" w:cs="Times New Roman"/>
          <w:sz w:val="24"/>
          <w:szCs w:val="24"/>
        </w:rPr>
        <w:t xml:space="preserve"> </w:t>
      </w:r>
      <w:r w:rsidRPr="0017685F">
        <w:rPr>
          <w:rFonts w:ascii="Times New Roman" w:hAnsi="Times New Roman" w:cs="Times New Roman"/>
          <w:sz w:val="24"/>
          <w:szCs w:val="24"/>
        </w:rPr>
        <w:t xml:space="preserve">un aumento de peso, la albúmina se </w:t>
      </w:r>
      <w:r w:rsidR="00BF0F96">
        <w:rPr>
          <w:rFonts w:ascii="Times New Roman" w:hAnsi="Times New Roman" w:cs="Times New Roman"/>
          <w:sz w:val="24"/>
          <w:szCs w:val="24"/>
        </w:rPr>
        <w:t>mantuvo</w:t>
      </w:r>
      <w:r w:rsidR="00BF0F96" w:rsidRPr="0017685F">
        <w:rPr>
          <w:rFonts w:ascii="Times New Roman" w:hAnsi="Times New Roman" w:cs="Times New Roman"/>
          <w:sz w:val="24"/>
          <w:szCs w:val="24"/>
        </w:rPr>
        <w:t xml:space="preserve"> </w:t>
      </w:r>
      <w:r w:rsidRPr="0017685F">
        <w:rPr>
          <w:rFonts w:ascii="Times New Roman" w:hAnsi="Times New Roman" w:cs="Times New Roman"/>
          <w:sz w:val="24"/>
          <w:szCs w:val="24"/>
        </w:rPr>
        <w:t xml:space="preserve">y </w:t>
      </w:r>
      <w:r w:rsidR="00BF0F96">
        <w:rPr>
          <w:rFonts w:ascii="Times New Roman" w:hAnsi="Times New Roman" w:cs="Times New Roman"/>
          <w:sz w:val="24"/>
          <w:szCs w:val="24"/>
        </w:rPr>
        <w:t>se detectó</w:t>
      </w:r>
      <w:r w:rsidR="00BF0F96" w:rsidRPr="0017685F">
        <w:rPr>
          <w:rFonts w:ascii="Times New Roman" w:hAnsi="Times New Roman" w:cs="Times New Roman"/>
          <w:sz w:val="24"/>
          <w:szCs w:val="24"/>
        </w:rPr>
        <w:t xml:space="preserve"> </w:t>
      </w:r>
      <w:r w:rsidRPr="0017685F">
        <w:rPr>
          <w:rFonts w:ascii="Times New Roman" w:hAnsi="Times New Roman" w:cs="Times New Roman"/>
          <w:sz w:val="24"/>
          <w:szCs w:val="24"/>
        </w:rPr>
        <w:t>un aumento de las proteínas</w:t>
      </w:r>
      <w:r w:rsidR="00BF0F96">
        <w:rPr>
          <w:rFonts w:ascii="Times New Roman" w:hAnsi="Times New Roman" w:cs="Times New Roman"/>
          <w:sz w:val="24"/>
          <w:szCs w:val="24"/>
        </w:rPr>
        <w:t>,</w:t>
      </w:r>
      <w:r w:rsidRPr="0017685F">
        <w:rPr>
          <w:rFonts w:ascii="Times New Roman" w:hAnsi="Times New Roman" w:cs="Times New Roman"/>
          <w:sz w:val="24"/>
          <w:szCs w:val="24"/>
        </w:rPr>
        <w:t xml:space="preserve"> totales lo cual no se presenta en el grupo de NETL, </w:t>
      </w:r>
      <w:r w:rsidR="00C111B6">
        <w:rPr>
          <w:rFonts w:ascii="Times New Roman" w:hAnsi="Times New Roman" w:cs="Times New Roman"/>
          <w:sz w:val="24"/>
          <w:szCs w:val="24"/>
        </w:rPr>
        <w:t>cuyos integrantes entraron a</w:t>
      </w:r>
      <w:r w:rsidR="00C111B6" w:rsidRPr="0017685F">
        <w:rPr>
          <w:rFonts w:ascii="Times New Roman" w:hAnsi="Times New Roman" w:cs="Times New Roman"/>
          <w:sz w:val="24"/>
          <w:szCs w:val="24"/>
        </w:rPr>
        <w:t xml:space="preserve"> </w:t>
      </w:r>
      <w:r w:rsidRPr="0017685F">
        <w:rPr>
          <w:rFonts w:ascii="Times New Roman" w:hAnsi="Times New Roman" w:cs="Times New Roman"/>
          <w:sz w:val="24"/>
          <w:szCs w:val="24"/>
        </w:rPr>
        <w:t>una categoría de malnutrición moderada (</w:t>
      </w:r>
      <w:r w:rsidR="00FF3853" w:rsidRPr="0017685F">
        <w:rPr>
          <w:rFonts w:ascii="Times New Roman" w:hAnsi="Times New Roman" w:cs="Times New Roman"/>
          <w:sz w:val="24"/>
          <w:szCs w:val="24"/>
        </w:rPr>
        <w:t>Jiménez, 2003</w:t>
      </w:r>
      <w:r w:rsidRPr="0017685F">
        <w:rPr>
          <w:rFonts w:ascii="Times New Roman" w:hAnsi="Times New Roman" w:cs="Times New Roman"/>
          <w:sz w:val="24"/>
          <w:szCs w:val="24"/>
        </w:rPr>
        <w:t>).</w:t>
      </w:r>
    </w:p>
    <w:p w14:paraId="09D2EB8E" w14:textId="2D1192E4" w:rsidR="00ED6469" w:rsidRPr="00DB3115" w:rsidRDefault="00ED6469" w:rsidP="003F3FAF">
      <w:pPr>
        <w:spacing w:after="0" w:line="360" w:lineRule="auto"/>
        <w:ind w:right="49" w:firstLine="708"/>
        <w:jc w:val="both"/>
        <w:rPr>
          <w:rFonts w:ascii="Times New Roman" w:hAnsi="Times New Roman" w:cs="Times New Roman"/>
          <w:b/>
          <w:sz w:val="24"/>
          <w:szCs w:val="24"/>
          <w:vertAlign w:val="superscript"/>
        </w:rPr>
      </w:pPr>
      <w:r w:rsidRPr="00DB3115">
        <w:rPr>
          <w:rFonts w:ascii="Times New Roman" w:hAnsi="Times New Roman" w:cs="Times New Roman"/>
          <w:sz w:val="24"/>
          <w:szCs w:val="24"/>
        </w:rPr>
        <w:t xml:space="preserve">En estudios previos se reporta que los indicadores antropométricos no muestran diferencias significativas de desnutrición </w:t>
      </w:r>
      <w:r w:rsidR="00EC463D" w:rsidRPr="00DB3115">
        <w:rPr>
          <w:rFonts w:ascii="Times New Roman" w:hAnsi="Times New Roman" w:cs="Times New Roman"/>
          <w:sz w:val="24"/>
          <w:szCs w:val="24"/>
        </w:rPr>
        <w:t>proteico</w:t>
      </w:r>
      <w:r w:rsidR="00EC463D">
        <w:rPr>
          <w:rFonts w:ascii="Times New Roman" w:hAnsi="Times New Roman" w:cs="Times New Roman"/>
          <w:sz w:val="24"/>
          <w:szCs w:val="24"/>
        </w:rPr>
        <w:t>-</w:t>
      </w:r>
      <w:r w:rsidRPr="00DB3115">
        <w:rPr>
          <w:rFonts w:ascii="Times New Roman" w:hAnsi="Times New Roman" w:cs="Times New Roman"/>
          <w:sz w:val="24"/>
          <w:szCs w:val="24"/>
        </w:rPr>
        <w:t>calórica. Sin embargo, se ha encontrado una tendencia a disminuir el peso corporal al egreso en 92.3</w:t>
      </w:r>
      <w:r w:rsidR="00DD4CD7">
        <w:rPr>
          <w:rFonts w:ascii="Times New Roman" w:hAnsi="Times New Roman" w:cs="Times New Roman"/>
          <w:sz w:val="24"/>
          <w:szCs w:val="24"/>
        </w:rPr>
        <w:t xml:space="preserve"> </w:t>
      </w:r>
      <w:r w:rsidRPr="00DB3115">
        <w:rPr>
          <w:rFonts w:ascii="Times New Roman" w:hAnsi="Times New Roman" w:cs="Times New Roman"/>
          <w:sz w:val="24"/>
          <w:szCs w:val="24"/>
        </w:rPr>
        <w:t xml:space="preserve">% de los pacientes </w:t>
      </w:r>
      <w:r w:rsidR="00DD4CD7">
        <w:rPr>
          <w:rFonts w:ascii="Times New Roman" w:hAnsi="Times New Roman" w:cs="Times New Roman"/>
          <w:sz w:val="24"/>
          <w:szCs w:val="24"/>
        </w:rPr>
        <w:t>en</w:t>
      </w:r>
      <w:r w:rsidR="00DD4CD7" w:rsidRPr="00DB3115">
        <w:rPr>
          <w:rFonts w:ascii="Times New Roman" w:hAnsi="Times New Roman" w:cs="Times New Roman"/>
          <w:sz w:val="24"/>
          <w:szCs w:val="24"/>
        </w:rPr>
        <w:t xml:space="preserve"> </w:t>
      </w:r>
      <w:r w:rsidRPr="00DB3115">
        <w:rPr>
          <w:rFonts w:ascii="Times New Roman" w:hAnsi="Times New Roman" w:cs="Times New Roman"/>
          <w:sz w:val="24"/>
          <w:szCs w:val="24"/>
        </w:rPr>
        <w:t xml:space="preserve">relación </w:t>
      </w:r>
      <w:r w:rsidR="00DD4CD7">
        <w:rPr>
          <w:rFonts w:ascii="Times New Roman" w:hAnsi="Times New Roman" w:cs="Times New Roman"/>
          <w:sz w:val="24"/>
          <w:szCs w:val="24"/>
        </w:rPr>
        <w:t>con el</w:t>
      </w:r>
      <w:r w:rsidR="00DD4CD7" w:rsidRPr="00DB3115">
        <w:rPr>
          <w:rFonts w:ascii="Times New Roman" w:hAnsi="Times New Roman" w:cs="Times New Roman"/>
          <w:sz w:val="24"/>
          <w:szCs w:val="24"/>
        </w:rPr>
        <w:t xml:space="preserve"> </w:t>
      </w:r>
      <w:r w:rsidRPr="00DB3115">
        <w:rPr>
          <w:rFonts w:ascii="Times New Roman" w:hAnsi="Times New Roman" w:cs="Times New Roman"/>
          <w:sz w:val="24"/>
          <w:szCs w:val="24"/>
        </w:rPr>
        <w:t>ingreso (96.1</w:t>
      </w:r>
      <w:r w:rsidR="00DD4CD7">
        <w:rPr>
          <w:rFonts w:ascii="Times New Roman" w:hAnsi="Times New Roman" w:cs="Times New Roman"/>
          <w:sz w:val="24"/>
          <w:szCs w:val="24"/>
        </w:rPr>
        <w:t xml:space="preserve"> </w:t>
      </w:r>
      <w:r w:rsidRPr="00DB3115">
        <w:rPr>
          <w:rFonts w:ascii="Times New Roman" w:hAnsi="Times New Roman" w:cs="Times New Roman"/>
          <w:sz w:val="24"/>
          <w:szCs w:val="24"/>
        </w:rPr>
        <w:t>%)</w:t>
      </w:r>
      <w:r w:rsidR="00C44D60" w:rsidRPr="00DB3115">
        <w:rPr>
          <w:rFonts w:ascii="Times New Roman" w:hAnsi="Times New Roman" w:cs="Times New Roman"/>
          <w:sz w:val="24"/>
          <w:szCs w:val="24"/>
        </w:rPr>
        <w:t xml:space="preserve"> </w:t>
      </w:r>
      <w:r w:rsidRPr="00DB3115">
        <w:rPr>
          <w:rFonts w:ascii="Times New Roman" w:hAnsi="Times New Roman" w:cs="Times New Roman"/>
          <w:sz w:val="24"/>
          <w:szCs w:val="24"/>
        </w:rPr>
        <w:t>(</w:t>
      </w:r>
      <w:r w:rsidR="00FF3853" w:rsidRPr="00DB3115">
        <w:rPr>
          <w:rFonts w:ascii="Times New Roman" w:hAnsi="Times New Roman" w:cs="Times New Roman"/>
          <w:sz w:val="24"/>
          <w:szCs w:val="24"/>
        </w:rPr>
        <w:t>Jiménez</w:t>
      </w:r>
      <w:r w:rsidR="00FF3853">
        <w:rPr>
          <w:rFonts w:ascii="Times New Roman" w:hAnsi="Times New Roman" w:cs="Times New Roman"/>
          <w:sz w:val="24"/>
          <w:szCs w:val="24"/>
        </w:rPr>
        <w:t>, 2003</w:t>
      </w:r>
      <w:r w:rsidR="00DD083E">
        <w:rPr>
          <w:rFonts w:ascii="Times New Roman" w:hAnsi="Times New Roman" w:cs="Times New Roman"/>
          <w:sz w:val="24"/>
          <w:szCs w:val="24"/>
        </w:rPr>
        <w:t>)</w:t>
      </w:r>
      <w:r w:rsidRPr="00DB3115">
        <w:rPr>
          <w:rFonts w:ascii="Times New Roman" w:hAnsi="Times New Roman" w:cs="Times New Roman"/>
          <w:sz w:val="24"/>
          <w:szCs w:val="24"/>
        </w:rPr>
        <w:t xml:space="preserve">. Por otra parte, en estudios similares se ha señalado que estos indicadores antropométricos no son índices de gran especificidad para definir desnutrición </w:t>
      </w:r>
      <w:r w:rsidR="00EC463D" w:rsidRPr="00DB3115">
        <w:rPr>
          <w:rFonts w:ascii="Times New Roman" w:hAnsi="Times New Roman" w:cs="Times New Roman"/>
          <w:sz w:val="24"/>
          <w:szCs w:val="24"/>
        </w:rPr>
        <w:t>proteico</w:t>
      </w:r>
      <w:r w:rsidR="00EC463D">
        <w:rPr>
          <w:rFonts w:ascii="Times New Roman" w:hAnsi="Times New Roman" w:cs="Times New Roman"/>
          <w:sz w:val="24"/>
          <w:szCs w:val="24"/>
        </w:rPr>
        <w:t>-</w:t>
      </w:r>
      <w:r w:rsidRPr="00DB3115">
        <w:rPr>
          <w:rFonts w:ascii="Times New Roman" w:hAnsi="Times New Roman" w:cs="Times New Roman"/>
          <w:sz w:val="24"/>
          <w:szCs w:val="24"/>
        </w:rPr>
        <w:t>calórica</w:t>
      </w:r>
      <w:r w:rsidR="00EC463D">
        <w:rPr>
          <w:rFonts w:ascii="Times New Roman" w:hAnsi="Times New Roman" w:cs="Times New Roman"/>
          <w:sz w:val="24"/>
          <w:szCs w:val="24"/>
        </w:rPr>
        <w:t>,</w:t>
      </w:r>
      <w:r w:rsidRPr="00DB3115">
        <w:rPr>
          <w:rFonts w:ascii="Times New Roman" w:hAnsi="Times New Roman" w:cs="Times New Roman"/>
          <w:sz w:val="24"/>
          <w:szCs w:val="24"/>
        </w:rPr>
        <w:t xml:space="preserve"> ya que sus resultados llevan implícito cierto grado de error y median los cambios de los fluidos corporales (</w:t>
      </w:r>
      <w:r w:rsidR="00FF3853" w:rsidRPr="00DB3115">
        <w:rPr>
          <w:rFonts w:ascii="Times New Roman" w:hAnsi="Times New Roman" w:cs="Times New Roman"/>
          <w:bCs/>
          <w:sz w:val="24"/>
          <w:szCs w:val="24"/>
        </w:rPr>
        <w:t>Ponce, Cornejo, Pérez</w:t>
      </w:r>
      <w:r w:rsidR="00EC463D">
        <w:rPr>
          <w:rFonts w:ascii="Times New Roman" w:hAnsi="Times New Roman" w:cs="Times New Roman"/>
          <w:bCs/>
          <w:sz w:val="24"/>
          <w:szCs w:val="24"/>
        </w:rPr>
        <w:t xml:space="preserve"> y</w:t>
      </w:r>
      <w:r w:rsidR="00FF3853" w:rsidRPr="00DB3115">
        <w:rPr>
          <w:rFonts w:ascii="Times New Roman" w:hAnsi="Times New Roman" w:cs="Times New Roman"/>
          <w:sz w:val="24"/>
          <w:szCs w:val="24"/>
        </w:rPr>
        <w:t xml:space="preserve"> </w:t>
      </w:r>
      <w:r w:rsidR="00FF3853" w:rsidRPr="00DB3115">
        <w:rPr>
          <w:rFonts w:ascii="Times New Roman" w:hAnsi="Times New Roman" w:cs="Times New Roman"/>
          <w:bCs/>
          <w:sz w:val="24"/>
          <w:szCs w:val="24"/>
        </w:rPr>
        <w:t>Mayagoitia</w:t>
      </w:r>
      <w:r w:rsidR="00FF3853">
        <w:rPr>
          <w:rFonts w:ascii="Times New Roman" w:hAnsi="Times New Roman" w:cs="Times New Roman"/>
          <w:bCs/>
          <w:sz w:val="24"/>
          <w:szCs w:val="24"/>
        </w:rPr>
        <w:t>, 2015</w:t>
      </w:r>
      <w:r w:rsidRPr="00DB3115">
        <w:rPr>
          <w:rFonts w:ascii="Times New Roman" w:hAnsi="Times New Roman" w:cs="Times New Roman"/>
          <w:sz w:val="24"/>
          <w:szCs w:val="24"/>
        </w:rPr>
        <w:t>)</w:t>
      </w:r>
    </w:p>
    <w:p w14:paraId="7BA35D21" w14:textId="3E2774B8" w:rsidR="00ED6469" w:rsidRPr="00DB3115" w:rsidRDefault="00ED6469" w:rsidP="003F3FAF">
      <w:pPr>
        <w:autoSpaceDE w:val="0"/>
        <w:autoSpaceDN w:val="0"/>
        <w:adjustRightInd w:val="0"/>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lastRenderedPageBreak/>
        <w:t>Diversos autores consideran que la albúmina sérica permite identificar a los pacientes con mayor riesgo de morbilidad y mortalidad, pero, debido a su vida media prolongada de 14 a 20 días, no refleja los cambios nutricionales rápidos</w:t>
      </w:r>
      <w:r w:rsidR="009C6C2D">
        <w:rPr>
          <w:rFonts w:ascii="Times New Roman" w:hAnsi="Times New Roman" w:cs="Times New Roman"/>
          <w:sz w:val="24"/>
          <w:szCs w:val="24"/>
        </w:rPr>
        <w:t>;</w:t>
      </w:r>
      <w:r w:rsidR="009C6C2D" w:rsidRPr="00DB3115">
        <w:rPr>
          <w:rFonts w:ascii="Times New Roman" w:hAnsi="Times New Roman" w:cs="Times New Roman"/>
          <w:sz w:val="24"/>
          <w:szCs w:val="24"/>
        </w:rPr>
        <w:t xml:space="preserve"> </w:t>
      </w:r>
      <w:r w:rsidRPr="00DB3115">
        <w:rPr>
          <w:rFonts w:ascii="Times New Roman" w:hAnsi="Times New Roman" w:cs="Times New Roman"/>
          <w:sz w:val="24"/>
          <w:szCs w:val="24"/>
        </w:rPr>
        <w:t>a</w:t>
      </w:r>
      <w:r w:rsidR="00965655">
        <w:rPr>
          <w:rFonts w:ascii="Times New Roman" w:hAnsi="Times New Roman" w:cs="Times New Roman"/>
          <w:sz w:val="24"/>
          <w:szCs w:val="24"/>
        </w:rPr>
        <w:t>u</w:t>
      </w:r>
      <w:r w:rsidRPr="00DB3115">
        <w:rPr>
          <w:rFonts w:ascii="Times New Roman" w:hAnsi="Times New Roman" w:cs="Times New Roman"/>
          <w:sz w:val="24"/>
          <w:szCs w:val="24"/>
        </w:rPr>
        <w:t xml:space="preserve">n así, se toma este parámetro como referencia de desnutrición </w:t>
      </w:r>
      <w:r w:rsidR="009C6C2D" w:rsidRPr="00DB3115">
        <w:rPr>
          <w:rFonts w:ascii="Times New Roman" w:hAnsi="Times New Roman" w:cs="Times New Roman"/>
          <w:sz w:val="24"/>
          <w:szCs w:val="24"/>
        </w:rPr>
        <w:t>proteico</w:t>
      </w:r>
      <w:r w:rsidR="009C6C2D">
        <w:rPr>
          <w:rFonts w:ascii="Times New Roman" w:hAnsi="Times New Roman" w:cs="Times New Roman"/>
          <w:sz w:val="24"/>
          <w:szCs w:val="24"/>
        </w:rPr>
        <w:t>-</w:t>
      </w:r>
      <w:r w:rsidRPr="00DB3115">
        <w:rPr>
          <w:rFonts w:ascii="Times New Roman" w:hAnsi="Times New Roman" w:cs="Times New Roman"/>
          <w:sz w:val="24"/>
          <w:szCs w:val="24"/>
        </w:rPr>
        <w:t>calórica</w:t>
      </w:r>
      <w:r w:rsidR="00D87544" w:rsidRPr="00DB3115">
        <w:rPr>
          <w:rFonts w:ascii="Times New Roman" w:hAnsi="Times New Roman" w:cs="Times New Roman"/>
          <w:sz w:val="24"/>
          <w:szCs w:val="24"/>
        </w:rPr>
        <w:t xml:space="preserve"> (</w:t>
      </w:r>
      <w:r w:rsidR="00DD083E" w:rsidRPr="00DB3115">
        <w:rPr>
          <w:rFonts w:ascii="Times New Roman" w:hAnsi="Times New Roman" w:cs="Times New Roman"/>
          <w:sz w:val="24"/>
          <w:szCs w:val="24"/>
        </w:rPr>
        <w:t>Arias</w:t>
      </w:r>
      <w:r w:rsidR="003075DE">
        <w:rPr>
          <w:rFonts w:ascii="Times New Roman" w:hAnsi="Times New Roman" w:cs="Times New Roman"/>
          <w:sz w:val="24"/>
          <w:szCs w:val="24"/>
        </w:rPr>
        <w:t>, s. f.</w:t>
      </w:r>
      <w:r w:rsidR="00D87544" w:rsidRPr="00DB3115">
        <w:rPr>
          <w:rFonts w:ascii="Times New Roman" w:hAnsi="Times New Roman" w:cs="Times New Roman"/>
          <w:sz w:val="24"/>
          <w:szCs w:val="24"/>
        </w:rPr>
        <w:t xml:space="preserve">). </w:t>
      </w:r>
      <w:r w:rsidRPr="00DB3115">
        <w:rPr>
          <w:rFonts w:ascii="Times New Roman" w:hAnsi="Times New Roman" w:cs="Times New Roman"/>
          <w:sz w:val="24"/>
          <w:szCs w:val="24"/>
        </w:rPr>
        <w:t>Por otro lado, la albúmina sérica se ve afectada en situaciones de estrés o enfermedad aguda. De esta manera, en el paciente en estado crítico se ha encontrado que una concentración menor de 3.5 g/</w:t>
      </w:r>
      <w:proofErr w:type="spellStart"/>
      <w:r w:rsidRPr="00DB3115">
        <w:rPr>
          <w:rFonts w:ascii="Times New Roman" w:hAnsi="Times New Roman" w:cs="Times New Roman"/>
          <w:sz w:val="24"/>
          <w:szCs w:val="24"/>
        </w:rPr>
        <w:t>dL</w:t>
      </w:r>
      <w:proofErr w:type="spellEnd"/>
      <w:r w:rsidRPr="00DB3115">
        <w:rPr>
          <w:rFonts w:ascii="Times New Roman" w:hAnsi="Times New Roman" w:cs="Times New Roman"/>
          <w:sz w:val="24"/>
          <w:szCs w:val="24"/>
        </w:rPr>
        <w:t xml:space="preserve"> se relaciona con un incremento de la morbilidad y </w:t>
      </w:r>
      <w:r w:rsidR="00D87544" w:rsidRPr="00DB3115">
        <w:rPr>
          <w:rFonts w:ascii="Times New Roman" w:hAnsi="Times New Roman" w:cs="Times New Roman"/>
          <w:sz w:val="24"/>
          <w:szCs w:val="24"/>
        </w:rPr>
        <w:t xml:space="preserve">mortalidad </w:t>
      </w:r>
      <w:r w:rsidR="003075DE" w:rsidRPr="00DB3115">
        <w:rPr>
          <w:rFonts w:ascii="Times New Roman" w:hAnsi="Times New Roman" w:cs="Times New Roman"/>
          <w:sz w:val="24"/>
          <w:szCs w:val="24"/>
        </w:rPr>
        <w:t>(Arias</w:t>
      </w:r>
      <w:r w:rsidR="003075DE">
        <w:rPr>
          <w:rFonts w:ascii="Times New Roman" w:hAnsi="Times New Roman" w:cs="Times New Roman"/>
          <w:sz w:val="24"/>
          <w:szCs w:val="24"/>
        </w:rPr>
        <w:t>, s. f.</w:t>
      </w:r>
      <w:r w:rsidR="003075DE" w:rsidRPr="00DB3115">
        <w:rPr>
          <w:rFonts w:ascii="Times New Roman" w:hAnsi="Times New Roman" w:cs="Times New Roman"/>
          <w:sz w:val="24"/>
          <w:szCs w:val="24"/>
        </w:rPr>
        <w:t xml:space="preserve">). </w:t>
      </w:r>
      <w:r w:rsidRPr="00DB3115">
        <w:rPr>
          <w:rFonts w:ascii="Times New Roman" w:hAnsi="Times New Roman" w:cs="Times New Roman"/>
          <w:sz w:val="24"/>
          <w:szCs w:val="24"/>
        </w:rPr>
        <w:t xml:space="preserve">En el estudio de Jiménez </w:t>
      </w:r>
      <w:r w:rsidR="00C44D60" w:rsidRPr="00DB3115">
        <w:rPr>
          <w:rFonts w:ascii="Times New Roman" w:hAnsi="Times New Roman" w:cs="Times New Roman"/>
          <w:sz w:val="24"/>
          <w:szCs w:val="24"/>
        </w:rPr>
        <w:t>(</w:t>
      </w:r>
      <w:r w:rsidR="00DD083E">
        <w:rPr>
          <w:rFonts w:ascii="Times New Roman" w:hAnsi="Times New Roman" w:cs="Times New Roman"/>
          <w:sz w:val="24"/>
          <w:szCs w:val="24"/>
        </w:rPr>
        <w:t>2003</w:t>
      </w:r>
      <w:r w:rsidR="00D87544" w:rsidRPr="00DB3115">
        <w:rPr>
          <w:rFonts w:ascii="Times New Roman" w:hAnsi="Times New Roman" w:cs="Times New Roman"/>
          <w:sz w:val="24"/>
          <w:szCs w:val="24"/>
        </w:rPr>
        <w:t>)</w:t>
      </w:r>
      <w:r w:rsidRPr="00DB3115">
        <w:rPr>
          <w:rFonts w:ascii="Times New Roman" w:hAnsi="Times New Roman" w:cs="Times New Roman"/>
          <w:sz w:val="24"/>
          <w:szCs w:val="24"/>
        </w:rPr>
        <w:t xml:space="preserve"> se reporta hipoalbuminemia leve al egreso de la UCI, </w:t>
      </w:r>
      <w:r w:rsidR="003075DE">
        <w:rPr>
          <w:rFonts w:ascii="Times New Roman" w:hAnsi="Times New Roman" w:cs="Times New Roman"/>
          <w:sz w:val="24"/>
          <w:szCs w:val="24"/>
        </w:rPr>
        <w:t>lo que coincide</w:t>
      </w:r>
      <w:r w:rsidR="003075DE" w:rsidRPr="00DB3115">
        <w:rPr>
          <w:rFonts w:ascii="Times New Roman" w:hAnsi="Times New Roman" w:cs="Times New Roman"/>
          <w:sz w:val="24"/>
          <w:szCs w:val="24"/>
        </w:rPr>
        <w:t xml:space="preserve"> </w:t>
      </w:r>
      <w:r w:rsidRPr="00DB3115">
        <w:rPr>
          <w:rFonts w:ascii="Times New Roman" w:hAnsi="Times New Roman" w:cs="Times New Roman"/>
          <w:sz w:val="24"/>
          <w:szCs w:val="24"/>
        </w:rPr>
        <w:t xml:space="preserve">con los resultados obtenidos en el presente estudio. </w:t>
      </w:r>
    </w:p>
    <w:p w14:paraId="4538C42F" w14:textId="0AB5823A" w:rsidR="00D87544" w:rsidRPr="00DB3115" w:rsidRDefault="00ED6469" w:rsidP="003F3FAF">
      <w:pPr>
        <w:autoSpaceDE w:val="0"/>
        <w:autoSpaceDN w:val="0"/>
        <w:adjustRightInd w:val="0"/>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t xml:space="preserve">Por otra parte, la determinación de proteínas totales es otro parámetro a considerar, y </w:t>
      </w:r>
      <w:r w:rsidRPr="00DB3115">
        <w:rPr>
          <w:rFonts w:ascii="Times New Roman" w:hAnsi="Times New Roman" w:cs="Times New Roman"/>
          <w:color w:val="000000"/>
          <w:sz w:val="24"/>
          <w:szCs w:val="24"/>
          <w:lang w:val="es-ES"/>
        </w:rPr>
        <w:t>es un dato indirecto para evaluar el estado de las proteínas viscerales. En el presente estudio se encontró</w:t>
      </w:r>
      <w:r w:rsidRPr="00DB3115">
        <w:rPr>
          <w:rFonts w:ascii="Times New Roman" w:hAnsi="Times New Roman" w:cs="Times New Roman"/>
          <w:sz w:val="24"/>
          <w:szCs w:val="24"/>
        </w:rPr>
        <w:t xml:space="preserve"> un aumento en los niveles séricos de proteínas totales al egreso de la UCI en el grupo con NETI</w:t>
      </w:r>
      <w:r w:rsidR="003075DE">
        <w:rPr>
          <w:rFonts w:ascii="Times New Roman" w:hAnsi="Times New Roman" w:cs="Times New Roman"/>
          <w:sz w:val="24"/>
          <w:szCs w:val="24"/>
        </w:rPr>
        <w:t>;</w:t>
      </w:r>
      <w:r w:rsidR="003075DE" w:rsidRPr="00DB3115">
        <w:rPr>
          <w:rFonts w:ascii="Times New Roman" w:hAnsi="Times New Roman" w:cs="Times New Roman"/>
          <w:sz w:val="24"/>
          <w:szCs w:val="24"/>
        </w:rPr>
        <w:t xml:space="preserve"> </w:t>
      </w:r>
      <w:r w:rsidRPr="00DB3115">
        <w:rPr>
          <w:rFonts w:ascii="Times New Roman" w:hAnsi="Times New Roman" w:cs="Times New Roman"/>
          <w:sz w:val="24"/>
          <w:szCs w:val="24"/>
        </w:rPr>
        <w:t>no así en el grupo con NETL.</w:t>
      </w:r>
      <w:r w:rsidR="00D87544" w:rsidRPr="00DB3115">
        <w:rPr>
          <w:rFonts w:ascii="Times New Roman" w:hAnsi="Times New Roman" w:cs="Times New Roman"/>
          <w:sz w:val="24"/>
          <w:szCs w:val="24"/>
        </w:rPr>
        <w:t xml:space="preserve"> </w:t>
      </w:r>
    </w:p>
    <w:p w14:paraId="2DCB0908" w14:textId="145075B2" w:rsidR="00D87544" w:rsidRPr="00DB3115" w:rsidRDefault="00ED6469" w:rsidP="003F3FAF">
      <w:pPr>
        <w:autoSpaceDE w:val="0"/>
        <w:autoSpaceDN w:val="0"/>
        <w:adjustRightInd w:val="0"/>
        <w:spacing w:after="0" w:line="360" w:lineRule="auto"/>
        <w:ind w:right="49" w:firstLine="708"/>
        <w:jc w:val="both"/>
        <w:rPr>
          <w:rFonts w:ascii="Times New Roman" w:hAnsi="Times New Roman" w:cs="Times New Roman"/>
          <w:sz w:val="24"/>
          <w:szCs w:val="24"/>
        </w:rPr>
      </w:pPr>
      <w:r w:rsidRPr="00DB3115">
        <w:rPr>
          <w:rFonts w:ascii="Times New Roman" w:eastAsiaTheme="minorEastAsia" w:hAnsi="Times New Roman" w:cs="Times New Roman"/>
          <w:sz w:val="24"/>
          <w:szCs w:val="24"/>
        </w:rPr>
        <w:t>Otro aspecto importante es l</w:t>
      </w:r>
      <w:r w:rsidRPr="00DB3115">
        <w:rPr>
          <w:rFonts w:ascii="Times New Roman" w:hAnsi="Times New Roman" w:cs="Times New Roman"/>
          <w:color w:val="000000"/>
          <w:sz w:val="24"/>
          <w:szCs w:val="24"/>
          <w:lang w:val="es-ES"/>
        </w:rPr>
        <w:t xml:space="preserve">a respuesta </w:t>
      </w:r>
      <w:proofErr w:type="spellStart"/>
      <w:r w:rsidRPr="00DB3115">
        <w:rPr>
          <w:rFonts w:ascii="Times New Roman" w:hAnsi="Times New Roman" w:cs="Times New Roman"/>
          <w:color w:val="000000"/>
          <w:sz w:val="24"/>
          <w:szCs w:val="24"/>
          <w:lang w:val="es-ES"/>
        </w:rPr>
        <w:t>inmunoinflamatoria</w:t>
      </w:r>
      <w:proofErr w:type="spellEnd"/>
      <w:r w:rsidRPr="00DB3115">
        <w:rPr>
          <w:rFonts w:ascii="Times New Roman" w:hAnsi="Times New Roman" w:cs="Times New Roman"/>
          <w:color w:val="000000"/>
          <w:sz w:val="24"/>
          <w:szCs w:val="24"/>
          <w:lang w:val="es-ES"/>
        </w:rPr>
        <w:t xml:space="preserve"> inicial del paciente con TCE, acompañada por un efecto inmunosupresor, debido a un exceso en la producción de </w:t>
      </w:r>
      <w:proofErr w:type="spellStart"/>
      <w:r w:rsidRPr="00DB3115">
        <w:rPr>
          <w:rFonts w:ascii="Times New Roman" w:hAnsi="Times New Roman" w:cs="Times New Roman"/>
          <w:color w:val="000000"/>
          <w:sz w:val="24"/>
          <w:szCs w:val="24"/>
          <w:lang w:val="es-ES"/>
        </w:rPr>
        <w:t>citocinas</w:t>
      </w:r>
      <w:proofErr w:type="spellEnd"/>
      <w:r w:rsidRPr="00DB3115">
        <w:rPr>
          <w:rFonts w:ascii="Times New Roman" w:hAnsi="Times New Roman" w:cs="Times New Roman"/>
          <w:color w:val="000000"/>
          <w:sz w:val="24"/>
          <w:szCs w:val="24"/>
          <w:lang w:val="es-ES"/>
        </w:rPr>
        <w:t xml:space="preserve">, </w:t>
      </w:r>
      <w:proofErr w:type="spellStart"/>
      <w:r w:rsidRPr="00DB3115">
        <w:rPr>
          <w:rFonts w:ascii="Times New Roman" w:hAnsi="Times New Roman" w:cs="Times New Roman"/>
          <w:color w:val="000000"/>
          <w:sz w:val="24"/>
          <w:szCs w:val="24"/>
          <w:lang w:val="es-ES"/>
        </w:rPr>
        <w:t>eicosanoides</w:t>
      </w:r>
      <w:proofErr w:type="spellEnd"/>
      <w:r w:rsidRPr="00DB3115">
        <w:rPr>
          <w:rFonts w:ascii="Times New Roman" w:hAnsi="Times New Roman" w:cs="Times New Roman"/>
          <w:color w:val="000000"/>
          <w:sz w:val="24"/>
          <w:szCs w:val="24"/>
          <w:lang w:val="es-ES"/>
        </w:rPr>
        <w:t xml:space="preserve"> y </w:t>
      </w:r>
      <w:r w:rsidRPr="00DB3115">
        <w:rPr>
          <w:rFonts w:ascii="Times New Roman" w:hAnsi="Times New Roman" w:cs="Times New Roman"/>
          <w:sz w:val="24"/>
          <w:szCs w:val="24"/>
          <w:lang w:val="es-ES"/>
        </w:rPr>
        <w:t xml:space="preserve">al </w:t>
      </w:r>
      <w:hyperlink r:id="rId9" w:history="1">
        <w:r w:rsidRPr="00DB3115">
          <w:rPr>
            <w:rStyle w:val="Hipervnculo"/>
            <w:rFonts w:ascii="Times New Roman" w:hAnsi="Times New Roman" w:cs="Times New Roman"/>
            <w:color w:val="auto"/>
            <w:sz w:val="24"/>
            <w:szCs w:val="24"/>
            <w:u w:val="none"/>
            <w:lang w:val="es-ES"/>
          </w:rPr>
          <w:t>daño</w:t>
        </w:r>
      </w:hyperlink>
      <w:r w:rsidRPr="00DB3115">
        <w:rPr>
          <w:rFonts w:ascii="Times New Roman" w:hAnsi="Times New Roman" w:cs="Times New Roman"/>
          <w:sz w:val="24"/>
          <w:szCs w:val="24"/>
          <w:lang w:val="es-ES"/>
        </w:rPr>
        <w:t xml:space="preserve"> exudativo tisular, con un aumento de proteasas y radicales libres de </w:t>
      </w:r>
      <w:hyperlink r:id="rId10" w:history="1">
        <w:r w:rsidRPr="00DB3115">
          <w:rPr>
            <w:rStyle w:val="Hipervnculo"/>
            <w:rFonts w:ascii="Times New Roman" w:hAnsi="Times New Roman" w:cs="Times New Roman"/>
            <w:color w:val="auto"/>
            <w:sz w:val="24"/>
            <w:szCs w:val="24"/>
            <w:u w:val="none"/>
            <w:lang w:val="es-ES"/>
          </w:rPr>
          <w:t>oxígeno</w:t>
        </w:r>
      </w:hyperlink>
      <w:r w:rsidRPr="00DB3115">
        <w:rPr>
          <w:rFonts w:ascii="Times New Roman" w:hAnsi="Times New Roman" w:cs="Times New Roman"/>
          <w:sz w:val="24"/>
          <w:szCs w:val="24"/>
          <w:lang w:val="es-ES"/>
        </w:rPr>
        <w:t xml:space="preserve">, </w:t>
      </w:r>
      <w:r w:rsidRPr="00DB3115">
        <w:rPr>
          <w:rFonts w:ascii="Times New Roman" w:hAnsi="Times New Roman" w:cs="Times New Roman"/>
          <w:color w:val="000000"/>
          <w:sz w:val="24"/>
          <w:szCs w:val="24"/>
          <w:lang w:val="es-ES"/>
        </w:rPr>
        <w:t xml:space="preserve">provenientes de leucocitos </w:t>
      </w:r>
      <w:proofErr w:type="spellStart"/>
      <w:r w:rsidRPr="00DB3115">
        <w:rPr>
          <w:rFonts w:ascii="Times New Roman" w:hAnsi="Times New Roman" w:cs="Times New Roman"/>
          <w:color w:val="000000"/>
          <w:sz w:val="24"/>
          <w:szCs w:val="24"/>
          <w:lang w:val="es-ES"/>
        </w:rPr>
        <w:t>polimorfonucleares</w:t>
      </w:r>
      <w:proofErr w:type="spellEnd"/>
      <w:r w:rsidRPr="00DB3115">
        <w:rPr>
          <w:rFonts w:ascii="Times New Roman" w:hAnsi="Times New Roman" w:cs="Times New Roman"/>
          <w:color w:val="000000"/>
          <w:sz w:val="24"/>
          <w:szCs w:val="24"/>
          <w:lang w:val="es-ES"/>
        </w:rPr>
        <w:t xml:space="preserve"> y de macrófagos</w:t>
      </w:r>
      <w:r w:rsidR="00D87544" w:rsidRPr="00DB3115">
        <w:rPr>
          <w:rFonts w:ascii="Times New Roman" w:hAnsi="Times New Roman" w:cs="Times New Roman"/>
          <w:color w:val="000000"/>
          <w:sz w:val="24"/>
          <w:szCs w:val="24"/>
          <w:lang w:val="es-ES"/>
        </w:rPr>
        <w:t xml:space="preserve"> (</w:t>
      </w:r>
      <w:proofErr w:type="spellStart"/>
      <w:r w:rsidR="00DD083E" w:rsidRPr="00DD083E">
        <w:rPr>
          <w:rFonts w:ascii="Times New Roman" w:hAnsi="Times New Roman" w:cs="Times New Roman"/>
          <w:color w:val="000000"/>
          <w:sz w:val="24"/>
          <w:szCs w:val="24"/>
          <w:shd w:val="clear" w:color="auto" w:fill="FFFFFF"/>
        </w:rPr>
        <w:t>Kieft</w:t>
      </w:r>
      <w:proofErr w:type="spellEnd"/>
      <w:r w:rsidR="00664A76">
        <w:rPr>
          <w:rFonts w:ascii="Times New Roman" w:hAnsi="Times New Roman" w:cs="Times New Roman"/>
          <w:color w:val="000000"/>
          <w:sz w:val="24"/>
          <w:szCs w:val="24"/>
          <w:shd w:val="clear" w:color="auto" w:fill="FFFFFF"/>
        </w:rPr>
        <w:t xml:space="preserve"> </w:t>
      </w:r>
      <w:r w:rsidR="00DD083E" w:rsidRPr="003F3FAF">
        <w:rPr>
          <w:rFonts w:ascii="Times New Roman" w:hAnsi="Times New Roman" w:cs="Times New Roman"/>
          <w:i/>
          <w:iCs/>
          <w:color w:val="000000"/>
          <w:sz w:val="24"/>
          <w:szCs w:val="24"/>
          <w:shd w:val="clear" w:color="auto" w:fill="FFFFFF"/>
        </w:rPr>
        <w:t>et al</w:t>
      </w:r>
      <w:r w:rsidR="00DD083E">
        <w:rPr>
          <w:rFonts w:ascii="Times New Roman" w:hAnsi="Times New Roman" w:cs="Times New Roman"/>
          <w:color w:val="000000"/>
          <w:sz w:val="24"/>
          <w:szCs w:val="24"/>
          <w:shd w:val="clear" w:color="auto" w:fill="FFFFFF"/>
        </w:rPr>
        <w:t xml:space="preserve">., </w:t>
      </w:r>
      <w:r w:rsidR="00FE140E">
        <w:rPr>
          <w:rFonts w:ascii="Times New Roman" w:hAnsi="Times New Roman" w:cs="Times New Roman"/>
          <w:color w:val="000000"/>
          <w:sz w:val="24"/>
          <w:szCs w:val="24"/>
          <w:shd w:val="clear" w:color="auto" w:fill="FFFFFF"/>
        </w:rPr>
        <w:t>2005</w:t>
      </w:r>
      <w:r w:rsidR="00D87544" w:rsidRPr="00DB3115">
        <w:rPr>
          <w:rFonts w:ascii="Times New Roman" w:hAnsi="Times New Roman" w:cs="Times New Roman"/>
          <w:color w:val="000000"/>
          <w:sz w:val="24"/>
          <w:szCs w:val="24"/>
          <w:lang w:val="es-ES"/>
        </w:rPr>
        <w:t>).</w:t>
      </w:r>
      <w:r w:rsidRPr="00DB3115">
        <w:rPr>
          <w:rFonts w:ascii="Times New Roman" w:hAnsi="Times New Roman" w:cs="Times New Roman"/>
          <w:color w:val="000000"/>
          <w:sz w:val="24"/>
          <w:szCs w:val="24"/>
          <w:vertAlign w:val="superscript"/>
          <w:lang w:val="es-ES"/>
        </w:rPr>
        <w:t xml:space="preserve"> </w:t>
      </w:r>
      <w:r w:rsidRPr="00DB3115">
        <w:rPr>
          <w:rFonts w:ascii="Times New Roman" w:hAnsi="Times New Roman" w:cs="Times New Roman"/>
          <w:color w:val="000000"/>
          <w:sz w:val="24"/>
          <w:szCs w:val="24"/>
          <w:lang w:val="es-ES"/>
        </w:rPr>
        <w:t>Es por ello</w:t>
      </w:r>
      <w:r w:rsidR="00664A76">
        <w:rPr>
          <w:rFonts w:ascii="Times New Roman" w:hAnsi="Times New Roman" w:cs="Times New Roman"/>
          <w:color w:val="000000"/>
          <w:sz w:val="24"/>
          <w:szCs w:val="24"/>
          <w:lang w:val="es-ES"/>
        </w:rPr>
        <w:t xml:space="preserve"> por lo</w:t>
      </w:r>
      <w:r w:rsidRPr="00DB3115">
        <w:rPr>
          <w:rFonts w:ascii="Times New Roman" w:hAnsi="Times New Roman" w:cs="Times New Roman"/>
          <w:color w:val="000000"/>
          <w:sz w:val="24"/>
          <w:szCs w:val="24"/>
          <w:lang w:val="es-ES"/>
        </w:rPr>
        <w:t xml:space="preserve"> que el recuento de leucocitos puede ser un marcador de la respuesta inmunológica del paciente</w:t>
      </w:r>
      <w:r w:rsidR="00664A76">
        <w:rPr>
          <w:rFonts w:ascii="Times New Roman" w:hAnsi="Times New Roman" w:cs="Times New Roman"/>
          <w:color w:val="000000"/>
          <w:sz w:val="24"/>
          <w:szCs w:val="24"/>
          <w:lang w:val="es-ES"/>
        </w:rPr>
        <w:t>.</w:t>
      </w:r>
      <w:r w:rsidR="00664A76" w:rsidRPr="00DB3115">
        <w:rPr>
          <w:rFonts w:ascii="Times New Roman" w:hAnsi="Times New Roman" w:cs="Times New Roman"/>
          <w:color w:val="000000"/>
          <w:sz w:val="24"/>
          <w:szCs w:val="24"/>
          <w:lang w:val="es-ES"/>
        </w:rPr>
        <w:t xml:space="preserve"> </w:t>
      </w:r>
      <w:r w:rsidR="00664A76">
        <w:rPr>
          <w:rFonts w:ascii="Times New Roman" w:hAnsi="Times New Roman" w:cs="Times New Roman"/>
          <w:color w:val="000000"/>
          <w:sz w:val="24"/>
          <w:szCs w:val="24"/>
          <w:lang w:val="es-ES"/>
        </w:rPr>
        <w:t>E</w:t>
      </w:r>
      <w:r w:rsidR="00664A76" w:rsidRPr="00DB3115">
        <w:rPr>
          <w:rFonts w:ascii="Times New Roman" w:hAnsi="Times New Roman" w:cs="Times New Roman"/>
          <w:color w:val="000000"/>
          <w:sz w:val="24"/>
          <w:szCs w:val="24"/>
          <w:lang w:val="es-ES"/>
        </w:rPr>
        <w:t xml:space="preserve">n </w:t>
      </w:r>
      <w:r w:rsidRPr="00DB3115">
        <w:rPr>
          <w:rFonts w:ascii="Times New Roman" w:hAnsi="Times New Roman" w:cs="Times New Roman"/>
          <w:color w:val="000000"/>
          <w:sz w:val="24"/>
          <w:szCs w:val="24"/>
          <w:lang w:val="es-ES"/>
        </w:rPr>
        <w:t>estudios previos, 27.8</w:t>
      </w:r>
      <w:r w:rsidR="00664A76">
        <w:rPr>
          <w:rFonts w:ascii="Times New Roman" w:hAnsi="Times New Roman" w:cs="Times New Roman"/>
          <w:color w:val="000000"/>
          <w:sz w:val="24"/>
          <w:szCs w:val="24"/>
          <w:lang w:val="es-ES"/>
        </w:rPr>
        <w:t xml:space="preserve"> </w:t>
      </w:r>
      <w:r w:rsidRPr="00DB3115">
        <w:rPr>
          <w:rFonts w:ascii="Times New Roman" w:hAnsi="Times New Roman" w:cs="Times New Roman"/>
          <w:color w:val="000000"/>
          <w:sz w:val="24"/>
          <w:szCs w:val="24"/>
          <w:lang w:val="es-ES"/>
        </w:rPr>
        <w:t>% de los pacientes ingresados a la UCI presentaron disminución del recuento total de linfocitos (RTL) en los análisis hematológicos</w:t>
      </w:r>
      <w:r w:rsidR="00D87544" w:rsidRPr="00DB3115">
        <w:rPr>
          <w:rFonts w:ascii="Times New Roman" w:hAnsi="Times New Roman" w:cs="Times New Roman"/>
          <w:color w:val="000000"/>
          <w:sz w:val="24"/>
          <w:szCs w:val="24"/>
          <w:vertAlign w:val="superscript"/>
          <w:lang w:val="es-ES"/>
        </w:rPr>
        <w:t xml:space="preserve"> </w:t>
      </w:r>
      <w:r w:rsidR="00D87544" w:rsidRPr="00DB3115">
        <w:rPr>
          <w:rFonts w:ascii="Times New Roman" w:hAnsi="Times New Roman" w:cs="Times New Roman"/>
          <w:color w:val="000000"/>
          <w:sz w:val="24"/>
          <w:szCs w:val="24"/>
          <w:lang w:val="es-ES"/>
        </w:rPr>
        <w:t>(</w:t>
      </w:r>
      <w:proofErr w:type="spellStart"/>
      <w:r w:rsidR="00FE140E" w:rsidRPr="00DD083E">
        <w:rPr>
          <w:rFonts w:ascii="Times New Roman" w:hAnsi="Times New Roman" w:cs="Times New Roman"/>
          <w:color w:val="000000"/>
          <w:sz w:val="24"/>
          <w:szCs w:val="24"/>
          <w:shd w:val="clear" w:color="auto" w:fill="FFFFFF"/>
        </w:rPr>
        <w:t>Kieft</w:t>
      </w:r>
      <w:proofErr w:type="spellEnd"/>
      <w:r w:rsidR="00FE140E" w:rsidRPr="00DD083E">
        <w:rPr>
          <w:rFonts w:ascii="Times New Roman" w:hAnsi="Times New Roman" w:cs="Times New Roman"/>
          <w:color w:val="000000"/>
          <w:sz w:val="24"/>
          <w:szCs w:val="24"/>
          <w:shd w:val="clear" w:color="auto" w:fill="FFFFFF"/>
        </w:rPr>
        <w:t xml:space="preserve"> </w:t>
      </w:r>
      <w:r w:rsidR="00FE140E" w:rsidRPr="003F3FAF">
        <w:rPr>
          <w:rFonts w:ascii="Times New Roman" w:hAnsi="Times New Roman" w:cs="Times New Roman"/>
          <w:i/>
          <w:iCs/>
          <w:color w:val="000000"/>
          <w:sz w:val="24"/>
          <w:szCs w:val="24"/>
          <w:shd w:val="clear" w:color="auto" w:fill="FFFFFF"/>
        </w:rPr>
        <w:t>et al</w:t>
      </w:r>
      <w:r w:rsidR="00FE140E">
        <w:rPr>
          <w:rFonts w:ascii="Times New Roman" w:hAnsi="Times New Roman" w:cs="Times New Roman"/>
          <w:color w:val="000000"/>
          <w:sz w:val="24"/>
          <w:szCs w:val="24"/>
          <w:shd w:val="clear" w:color="auto" w:fill="FFFFFF"/>
        </w:rPr>
        <w:t>., 2005)</w:t>
      </w:r>
      <w:r w:rsidRPr="00DB3115">
        <w:rPr>
          <w:rFonts w:ascii="Times New Roman" w:hAnsi="Times New Roman" w:cs="Times New Roman"/>
          <w:color w:val="000000"/>
          <w:sz w:val="24"/>
          <w:szCs w:val="24"/>
          <w:lang w:val="es-ES"/>
        </w:rPr>
        <w:t xml:space="preserve">, </w:t>
      </w:r>
      <w:r w:rsidR="00664A76">
        <w:rPr>
          <w:rFonts w:ascii="Times New Roman" w:hAnsi="Times New Roman" w:cs="Times New Roman"/>
          <w:color w:val="000000"/>
          <w:sz w:val="24"/>
          <w:szCs w:val="24"/>
          <w:lang w:val="es-ES"/>
        </w:rPr>
        <w:t xml:space="preserve">tal y </w:t>
      </w:r>
      <w:r w:rsidRPr="00DB3115">
        <w:rPr>
          <w:rFonts w:ascii="Times New Roman" w:hAnsi="Times New Roman" w:cs="Times New Roman"/>
          <w:color w:val="000000"/>
          <w:sz w:val="24"/>
          <w:szCs w:val="24"/>
          <w:lang w:val="es-ES"/>
        </w:rPr>
        <w:t xml:space="preserve">como en el estudio de Jiménez </w:t>
      </w:r>
      <w:r w:rsidR="00D87544" w:rsidRPr="00DB3115">
        <w:rPr>
          <w:rFonts w:ascii="Times New Roman" w:hAnsi="Times New Roman" w:cs="Times New Roman"/>
          <w:color w:val="000000"/>
          <w:sz w:val="24"/>
          <w:szCs w:val="24"/>
          <w:lang w:val="es-ES"/>
        </w:rPr>
        <w:t>(</w:t>
      </w:r>
      <w:r w:rsidR="00FE140E">
        <w:rPr>
          <w:rFonts w:ascii="Times New Roman" w:hAnsi="Times New Roman" w:cs="Times New Roman"/>
          <w:color w:val="000000"/>
          <w:sz w:val="24"/>
          <w:szCs w:val="24"/>
          <w:lang w:val="es-ES"/>
        </w:rPr>
        <w:t>2003</w:t>
      </w:r>
      <w:r w:rsidR="00D87544" w:rsidRPr="00DB3115">
        <w:rPr>
          <w:rFonts w:ascii="Times New Roman" w:hAnsi="Times New Roman" w:cs="Times New Roman"/>
          <w:color w:val="000000"/>
          <w:sz w:val="24"/>
          <w:szCs w:val="24"/>
          <w:lang w:val="es-ES"/>
        </w:rPr>
        <w:t xml:space="preserve">), </w:t>
      </w:r>
      <w:r w:rsidRPr="00DB3115">
        <w:rPr>
          <w:rFonts w:ascii="Times New Roman" w:hAnsi="Times New Roman" w:cs="Times New Roman"/>
          <w:color w:val="000000"/>
          <w:sz w:val="24"/>
          <w:szCs w:val="24"/>
          <w:lang w:val="es-ES"/>
        </w:rPr>
        <w:t>donde 38.8</w:t>
      </w:r>
      <w:r w:rsidR="00664A76">
        <w:rPr>
          <w:rFonts w:ascii="Times New Roman" w:hAnsi="Times New Roman" w:cs="Times New Roman"/>
          <w:color w:val="000000"/>
          <w:sz w:val="24"/>
          <w:szCs w:val="24"/>
          <w:lang w:val="es-ES"/>
        </w:rPr>
        <w:t xml:space="preserve"> </w:t>
      </w:r>
      <w:r w:rsidRPr="00DB3115">
        <w:rPr>
          <w:rFonts w:ascii="Times New Roman" w:hAnsi="Times New Roman" w:cs="Times New Roman"/>
          <w:color w:val="000000"/>
          <w:sz w:val="24"/>
          <w:szCs w:val="24"/>
          <w:lang w:val="es-ES"/>
        </w:rPr>
        <w:t>% de los pacientes desnutridos mostraron una disminución del RTL, y 23.6</w:t>
      </w:r>
      <w:r w:rsidR="00FC5825">
        <w:rPr>
          <w:rFonts w:ascii="Times New Roman" w:hAnsi="Times New Roman" w:cs="Times New Roman"/>
          <w:color w:val="000000"/>
          <w:sz w:val="24"/>
          <w:szCs w:val="24"/>
          <w:lang w:val="es-ES"/>
        </w:rPr>
        <w:t xml:space="preserve"> </w:t>
      </w:r>
      <w:r w:rsidRPr="00DB3115">
        <w:rPr>
          <w:rFonts w:ascii="Times New Roman" w:hAnsi="Times New Roman" w:cs="Times New Roman"/>
          <w:color w:val="000000"/>
          <w:sz w:val="24"/>
          <w:szCs w:val="24"/>
          <w:lang w:val="es-ES"/>
        </w:rPr>
        <w:t>% de los pacientes no desnutridos también tenían afectado el RTL (</w:t>
      </w:r>
      <w:r w:rsidRPr="003F3FAF">
        <w:rPr>
          <w:rFonts w:ascii="Times New Roman" w:hAnsi="Times New Roman" w:cs="Times New Roman"/>
          <w:i/>
          <w:iCs/>
          <w:color w:val="000000"/>
          <w:sz w:val="24"/>
          <w:szCs w:val="24"/>
          <w:lang w:val="es-ES"/>
        </w:rPr>
        <w:t>p</w:t>
      </w:r>
      <w:r w:rsidRPr="00DB3115">
        <w:rPr>
          <w:rFonts w:ascii="Times New Roman" w:hAnsi="Times New Roman" w:cs="Times New Roman"/>
          <w:color w:val="000000"/>
          <w:sz w:val="24"/>
          <w:szCs w:val="24"/>
          <w:lang w:val="es-ES"/>
        </w:rPr>
        <w:t xml:space="preserve"> &lt; 0.05). Resultados similares se encontraron </w:t>
      </w:r>
      <w:r w:rsidR="00FC5825">
        <w:rPr>
          <w:rFonts w:ascii="Times New Roman" w:hAnsi="Times New Roman" w:cs="Times New Roman"/>
          <w:color w:val="000000"/>
          <w:sz w:val="24"/>
          <w:szCs w:val="24"/>
          <w:lang w:val="es-ES"/>
        </w:rPr>
        <w:t>aquí,</w:t>
      </w:r>
      <w:r w:rsidRPr="00DB3115">
        <w:rPr>
          <w:rFonts w:ascii="Times New Roman" w:hAnsi="Times New Roman" w:cs="Times New Roman"/>
          <w:color w:val="000000"/>
          <w:sz w:val="24"/>
          <w:szCs w:val="24"/>
          <w:lang w:val="es-ES"/>
        </w:rPr>
        <w:t xml:space="preserve"> donde se puede observar que el grupo con NETL presentó una disminución de leucocitos totales y linfocitos</w:t>
      </w:r>
      <w:r w:rsidR="00FC5825">
        <w:rPr>
          <w:rFonts w:ascii="Times New Roman" w:hAnsi="Times New Roman" w:cs="Times New Roman"/>
          <w:color w:val="000000"/>
          <w:sz w:val="24"/>
          <w:szCs w:val="24"/>
          <w:lang w:val="es-ES"/>
        </w:rPr>
        <w:t>;</w:t>
      </w:r>
      <w:r w:rsidR="00FC5825" w:rsidRPr="00DB3115">
        <w:rPr>
          <w:rFonts w:ascii="Times New Roman" w:hAnsi="Times New Roman" w:cs="Times New Roman"/>
          <w:color w:val="000000"/>
          <w:sz w:val="24"/>
          <w:szCs w:val="24"/>
          <w:lang w:val="es-ES"/>
        </w:rPr>
        <w:t xml:space="preserve"> </w:t>
      </w:r>
      <w:r w:rsidRPr="00DB3115">
        <w:rPr>
          <w:rFonts w:ascii="Times New Roman" w:hAnsi="Times New Roman" w:cs="Times New Roman"/>
          <w:color w:val="000000"/>
          <w:sz w:val="24"/>
          <w:szCs w:val="24"/>
          <w:lang w:val="es-ES"/>
        </w:rPr>
        <w:t xml:space="preserve">no así en el grupo con NETI </w:t>
      </w:r>
      <w:r w:rsidRPr="00DB3115">
        <w:rPr>
          <w:rFonts w:ascii="Times New Roman" w:hAnsi="Times New Roman" w:cs="Times New Roman"/>
          <w:sz w:val="24"/>
          <w:szCs w:val="24"/>
        </w:rPr>
        <w:t>(</w:t>
      </w:r>
      <w:r w:rsidRPr="003F3FAF">
        <w:rPr>
          <w:rFonts w:ascii="Times New Roman" w:hAnsi="Times New Roman" w:cs="Times New Roman"/>
          <w:i/>
          <w:iCs/>
          <w:sz w:val="24"/>
          <w:szCs w:val="24"/>
        </w:rPr>
        <w:t>p</w:t>
      </w:r>
      <w:r w:rsidR="00DC5299">
        <w:rPr>
          <w:rFonts w:ascii="Times New Roman" w:hAnsi="Times New Roman" w:cs="Times New Roman"/>
          <w:sz w:val="24"/>
          <w:szCs w:val="24"/>
        </w:rPr>
        <w:t xml:space="preserve"> </w:t>
      </w:r>
      <w:r w:rsidRPr="00DB3115">
        <w:rPr>
          <w:rFonts w:ascii="Times New Roman" w:hAnsi="Times New Roman" w:cs="Times New Roman"/>
          <w:sz w:val="24"/>
          <w:szCs w:val="24"/>
        </w:rPr>
        <w:t>&lt;</w:t>
      </w:r>
      <w:r w:rsidR="00DC5299">
        <w:rPr>
          <w:rFonts w:ascii="Times New Roman" w:hAnsi="Times New Roman" w:cs="Times New Roman"/>
          <w:sz w:val="24"/>
          <w:szCs w:val="24"/>
        </w:rPr>
        <w:t xml:space="preserve"> </w:t>
      </w:r>
      <w:r w:rsidRPr="00DB3115">
        <w:rPr>
          <w:rFonts w:ascii="Times New Roman" w:hAnsi="Times New Roman" w:cs="Times New Roman"/>
          <w:sz w:val="24"/>
          <w:szCs w:val="24"/>
        </w:rPr>
        <w:t>0.001).</w:t>
      </w:r>
    </w:p>
    <w:p w14:paraId="61263618" w14:textId="6F8781DA" w:rsidR="00D87544" w:rsidRPr="00DB3115" w:rsidRDefault="00D87544" w:rsidP="003F3FAF">
      <w:pPr>
        <w:autoSpaceDE w:val="0"/>
        <w:autoSpaceDN w:val="0"/>
        <w:adjustRightInd w:val="0"/>
        <w:spacing w:after="0" w:line="360" w:lineRule="auto"/>
        <w:ind w:right="49" w:firstLine="708"/>
        <w:jc w:val="both"/>
        <w:rPr>
          <w:rFonts w:ascii="Times New Roman" w:hAnsi="Times New Roman" w:cs="Times New Roman"/>
          <w:sz w:val="24"/>
          <w:szCs w:val="24"/>
          <w:vertAlign w:val="superscript"/>
        </w:rPr>
      </w:pPr>
      <w:r w:rsidRPr="00DB3115">
        <w:rPr>
          <w:rFonts w:ascii="Times New Roman" w:hAnsi="Times New Roman" w:cs="Times New Roman"/>
          <w:sz w:val="24"/>
          <w:szCs w:val="24"/>
        </w:rPr>
        <w:t>El riesgo de adquirir infecciones nosocomiales es especialmente alto entre los pacientes de la UCI</w:t>
      </w:r>
      <w:r w:rsidR="00FC5825">
        <w:rPr>
          <w:rFonts w:ascii="Times New Roman" w:hAnsi="Times New Roman" w:cs="Times New Roman"/>
          <w:sz w:val="24"/>
          <w:szCs w:val="24"/>
        </w:rPr>
        <w:t>.</w:t>
      </w:r>
      <w:r w:rsidR="00FC5825" w:rsidRPr="00DB3115">
        <w:rPr>
          <w:rFonts w:ascii="Times New Roman" w:hAnsi="Times New Roman" w:cs="Times New Roman"/>
          <w:sz w:val="24"/>
          <w:szCs w:val="24"/>
        </w:rPr>
        <w:t xml:space="preserve"> </w:t>
      </w:r>
      <w:r w:rsidR="00FC5825">
        <w:rPr>
          <w:rFonts w:ascii="Times New Roman" w:hAnsi="Times New Roman" w:cs="Times New Roman"/>
          <w:sz w:val="24"/>
          <w:szCs w:val="24"/>
        </w:rPr>
        <w:t>Dicho riesgo</w:t>
      </w:r>
      <w:r w:rsidRPr="00DB3115">
        <w:rPr>
          <w:rFonts w:ascii="Times New Roman" w:hAnsi="Times New Roman" w:cs="Times New Roman"/>
          <w:sz w:val="24"/>
          <w:szCs w:val="24"/>
        </w:rPr>
        <w:t xml:space="preserve"> de infección es 10 veces superior comparado con el resto de los pacientes ingresados en otras áreas del hospital. Según estudios europeos</w:t>
      </w:r>
      <w:r w:rsidR="00FC5825">
        <w:rPr>
          <w:rFonts w:ascii="Times New Roman" w:hAnsi="Times New Roman" w:cs="Times New Roman"/>
          <w:sz w:val="24"/>
          <w:szCs w:val="24"/>
        </w:rPr>
        <w:t>,</w:t>
      </w:r>
      <w:r w:rsidRPr="00DB3115">
        <w:rPr>
          <w:rFonts w:ascii="Times New Roman" w:hAnsi="Times New Roman" w:cs="Times New Roman"/>
          <w:sz w:val="24"/>
          <w:szCs w:val="24"/>
        </w:rPr>
        <w:t xml:space="preserve"> en </w:t>
      </w:r>
      <w:r w:rsidR="00FC5825">
        <w:rPr>
          <w:rFonts w:ascii="Times New Roman" w:hAnsi="Times New Roman" w:cs="Times New Roman"/>
          <w:sz w:val="24"/>
          <w:szCs w:val="24"/>
        </w:rPr>
        <w:t xml:space="preserve">la </w:t>
      </w:r>
      <w:r w:rsidRPr="00DB3115">
        <w:rPr>
          <w:rFonts w:ascii="Times New Roman" w:hAnsi="Times New Roman" w:cs="Times New Roman"/>
          <w:sz w:val="24"/>
          <w:szCs w:val="24"/>
        </w:rPr>
        <w:t>UCI los principales tipos de infección son</w:t>
      </w:r>
      <w:r w:rsidR="00FC5825">
        <w:rPr>
          <w:rFonts w:ascii="Times New Roman" w:hAnsi="Times New Roman" w:cs="Times New Roman"/>
          <w:sz w:val="24"/>
          <w:szCs w:val="24"/>
        </w:rPr>
        <w:t xml:space="preserve"> los siguientes</w:t>
      </w:r>
      <w:r w:rsidRPr="00DB3115">
        <w:rPr>
          <w:rFonts w:ascii="Times New Roman" w:hAnsi="Times New Roman" w:cs="Times New Roman"/>
          <w:sz w:val="24"/>
          <w:szCs w:val="24"/>
        </w:rPr>
        <w:t xml:space="preserve">: neumonía e infecciones respiratorias </w:t>
      </w:r>
      <w:r w:rsidRPr="00DB3115">
        <w:rPr>
          <w:rFonts w:ascii="Times New Roman" w:hAnsi="Times New Roman" w:cs="Times New Roman"/>
          <w:sz w:val="24"/>
          <w:szCs w:val="24"/>
        </w:rPr>
        <w:lastRenderedPageBreak/>
        <w:t>bajas (65</w:t>
      </w:r>
      <w:r w:rsidR="00FC5825">
        <w:rPr>
          <w:rFonts w:ascii="Times New Roman" w:hAnsi="Times New Roman" w:cs="Times New Roman"/>
          <w:sz w:val="24"/>
          <w:szCs w:val="24"/>
        </w:rPr>
        <w:t xml:space="preserve"> </w:t>
      </w:r>
      <w:r w:rsidRPr="00DB3115">
        <w:rPr>
          <w:rFonts w:ascii="Times New Roman" w:hAnsi="Times New Roman" w:cs="Times New Roman"/>
          <w:sz w:val="24"/>
          <w:szCs w:val="24"/>
        </w:rPr>
        <w:t>%), infección del tracto urinario (18</w:t>
      </w:r>
      <w:r w:rsidR="00FC5825">
        <w:rPr>
          <w:rFonts w:ascii="Times New Roman" w:hAnsi="Times New Roman" w:cs="Times New Roman"/>
          <w:sz w:val="24"/>
          <w:szCs w:val="24"/>
        </w:rPr>
        <w:t xml:space="preserve"> </w:t>
      </w:r>
      <w:r w:rsidRPr="00DB3115">
        <w:rPr>
          <w:rFonts w:ascii="Times New Roman" w:hAnsi="Times New Roman" w:cs="Times New Roman"/>
          <w:sz w:val="24"/>
          <w:szCs w:val="24"/>
        </w:rPr>
        <w:t>%) e infección del torrente sanguíneo (12</w:t>
      </w:r>
      <w:r w:rsidR="00FC5825">
        <w:rPr>
          <w:rFonts w:ascii="Times New Roman" w:hAnsi="Times New Roman" w:cs="Times New Roman"/>
          <w:sz w:val="24"/>
          <w:szCs w:val="24"/>
        </w:rPr>
        <w:t xml:space="preserve"> </w:t>
      </w:r>
      <w:r w:rsidRPr="00DB3115">
        <w:rPr>
          <w:rFonts w:ascii="Times New Roman" w:hAnsi="Times New Roman" w:cs="Times New Roman"/>
          <w:sz w:val="24"/>
          <w:szCs w:val="24"/>
        </w:rPr>
        <w:t>%). Un estudio americano similar encontró principalmente cuatro sistemas involucrados:</w:t>
      </w:r>
      <w:r w:rsidRPr="003F3FAF">
        <w:rPr>
          <w:rFonts w:ascii="Times New Roman" w:hAnsi="Times New Roman" w:cs="Times New Roman"/>
          <w:i/>
          <w:iCs/>
          <w:sz w:val="24"/>
          <w:szCs w:val="24"/>
        </w:rPr>
        <w:t xml:space="preserve"> </w:t>
      </w:r>
      <w:r w:rsidR="00FC5825" w:rsidRPr="003F3FAF">
        <w:rPr>
          <w:rFonts w:ascii="Times New Roman" w:hAnsi="Times New Roman" w:cs="Times New Roman"/>
          <w:i/>
          <w:iCs/>
          <w:sz w:val="24"/>
          <w:szCs w:val="24"/>
        </w:rPr>
        <w:t>1)</w:t>
      </w:r>
      <w:r w:rsidR="00FC5825">
        <w:rPr>
          <w:rFonts w:ascii="Times New Roman" w:hAnsi="Times New Roman" w:cs="Times New Roman"/>
          <w:sz w:val="24"/>
          <w:szCs w:val="24"/>
        </w:rPr>
        <w:t xml:space="preserve"> </w:t>
      </w:r>
      <w:r w:rsidRPr="00DB3115">
        <w:rPr>
          <w:rFonts w:ascii="Times New Roman" w:hAnsi="Times New Roman" w:cs="Times New Roman"/>
          <w:sz w:val="24"/>
          <w:szCs w:val="24"/>
        </w:rPr>
        <w:t>el tracto respiratorio (31</w:t>
      </w:r>
      <w:r w:rsidR="00FC5825">
        <w:rPr>
          <w:rFonts w:ascii="Times New Roman" w:hAnsi="Times New Roman" w:cs="Times New Roman"/>
          <w:sz w:val="24"/>
          <w:szCs w:val="24"/>
        </w:rPr>
        <w:t xml:space="preserve"> </w:t>
      </w:r>
      <w:r w:rsidRPr="00DB3115">
        <w:rPr>
          <w:rFonts w:ascii="Times New Roman" w:hAnsi="Times New Roman" w:cs="Times New Roman"/>
          <w:sz w:val="24"/>
          <w:szCs w:val="24"/>
        </w:rPr>
        <w:t>%),</w:t>
      </w:r>
      <w:r w:rsidRPr="003F3FAF">
        <w:rPr>
          <w:rFonts w:ascii="Times New Roman" w:hAnsi="Times New Roman" w:cs="Times New Roman"/>
          <w:i/>
          <w:iCs/>
          <w:sz w:val="24"/>
          <w:szCs w:val="24"/>
        </w:rPr>
        <w:t xml:space="preserve"> </w:t>
      </w:r>
      <w:r w:rsidR="00FC5825" w:rsidRPr="003F3FAF">
        <w:rPr>
          <w:rFonts w:ascii="Times New Roman" w:hAnsi="Times New Roman" w:cs="Times New Roman"/>
          <w:i/>
          <w:iCs/>
          <w:sz w:val="24"/>
          <w:szCs w:val="24"/>
        </w:rPr>
        <w:t>2)</w:t>
      </w:r>
      <w:r w:rsidR="00FC5825">
        <w:rPr>
          <w:rFonts w:ascii="Times New Roman" w:hAnsi="Times New Roman" w:cs="Times New Roman"/>
          <w:sz w:val="24"/>
          <w:szCs w:val="24"/>
        </w:rPr>
        <w:t xml:space="preserve"> </w:t>
      </w:r>
      <w:r w:rsidRPr="00DB3115">
        <w:rPr>
          <w:rFonts w:ascii="Times New Roman" w:hAnsi="Times New Roman" w:cs="Times New Roman"/>
          <w:sz w:val="24"/>
          <w:szCs w:val="24"/>
        </w:rPr>
        <w:t>el tracto urinario (24</w:t>
      </w:r>
      <w:r w:rsidR="00FC5825">
        <w:rPr>
          <w:rFonts w:ascii="Times New Roman" w:hAnsi="Times New Roman" w:cs="Times New Roman"/>
          <w:sz w:val="24"/>
          <w:szCs w:val="24"/>
        </w:rPr>
        <w:t xml:space="preserve"> </w:t>
      </w:r>
      <w:r w:rsidRPr="00DB3115">
        <w:rPr>
          <w:rFonts w:ascii="Times New Roman" w:hAnsi="Times New Roman" w:cs="Times New Roman"/>
          <w:sz w:val="24"/>
          <w:szCs w:val="24"/>
        </w:rPr>
        <w:t xml:space="preserve">%), </w:t>
      </w:r>
      <w:r w:rsidR="00FC5825" w:rsidRPr="003F3FAF">
        <w:rPr>
          <w:rFonts w:ascii="Times New Roman" w:hAnsi="Times New Roman" w:cs="Times New Roman"/>
          <w:i/>
          <w:iCs/>
          <w:sz w:val="24"/>
          <w:szCs w:val="24"/>
        </w:rPr>
        <w:t>3)</w:t>
      </w:r>
      <w:r w:rsidR="00FC5825">
        <w:rPr>
          <w:rFonts w:ascii="Times New Roman" w:hAnsi="Times New Roman" w:cs="Times New Roman"/>
          <w:sz w:val="24"/>
          <w:szCs w:val="24"/>
        </w:rPr>
        <w:t xml:space="preserve"> </w:t>
      </w:r>
      <w:r w:rsidRPr="00DB3115">
        <w:rPr>
          <w:rFonts w:ascii="Times New Roman" w:hAnsi="Times New Roman" w:cs="Times New Roman"/>
          <w:sz w:val="24"/>
          <w:szCs w:val="24"/>
        </w:rPr>
        <w:t>el torrente sanguíneo (16%) y</w:t>
      </w:r>
      <w:r w:rsidR="00FC5825">
        <w:rPr>
          <w:rFonts w:ascii="Times New Roman" w:hAnsi="Times New Roman" w:cs="Times New Roman"/>
          <w:sz w:val="24"/>
          <w:szCs w:val="24"/>
        </w:rPr>
        <w:t xml:space="preserve"> </w:t>
      </w:r>
      <w:r w:rsidR="00FC5825" w:rsidRPr="003F3FAF">
        <w:rPr>
          <w:rFonts w:ascii="Times New Roman" w:hAnsi="Times New Roman" w:cs="Times New Roman"/>
          <w:i/>
          <w:iCs/>
          <w:sz w:val="24"/>
          <w:szCs w:val="24"/>
        </w:rPr>
        <w:t>4)</w:t>
      </w:r>
      <w:r w:rsidRPr="00DB3115">
        <w:rPr>
          <w:rFonts w:ascii="Times New Roman" w:hAnsi="Times New Roman" w:cs="Times New Roman"/>
          <w:sz w:val="24"/>
          <w:szCs w:val="24"/>
        </w:rPr>
        <w:t xml:space="preserve"> las heridas quirúrgicas (8</w:t>
      </w:r>
      <w:r w:rsidR="00FC5825">
        <w:rPr>
          <w:rFonts w:ascii="Times New Roman" w:hAnsi="Times New Roman" w:cs="Times New Roman"/>
          <w:sz w:val="24"/>
          <w:szCs w:val="24"/>
        </w:rPr>
        <w:t xml:space="preserve"> </w:t>
      </w:r>
      <w:r w:rsidRPr="00DB3115">
        <w:rPr>
          <w:rFonts w:ascii="Times New Roman" w:hAnsi="Times New Roman" w:cs="Times New Roman"/>
          <w:sz w:val="24"/>
          <w:szCs w:val="24"/>
        </w:rPr>
        <w:t>%.) (17,</w:t>
      </w:r>
      <w:r w:rsidR="00FC5825">
        <w:rPr>
          <w:rFonts w:ascii="Times New Roman" w:hAnsi="Times New Roman" w:cs="Times New Roman"/>
          <w:sz w:val="24"/>
          <w:szCs w:val="24"/>
        </w:rPr>
        <w:t xml:space="preserve"> </w:t>
      </w:r>
      <w:r w:rsidRPr="00DB3115">
        <w:rPr>
          <w:rFonts w:ascii="Times New Roman" w:hAnsi="Times New Roman" w:cs="Times New Roman"/>
          <w:sz w:val="24"/>
          <w:szCs w:val="24"/>
        </w:rPr>
        <w:t>18). En referencia a lo antes citado</w:t>
      </w:r>
      <w:r w:rsidR="00FC5825">
        <w:rPr>
          <w:rFonts w:ascii="Times New Roman" w:hAnsi="Times New Roman" w:cs="Times New Roman"/>
          <w:sz w:val="24"/>
          <w:szCs w:val="24"/>
        </w:rPr>
        <w:t>,</w:t>
      </w:r>
      <w:r w:rsidRPr="00DB3115">
        <w:rPr>
          <w:rFonts w:ascii="Times New Roman" w:hAnsi="Times New Roman" w:cs="Times New Roman"/>
          <w:sz w:val="24"/>
          <w:szCs w:val="24"/>
        </w:rPr>
        <w:t xml:space="preserve"> y en relación con el presente estudio, se puede observar</w:t>
      </w:r>
      <w:r w:rsidR="00FC5825">
        <w:rPr>
          <w:rFonts w:ascii="Times New Roman" w:hAnsi="Times New Roman" w:cs="Times New Roman"/>
          <w:sz w:val="24"/>
          <w:szCs w:val="24"/>
        </w:rPr>
        <w:t>,</w:t>
      </w:r>
      <w:r w:rsidRPr="00DB3115">
        <w:rPr>
          <w:rFonts w:ascii="Times New Roman" w:hAnsi="Times New Roman" w:cs="Times New Roman"/>
          <w:sz w:val="24"/>
          <w:szCs w:val="24"/>
        </w:rPr>
        <w:t xml:space="preserve"> al comparar ambos grupos (NETL vs NETI)</w:t>
      </w:r>
      <w:r w:rsidR="00FC5825">
        <w:rPr>
          <w:rFonts w:ascii="Times New Roman" w:hAnsi="Times New Roman" w:cs="Times New Roman"/>
          <w:sz w:val="24"/>
          <w:szCs w:val="24"/>
        </w:rPr>
        <w:t>,</w:t>
      </w:r>
      <w:r w:rsidRPr="00DB3115">
        <w:rPr>
          <w:rFonts w:ascii="Times New Roman" w:hAnsi="Times New Roman" w:cs="Times New Roman"/>
          <w:sz w:val="24"/>
          <w:szCs w:val="24"/>
        </w:rPr>
        <w:t xml:space="preserve"> la presencia de infecciones de vías respiratorias</w:t>
      </w:r>
      <w:r w:rsidR="00FC5825">
        <w:rPr>
          <w:rFonts w:ascii="Times New Roman" w:hAnsi="Times New Roman" w:cs="Times New Roman"/>
          <w:sz w:val="24"/>
          <w:szCs w:val="24"/>
        </w:rPr>
        <w:t>:</w:t>
      </w:r>
      <w:r w:rsidRPr="00DB3115">
        <w:rPr>
          <w:rFonts w:ascii="Times New Roman" w:hAnsi="Times New Roman" w:cs="Times New Roman"/>
          <w:sz w:val="24"/>
          <w:szCs w:val="24"/>
        </w:rPr>
        <w:t xml:space="preserve"> 45.5</w:t>
      </w:r>
      <w:r w:rsidR="00FC5825">
        <w:rPr>
          <w:rFonts w:ascii="Times New Roman" w:hAnsi="Times New Roman" w:cs="Times New Roman"/>
          <w:sz w:val="24"/>
          <w:szCs w:val="24"/>
        </w:rPr>
        <w:t xml:space="preserve"> </w:t>
      </w:r>
      <w:r w:rsidRPr="00DB3115">
        <w:rPr>
          <w:rFonts w:ascii="Times New Roman" w:hAnsi="Times New Roman" w:cs="Times New Roman"/>
          <w:sz w:val="24"/>
          <w:szCs w:val="24"/>
        </w:rPr>
        <w:t>% v</w:t>
      </w:r>
      <w:r w:rsidR="00FC5825">
        <w:rPr>
          <w:rFonts w:ascii="Times New Roman" w:hAnsi="Times New Roman" w:cs="Times New Roman"/>
          <w:sz w:val="24"/>
          <w:szCs w:val="24"/>
        </w:rPr>
        <w:t>er</w:t>
      </w:r>
      <w:r w:rsidRPr="00DB3115">
        <w:rPr>
          <w:rFonts w:ascii="Times New Roman" w:hAnsi="Times New Roman" w:cs="Times New Roman"/>
          <w:sz w:val="24"/>
          <w:szCs w:val="24"/>
        </w:rPr>
        <w:t>s</w:t>
      </w:r>
      <w:r w:rsidR="00FC5825">
        <w:rPr>
          <w:rFonts w:ascii="Times New Roman" w:hAnsi="Times New Roman" w:cs="Times New Roman"/>
          <w:sz w:val="24"/>
          <w:szCs w:val="24"/>
        </w:rPr>
        <w:t>us</w:t>
      </w:r>
      <w:r w:rsidRPr="00DB3115">
        <w:rPr>
          <w:rFonts w:ascii="Times New Roman" w:hAnsi="Times New Roman" w:cs="Times New Roman"/>
          <w:sz w:val="24"/>
          <w:szCs w:val="24"/>
        </w:rPr>
        <w:t xml:space="preserve"> 36.4</w:t>
      </w:r>
      <w:r w:rsidR="00FC5825">
        <w:rPr>
          <w:rFonts w:ascii="Times New Roman" w:hAnsi="Times New Roman" w:cs="Times New Roman"/>
          <w:sz w:val="24"/>
          <w:szCs w:val="24"/>
        </w:rPr>
        <w:t xml:space="preserve"> </w:t>
      </w:r>
      <w:r w:rsidRPr="00DB3115">
        <w:rPr>
          <w:rFonts w:ascii="Times New Roman" w:hAnsi="Times New Roman" w:cs="Times New Roman"/>
          <w:sz w:val="24"/>
          <w:szCs w:val="24"/>
        </w:rPr>
        <w:t>%</w:t>
      </w:r>
      <w:r w:rsidR="00FC5825">
        <w:rPr>
          <w:rFonts w:ascii="Times New Roman" w:hAnsi="Times New Roman" w:cs="Times New Roman"/>
          <w:sz w:val="24"/>
          <w:szCs w:val="24"/>
        </w:rPr>
        <w:t>;</w:t>
      </w:r>
      <w:r w:rsidRPr="00DB3115">
        <w:rPr>
          <w:rFonts w:ascii="Times New Roman" w:hAnsi="Times New Roman" w:cs="Times New Roman"/>
          <w:sz w:val="24"/>
          <w:szCs w:val="24"/>
        </w:rPr>
        <w:t xml:space="preserve"> y del tracto urinario</w:t>
      </w:r>
      <w:r w:rsidR="00FC5825">
        <w:rPr>
          <w:rFonts w:ascii="Times New Roman" w:hAnsi="Times New Roman" w:cs="Times New Roman"/>
          <w:sz w:val="24"/>
          <w:szCs w:val="24"/>
        </w:rPr>
        <w:t>:</w:t>
      </w:r>
      <w:r w:rsidRPr="00DB3115">
        <w:rPr>
          <w:rFonts w:ascii="Times New Roman" w:hAnsi="Times New Roman" w:cs="Times New Roman"/>
          <w:sz w:val="24"/>
          <w:szCs w:val="24"/>
        </w:rPr>
        <w:t xml:space="preserve"> 36.4</w:t>
      </w:r>
      <w:r w:rsidR="00FC5825">
        <w:rPr>
          <w:rFonts w:ascii="Times New Roman" w:hAnsi="Times New Roman" w:cs="Times New Roman"/>
          <w:sz w:val="24"/>
          <w:szCs w:val="24"/>
        </w:rPr>
        <w:t xml:space="preserve"> </w:t>
      </w:r>
      <w:r w:rsidRPr="00DB3115">
        <w:rPr>
          <w:rFonts w:ascii="Times New Roman" w:hAnsi="Times New Roman" w:cs="Times New Roman"/>
          <w:sz w:val="24"/>
          <w:szCs w:val="24"/>
        </w:rPr>
        <w:t xml:space="preserve">% </w:t>
      </w:r>
      <w:r w:rsidR="00FC5825" w:rsidRPr="00DB3115">
        <w:rPr>
          <w:rFonts w:ascii="Times New Roman" w:hAnsi="Times New Roman" w:cs="Times New Roman"/>
          <w:sz w:val="24"/>
          <w:szCs w:val="24"/>
        </w:rPr>
        <w:t>v</w:t>
      </w:r>
      <w:r w:rsidR="00FC5825">
        <w:rPr>
          <w:rFonts w:ascii="Times New Roman" w:hAnsi="Times New Roman" w:cs="Times New Roman"/>
          <w:sz w:val="24"/>
          <w:szCs w:val="24"/>
        </w:rPr>
        <w:t>ersus</w:t>
      </w:r>
      <w:r w:rsidR="00FC5825" w:rsidRPr="00DB3115">
        <w:rPr>
          <w:rFonts w:ascii="Times New Roman" w:hAnsi="Times New Roman" w:cs="Times New Roman"/>
          <w:sz w:val="24"/>
          <w:szCs w:val="24"/>
        </w:rPr>
        <w:t xml:space="preserve"> </w:t>
      </w:r>
      <w:r w:rsidRPr="00DB3115">
        <w:rPr>
          <w:rFonts w:ascii="Times New Roman" w:hAnsi="Times New Roman" w:cs="Times New Roman"/>
          <w:sz w:val="24"/>
          <w:szCs w:val="24"/>
        </w:rPr>
        <w:t>9.1</w:t>
      </w:r>
      <w:r w:rsidR="00FC5825">
        <w:rPr>
          <w:rFonts w:ascii="Times New Roman" w:hAnsi="Times New Roman" w:cs="Times New Roman"/>
          <w:sz w:val="24"/>
          <w:szCs w:val="24"/>
        </w:rPr>
        <w:t xml:space="preserve"> </w:t>
      </w:r>
      <w:r w:rsidR="00FC5825" w:rsidRPr="00DB3115">
        <w:rPr>
          <w:rFonts w:ascii="Times New Roman" w:hAnsi="Times New Roman" w:cs="Times New Roman"/>
          <w:sz w:val="24"/>
          <w:szCs w:val="24"/>
        </w:rPr>
        <w:t>%</w:t>
      </w:r>
      <w:r w:rsidR="00FC5825">
        <w:rPr>
          <w:rFonts w:ascii="Times New Roman" w:hAnsi="Times New Roman" w:cs="Times New Roman"/>
          <w:sz w:val="24"/>
          <w:szCs w:val="24"/>
        </w:rPr>
        <w:t>.</w:t>
      </w:r>
      <w:r w:rsidR="00FC5825" w:rsidRPr="00DB3115">
        <w:rPr>
          <w:rFonts w:ascii="Times New Roman" w:hAnsi="Times New Roman" w:cs="Times New Roman"/>
          <w:sz w:val="24"/>
          <w:szCs w:val="24"/>
        </w:rPr>
        <w:t xml:space="preserve"> </w:t>
      </w:r>
      <w:r w:rsidR="00FC5825">
        <w:rPr>
          <w:rFonts w:ascii="Times New Roman" w:hAnsi="Times New Roman" w:cs="Times New Roman"/>
          <w:sz w:val="24"/>
          <w:szCs w:val="24"/>
        </w:rPr>
        <w:t>Esto es, se encontró</w:t>
      </w:r>
      <w:r w:rsidR="00FC5825" w:rsidRPr="00DB3115">
        <w:rPr>
          <w:rFonts w:ascii="Times New Roman" w:hAnsi="Times New Roman" w:cs="Times New Roman"/>
          <w:sz w:val="24"/>
          <w:szCs w:val="24"/>
        </w:rPr>
        <w:t xml:space="preserve"> </w:t>
      </w:r>
      <w:r w:rsidRPr="00DB3115">
        <w:rPr>
          <w:rFonts w:ascii="Times New Roman" w:hAnsi="Times New Roman" w:cs="Times New Roman"/>
          <w:sz w:val="24"/>
          <w:szCs w:val="24"/>
        </w:rPr>
        <w:t>una incidencia menor en los pacientes con NETI, lo cual concuerda con diversos estudios realizados en pacientes con TCE (</w:t>
      </w:r>
      <w:r w:rsidR="00FE140E" w:rsidRPr="00DB3115">
        <w:rPr>
          <w:rFonts w:ascii="Times New Roman" w:hAnsi="Times New Roman" w:cs="Times New Roman"/>
          <w:sz w:val="24"/>
          <w:szCs w:val="24"/>
        </w:rPr>
        <w:t>Ramírez</w:t>
      </w:r>
      <w:r w:rsidR="00B10CA1">
        <w:rPr>
          <w:rFonts w:ascii="Times New Roman" w:hAnsi="Times New Roman" w:cs="Times New Roman"/>
          <w:sz w:val="24"/>
          <w:szCs w:val="24"/>
        </w:rPr>
        <w:t xml:space="preserve"> </w:t>
      </w:r>
      <w:r w:rsidR="00B10CA1">
        <w:rPr>
          <w:rFonts w:ascii="Times New Roman" w:hAnsi="Times New Roman" w:cs="Times New Roman"/>
          <w:i/>
          <w:iCs/>
          <w:sz w:val="24"/>
          <w:szCs w:val="24"/>
        </w:rPr>
        <w:t>et al.</w:t>
      </w:r>
      <w:r w:rsidR="00B10CA1">
        <w:rPr>
          <w:rFonts w:ascii="Times New Roman" w:hAnsi="Times New Roman" w:cs="Times New Roman"/>
          <w:sz w:val="24"/>
          <w:szCs w:val="24"/>
        </w:rPr>
        <w:t>,</w:t>
      </w:r>
      <w:r w:rsidR="00FE140E" w:rsidRPr="00DB3115">
        <w:rPr>
          <w:rFonts w:ascii="Times New Roman" w:hAnsi="Times New Roman" w:cs="Times New Roman"/>
          <w:sz w:val="24"/>
          <w:szCs w:val="24"/>
        </w:rPr>
        <w:t xml:space="preserve"> </w:t>
      </w:r>
      <w:r w:rsidR="00FE140E">
        <w:rPr>
          <w:rFonts w:ascii="Times New Roman" w:hAnsi="Times New Roman" w:cs="Times New Roman"/>
          <w:sz w:val="24"/>
          <w:szCs w:val="24"/>
        </w:rPr>
        <w:t xml:space="preserve">2008; </w:t>
      </w:r>
      <w:r w:rsidR="00FE140E" w:rsidRPr="00DB3115">
        <w:rPr>
          <w:rFonts w:ascii="Times New Roman" w:hAnsi="Times New Roman" w:cs="Times New Roman"/>
          <w:bCs/>
          <w:sz w:val="24"/>
          <w:szCs w:val="24"/>
          <w:shd w:val="clear" w:color="auto" w:fill="FFFFFF"/>
        </w:rPr>
        <w:t xml:space="preserve">Rodríguez </w:t>
      </w:r>
      <w:r w:rsidR="00FE140E" w:rsidRPr="003F3FAF">
        <w:rPr>
          <w:rFonts w:ascii="Times New Roman" w:hAnsi="Times New Roman" w:cs="Times New Roman"/>
          <w:bCs/>
          <w:i/>
          <w:iCs/>
          <w:sz w:val="24"/>
          <w:szCs w:val="24"/>
          <w:shd w:val="clear" w:color="auto" w:fill="FFFFFF"/>
        </w:rPr>
        <w:t>et al.</w:t>
      </w:r>
      <w:r w:rsidR="00FE140E">
        <w:rPr>
          <w:rFonts w:ascii="Times New Roman" w:hAnsi="Times New Roman" w:cs="Times New Roman"/>
          <w:bCs/>
          <w:sz w:val="24"/>
          <w:szCs w:val="24"/>
          <w:shd w:val="clear" w:color="auto" w:fill="FFFFFF"/>
        </w:rPr>
        <w:t xml:space="preserve">, 2012; </w:t>
      </w:r>
      <w:r w:rsidR="00FE140E" w:rsidRPr="00DB3115">
        <w:rPr>
          <w:rFonts w:ascii="Times New Roman" w:hAnsi="Times New Roman" w:cs="Times New Roman"/>
          <w:sz w:val="24"/>
          <w:szCs w:val="24"/>
        </w:rPr>
        <w:t xml:space="preserve">González </w:t>
      </w:r>
      <w:r w:rsidR="00B10CA1">
        <w:rPr>
          <w:rFonts w:ascii="Times New Roman" w:hAnsi="Times New Roman" w:cs="Times New Roman"/>
          <w:sz w:val="24"/>
          <w:szCs w:val="24"/>
        </w:rPr>
        <w:t>y</w:t>
      </w:r>
      <w:r w:rsidR="00FE140E" w:rsidRPr="00DB3115">
        <w:rPr>
          <w:rFonts w:ascii="Times New Roman" w:hAnsi="Times New Roman" w:cs="Times New Roman"/>
          <w:sz w:val="24"/>
          <w:szCs w:val="24"/>
        </w:rPr>
        <w:t xml:space="preserve"> García</w:t>
      </w:r>
      <w:r w:rsidR="00FE140E">
        <w:rPr>
          <w:rFonts w:ascii="Times New Roman" w:hAnsi="Times New Roman" w:cs="Times New Roman"/>
          <w:sz w:val="24"/>
          <w:szCs w:val="24"/>
        </w:rPr>
        <w:t>, 2013)</w:t>
      </w:r>
      <w:r w:rsidRPr="00DB3115">
        <w:rPr>
          <w:rFonts w:ascii="Times New Roman" w:hAnsi="Times New Roman" w:cs="Times New Roman"/>
          <w:sz w:val="24"/>
          <w:szCs w:val="24"/>
        </w:rPr>
        <w:t>.</w:t>
      </w:r>
    </w:p>
    <w:p w14:paraId="11F62DC8" w14:textId="1545B1E8" w:rsidR="00D87544" w:rsidRPr="00DB3115" w:rsidRDefault="00D87544" w:rsidP="003F3FAF">
      <w:pPr>
        <w:spacing w:after="0" w:line="360" w:lineRule="auto"/>
        <w:ind w:right="49" w:firstLine="708"/>
        <w:jc w:val="both"/>
        <w:rPr>
          <w:rFonts w:ascii="Times New Roman" w:hAnsi="Times New Roman" w:cs="Times New Roman"/>
          <w:b/>
          <w:sz w:val="24"/>
          <w:szCs w:val="24"/>
        </w:rPr>
      </w:pPr>
      <w:r w:rsidRPr="00DB3115">
        <w:rPr>
          <w:rFonts w:ascii="Times New Roman" w:hAnsi="Times New Roman" w:cs="Times New Roman"/>
          <w:color w:val="000000"/>
          <w:sz w:val="24"/>
          <w:szCs w:val="24"/>
        </w:rPr>
        <w:t>Es por ello</w:t>
      </w:r>
      <w:r w:rsidR="00505A5A">
        <w:rPr>
          <w:rFonts w:ascii="Times New Roman" w:hAnsi="Times New Roman" w:cs="Times New Roman"/>
          <w:color w:val="000000"/>
          <w:sz w:val="24"/>
          <w:szCs w:val="24"/>
        </w:rPr>
        <w:t xml:space="preserve"> por lo</w:t>
      </w:r>
      <w:r w:rsidRPr="00DB3115">
        <w:rPr>
          <w:rFonts w:ascii="Times New Roman" w:hAnsi="Times New Roman" w:cs="Times New Roman"/>
          <w:color w:val="000000"/>
          <w:sz w:val="24"/>
          <w:szCs w:val="24"/>
        </w:rPr>
        <w:t xml:space="preserve"> que,</w:t>
      </w:r>
      <w:r w:rsidRPr="00DB3115">
        <w:rPr>
          <w:rFonts w:ascii="Times New Roman" w:hAnsi="Times New Roman" w:cs="Times New Roman"/>
          <w:color w:val="000000"/>
          <w:sz w:val="24"/>
          <w:szCs w:val="24"/>
          <w:lang w:val="es-ES"/>
        </w:rPr>
        <w:t xml:space="preserve"> actualmente</w:t>
      </w:r>
      <w:r w:rsidR="00D2619D">
        <w:rPr>
          <w:rFonts w:ascii="Times New Roman" w:hAnsi="Times New Roman" w:cs="Times New Roman"/>
          <w:color w:val="000000"/>
          <w:sz w:val="24"/>
          <w:szCs w:val="24"/>
          <w:lang w:val="es-ES"/>
        </w:rPr>
        <w:t>,</w:t>
      </w:r>
      <w:r w:rsidRPr="00DB3115">
        <w:rPr>
          <w:rFonts w:ascii="Times New Roman" w:hAnsi="Times New Roman" w:cs="Times New Roman"/>
          <w:color w:val="000000"/>
          <w:sz w:val="24"/>
          <w:szCs w:val="24"/>
          <w:lang w:val="es-ES"/>
        </w:rPr>
        <w:t xml:space="preserve"> el criterio de nutrición en los pacientes críticos se ha modificado, con el objetivo fundamental de disminuir las complicaciones, como la infección y la reducción de la respuesta inflamatoria sistémica, independientemente de su estado nutricional al ingreso.</w:t>
      </w:r>
    </w:p>
    <w:p w14:paraId="2C471D2F" w14:textId="2CA353F4" w:rsidR="00D87544" w:rsidRPr="00DB3115" w:rsidRDefault="00D87544" w:rsidP="003F3FAF">
      <w:pPr>
        <w:spacing w:after="0" w:line="360" w:lineRule="auto"/>
        <w:ind w:right="49" w:firstLine="708"/>
        <w:jc w:val="both"/>
        <w:rPr>
          <w:rStyle w:val="apple-converted-space"/>
          <w:rFonts w:ascii="Times New Roman" w:hAnsi="Times New Roman" w:cs="Times New Roman"/>
          <w:b/>
          <w:sz w:val="24"/>
          <w:szCs w:val="24"/>
        </w:rPr>
      </w:pPr>
      <w:r w:rsidRPr="00DB3115">
        <w:rPr>
          <w:rFonts w:ascii="Times New Roman" w:hAnsi="Times New Roman" w:cs="Times New Roman"/>
          <w:sz w:val="24"/>
          <w:szCs w:val="24"/>
        </w:rPr>
        <w:t>Por otra parte, en cuanto a la mortalidad, solo se presentó una defunción en el grupo con NETL, lo cual puede estar condicionado a</w:t>
      </w:r>
      <w:r w:rsidRPr="00DB3115">
        <w:rPr>
          <w:rStyle w:val="apple-converted-space"/>
          <w:rFonts w:ascii="Times New Roman" w:hAnsi="Times New Roman" w:cs="Times New Roman"/>
          <w:sz w:val="24"/>
          <w:szCs w:val="24"/>
          <w:shd w:val="clear" w:color="auto" w:fill="FFFFFF"/>
        </w:rPr>
        <w:t xml:space="preserve"> la alimentación temprana administrada en ambos grupos, </w:t>
      </w:r>
      <w:r w:rsidR="00D2619D">
        <w:rPr>
          <w:rStyle w:val="apple-converted-space"/>
          <w:rFonts w:ascii="Times New Roman" w:hAnsi="Times New Roman" w:cs="Times New Roman"/>
          <w:sz w:val="24"/>
          <w:szCs w:val="24"/>
          <w:shd w:val="clear" w:color="auto" w:fill="FFFFFF"/>
        </w:rPr>
        <w:t>lo que demuestra</w:t>
      </w:r>
      <w:r w:rsidR="00D2619D" w:rsidRPr="00DB3115">
        <w:rPr>
          <w:rStyle w:val="apple-converted-space"/>
          <w:rFonts w:ascii="Times New Roman" w:hAnsi="Times New Roman" w:cs="Times New Roman"/>
          <w:sz w:val="24"/>
          <w:szCs w:val="24"/>
          <w:shd w:val="clear" w:color="auto" w:fill="FFFFFF"/>
        </w:rPr>
        <w:t xml:space="preserve"> </w:t>
      </w:r>
      <w:r w:rsidRPr="00DB3115">
        <w:rPr>
          <w:rStyle w:val="apple-converted-space"/>
          <w:rFonts w:ascii="Times New Roman" w:hAnsi="Times New Roman" w:cs="Times New Roman"/>
          <w:sz w:val="24"/>
          <w:szCs w:val="24"/>
          <w:shd w:val="clear" w:color="auto" w:fill="FFFFFF"/>
        </w:rPr>
        <w:t>que puede asociarse con menos infecciones y una tendencia hacia mejores resultado</w:t>
      </w:r>
      <w:r w:rsidR="005F4504" w:rsidRPr="00DB3115">
        <w:rPr>
          <w:rStyle w:val="apple-converted-space"/>
          <w:rFonts w:ascii="Times New Roman" w:hAnsi="Times New Roman" w:cs="Times New Roman"/>
          <w:sz w:val="24"/>
          <w:szCs w:val="24"/>
          <w:shd w:val="clear" w:color="auto" w:fill="FFFFFF"/>
        </w:rPr>
        <w:t>s en términos de supervivencia (</w:t>
      </w:r>
      <w:r w:rsidR="00FE140E" w:rsidRPr="00DB3115">
        <w:rPr>
          <w:rFonts w:ascii="Times New Roman" w:hAnsi="Times New Roman" w:cs="Times New Roman"/>
          <w:sz w:val="24"/>
          <w:szCs w:val="24"/>
        </w:rPr>
        <w:t xml:space="preserve">Ramírez </w:t>
      </w:r>
      <w:r w:rsidR="00B10CA1" w:rsidRPr="003F3FAF">
        <w:rPr>
          <w:rFonts w:ascii="Times New Roman" w:hAnsi="Times New Roman" w:cs="Times New Roman"/>
          <w:i/>
          <w:iCs/>
          <w:sz w:val="24"/>
          <w:szCs w:val="24"/>
        </w:rPr>
        <w:t>et al</w:t>
      </w:r>
      <w:r w:rsidR="00B10CA1">
        <w:rPr>
          <w:rFonts w:ascii="Times New Roman" w:hAnsi="Times New Roman" w:cs="Times New Roman"/>
          <w:sz w:val="24"/>
          <w:szCs w:val="24"/>
        </w:rPr>
        <w:t>.</w:t>
      </w:r>
      <w:r w:rsidR="00FE140E">
        <w:rPr>
          <w:rFonts w:ascii="Times New Roman" w:hAnsi="Times New Roman" w:cs="Times New Roman"/>
          <w:sz w:val="24"/>
          <w:szCs w:val="24"/>
        </w:rPr>
        <w:t xml:space="preserve">, 2008; </w:t>
      </w:r>
      <w:r w:rsidR="00FE140E" w:rsidRPr="00DB3115">
        <w:rPr>
          <w:rFonts w:ascii="Times New Roman" w:hAnsi="Times New Roman" w:cs="Times New Roman"/>
          <w:bCs/>
          <w:sz w:val="24"/>
          <w:szCs w:val="24"/>
          <w:shd w:val="clear" w:color="auto" w:fill="FFFFFF"/>
        </w:rPr>
        <w:t xml:space="preserve">Rodríguez </w:t>
      </w:r>
      <w:r w:rsidR="00FE140E" w:rsidRPr="003F3FAF">
        <w:rPr>
          <w:rFonts w:ascii="Times New Roman" w:hAnsi="Times New Roman" w:cs="Times New Roman"/>
          <w:bCs/>
          <w:i/>
          <w:iCs/>
          <w:sz w:val="24"/>
          <w:szCs w:val="24"/>
          <w:shd w:val="clear" w:color="auto" w:fill="FFFFFF"/>
        </w:rPr>
        <w:t>et al</w:t>
      </w:r>
      <w:r w:rsidR="00FE140E">
        <w:rPr>
          <w:rFonts w:ascii="Times New Roman" w:hAnsi="Times New Roman" w:cs="Times New Roman"/>
          <w:bCs/>
          <w:sz w:val="24"/>
          <w:szCs w:val="24"/>
          <w:shd w:val="clear" w:color="auto" w:fill="FFFFFF"/>
        </w:rPr>
        <w:t>., 2012</w:t>
      </w:r>
      <w:r w:rsidR="005F4504" w:rsidRPr="00DB3115">
        <w:rPr>
          <w:rStyle w:val="apple-converted-space"/>
          <w:rFonts w:ascii="Times New Roman" w:hAnsi="Times New Roman" w:cs="Times New Roman"/>
          <w:sz w:val="24"/>
          <w:szCs w:val="24"/>
          <w:shd w:val="clear" w:color="auto" w:fill="FFFFFF"/>
        </w:rPr>
        <w:t>).</w:t>
      </w:r>
    </w:p>
    <w:p w14:paraId="3F377183" w14:textId="5EED5F1F" w:rsidR="00D87544" w:rsidRPr="00DB3115" w:rsidRDefault="00D87544" w:rsidP="003F3FAF">
      <w:pPr>
        <w:spacing w:after="0" w:line="360" w:lineRule="auto"/>
        <w:ind w:right="49" w:firstLine="708"/>
        <w:jc w:val="both"/>
        <w:rPr>
          <w:rStyle w:val="apple-converted-space"/>
          <w:rFonts w:ascii="Times New Roman" w:hAnsi="Times New Roman" w:cs="Times New Roman"/>
          <w:sz w:val="24"/>
          <w:szCs w:val="24"/>
          <w:shd w:val="clear" w:color="auto" w:fill="FFFFFF"/>
        </w:rPr>
      </w:pPr>
      <w:r w:rsidRPr="00DB3115">
        <w:rPr>
          <w:rStyle w:val="apple-converted-space"/>
          <w:rFonts w:ascii="Times New Roman" w:hAnsi="Times New Roman" w:cs="Times New Roman"/>
          <w:sz w:val="24"/>
          <w:szCs w:val="24"/>
          <w:shd w:val="clear" w:color="auto" w:fill="FFFFFF"/>
        </w:rPr>
        <w:t>En estudios previos se reporta el efecto benéfico en cuanto a</w:t>
      </w:r>
      <w:r w:rsidR="00B7768F">
        <w:rPr>
          <w:rStyle w:val="apple-converted-space"/>
          <w:rFonts w:ascii="Times New Roman" w:hAnsi="Times New Roman" w:cs="Times New Roman"/>
          <w:sz w:val="24"/>
          <w:szCs w:val="24"/>
          <w:shd w:val="clear" w:color="auto" w:fill="FFFFFF"/>
        </w:rPr>
        <w:t xml:space="preserve"> la</w:t>
      </w:r>
      <w:r w:rsidRPr="00DB3115">
        <w:rPr>
          <w:rStyle w:val="apple-converted-space"/>
          <w:rFonts w:ascii="Times New Roman" w:hAnsi="Times New Roman" w:cs="Times New Roman"/>
          <w:sz w:val="24"/>
          <w:szCs w:val="24"/>
          <w:shd w:val="clear" w:color="auto" w:fill="FFFFFF"/>
        </w:rPr>
        <w:t xml:space="preserve"> disminución en la morbimortalidad y días de estancia hospitalaria en pacientes que han recibido </w:t>
      </w:r>
      <w:r w:rsidR="004C3D7E">
        <w:rPr>
          <w:rFonts w:ascii="Times New Roman" w:hAnsi="Times New Roman" w:cs="Times New Roman"/>
          <w:sz w:val="24"/>
          <w:szCs w:val="24"/>
        </w:rPr>
        <w:t>NETI</w:t>
      </w:r>
      <w:r w:rsidR="005F4504" w:rsidRPr="00DB3115">
        <w:rPr>
          <w:rStyle w:val="apple-converted-space"/>
          <w:rFonts w:ascii="Times New Roman" w:hAnsi="Times New Roman" w:cs="Times New Roman"/>
          <w:sz w:val="24"/>
          <w:szCs w:val="24"/>
          <w:shd w:val="clear" w:color="auto" w:fill="FFFFFF"/>
        </w:rPr>
        <w:t xml:space="preserve"> (</w:t>
      </w:r>
      <w:proofErr w:type="spellStart"/>
      <w:r w:rsidR="00FE140E" w:rsidRPr="00FE140E">
        <w:rPr>
          <w:rFonts w:ascii="Times New Roman" w:hAnsi="Times New Roman" w:cs="Times New Roman"/>
          <w:color w:val="000000"/>
          <w:sz w:val="24"/>
          <w:szCs w:val="24"/>
          <w:shd w:val="clear" w:color="auto" w:fill="FFFFFF"/>
        </w:rPr>
        <w:t>Minard</w:t>
      </w:r>
      <w:proofErr w:type="spellEnd"/>
      <w:r w:rsidR="00FE140E" w:rsidRPr="00FE140E">
        <w:rPr>
          <w:rFonts w:ascii="Times New Roman" w:hAnsi="Times New Roman" w:cs="Times New Roman"/>
          <w:color w:val="000000"/>
          <w:sz w:val="24"/>
          <w:szCs w:val="24"/>
          <w:shd w:val="clear" w:color="auto" w:fill="FFFFFF"/>
        </w:rPr>
        <w:t xml:space="preserve">, </w:t>
      </w:r>
      <w:proofErr w:type="spellStart"/>
      <w:r w:rsidR="00FE140E" w:rsidRPr="00FE140E">
        <w:rPr>
          <w:rFonts w:ascii="Times New Roman" w:hAnsi="Times New Roman" w:cs="Times New Roman"/>
          <w:color w:val="000000"/>
          <w:sz w:val="24"/>
          <w:szCs w:val="24"/>
          <w:shd w:val="clear" w:color="auto" w:fill="FFFFFF"/>
        </w:rPr>
        <w:t>Kudsk</w:t>
      </w:r>
      <w:proofErr w:type="spellEnd"/>
      <w:r w:rsidR="00FE140E" w:rsidRPr="00FE140E">
        <w:rPr>
          <w:rFonts w:ascii="Times New Roman" w:hAnsi="Times New Roman" w:cs="Times New Roman"/>
          <w:color w:val="000000"/>
          <w:sz w:val="24"/>
          <w:szCs w:val="24"/>
          <w:shd w:val="clear" w:color="auto" w:fill="FFFFFF"/>
        </w:rPr>
        <w:t xml:space="preserve">, Melton, </w:t>
      </w:r>
      <w:proofErr w:type="spellStart"/>
      <w:r w:rsidR="00FE140E" w:rsidRPr="00FE140E">
        <w:rPr>
          <w:rFonts w:ascii="Times New Roman" w:hAnsi="Times New Roman" w:cs="Times New Roman"/>
          <w:color w:val="000000"/>
          <w:sz w:val="24"/>
          <w:szCs w:val="24"/>
          <w:shd w:val="clear" w:color="auto" w:fill="FFFFFF"/>
        </w:rPr>
        <w:t>Patton</w:t>
      </w:r>
      <w:proofErr w:type="spellEnd"/>
      <w:r w:rsidR="00B7768F">
        <w:rPr>
          <w:rFonts w:ascii="Times New Roman" w:hAnsi="Times New Roman" w:cs="Times New Roman"/>
          <w:color w:val="000000"/>
          <w:sz w:val="24"/>
          <w:szCs w:val="24"/>
          <w:shd w:val="clear" w:color="auto" w:fill="FFFFFF"/>
        </w:rPr>
        <w:t xml:space="preserve"> y </w:t>
      </w:r>
      <w:proofErr w:type="spellStart"/>
      <w:r w:rsidR="00FE140E" w:rsidRPr="00FE140E">
        <w:rPr>
          <w:rFonts w:ascii="Times New Roman" w:hAnsi="Times New Roman" w:cs="Times New Roman"/>
          <w:color w:val="000000"/>
          <w:sz w:val="24"/>
          <w:szCs w:val="24"/>
          <w:shd w:val="clear" w:color="auto" w:fill="FFFFFF"/>
        </w:rPr>
        <w:t>Tolley</w:t>
      </w:r>
      <w:proofErr w:type="spellEnd"/>
      <w:r w:rsidR="00FE140E">
        <w:rPr>
          <w:rFonts w:ascii="Times New Roman" w:hAnsi="Times New Roman" w:cs="Times New Roman"/>
          <w:color w:val="000000"/>
          <w:sz w:val="24"/>
          <w:szCs w:val="24"/>
          <w:shd w:val="clear" w:color="auto" w:fill="FFFFFF"/>
        </w:rPr>
        <w:t>, 2000</w:t>
      </w:r>
      <w:r w:rsidR="005F4504" w:rsidRPr="00DB3115">
        <w:rPr>
          <w:rStyle w:val="apple-converted-space"/>
          <w:rFonts w:ascii="Times New Roman" w:hAnsi="Times New Roman" w:cs="Times New Roman"/>
          <w:sz w:val="24"/>
          <w:szCs w:val="24"/>
          <w:shd w:val="clear" w:color="auto" w:fill="FFFFFF"/>
        </w:rPr>
        <w:t xml:space="preserve">). </w:t>
      </w:r>
      <w:r w:rsidRPr="00DB3115">
        <w:rPr>
          <w:rStyle w:val="apple-converted-space"/>
          <w:rFonts w:ascii="Times New Roman" w:hAnsi="Times New Roman" w:cs="Times New Roman"/>
          <w:sz w:val="24"/>
          <w:szCs w:val="24"/>
          <w:shd w:val="clear" w:color="auto" w:fill="FFFFFF"/>
        </w:rPr>
        <w:t xml:space="preserve">Hoy se conoce que todo paciente con trauma presenta un estado de inmunosupresión y por lo tanto un riesgo de </w:t>
      </w:r>
      <w:r w:rsidR="007B364B">
        <w:rPr>
          <w:rStyle w:val="apple-converted-space"/>
          <w:rFonts w:ascii="Times New Roman" w:hAnsi="Times New Roman" w:cs="Times New Roman"/>
          <w:sz w:val="24"/>
          <w:szCs w:val="24"/>
          <w:shd w:val="clear" w:color="auto" w:fill="FFFFFF"/>
        </w:rPr>
        <w:t>sufrir</w:t>
      </w:r>
      <w:r w:rsidR="00B7768F" w:rsidRPr="00DB3115">
        <w:rPr>
          <w:rStyle w:val="apple-converted-space"/>
          <w:rFonts w:ascii="Times New Roman" w:hAnsi="Times New Roman" w:cs="Times New Roman"/>
          <w:sz w:val="24"/>
          <w:szCs w:val="24"/>
          <w:shd w:val="clear" w:color="auto" w:fill="FFFFFF"/>
        </w:rPr>
        <w:t xml:space="preserve"> </w:t>
      </w:r>
      <w:r w:rsidRPr="00DB3115">
        <w:rPr>
          <w:rStyle w:val="apple-converted-space"/>
          <w:rFonts w:ascii="Times New Roman" w:hAnsi="Times New Roman" w:cs="Times New Roman"/>
          <w:sz w:val="24"/>
          <w:szCs w:val="24"/>
          <w:shd w:val="clear" w:color="auto" w:fill="FFFFFF"/>
        </w:rPr>
        <w:t>infecciones nosocomiales.</w:t>
      </w:r>
    </w:p>
    <w:p w14:paraId="4D0A7579" w14:textId="3443B48A" w:rsidR="00D87544" w:rsidRPr="00DB3115" w:rsidRDefault="00D87544" w:rsidP="003F3FAF">
      <w:pPr>
        <w:spacing w:after="0" w:line="360" w:lineRule="auto"/>
        <w:ind w:right="49" w:firstLine="708"/>
        <w:jc w:val="both"/>
        <w:rPr>
          <w:rFonts w:ascii="Times New Roman" w:hAnsi="Times New Roman" w:cs="Times New Roman"/>
          <w:sz w:val="24"/>
          <w:szCs w:val="24"/>
          <w:shd w:val="clear" w:color="auto" w:fill="FFFFFF"/>
        </w:rPr>
      </w:pPr>
      <w:r w:rsidRPr="00DB3115">
        <w:rPr>
          <w:rStyle w:val="apple-converted-space"/>
          <w:rFonts w:ascii="Times New Roman" w:hAnsi="Times New Roman" w:cs="Times New Roman"/>
          <w:sz w:val="24"/>
          <w:szCs w:val="24"/>
          <w:shd w:val="clear" w:color="auto" w:fill="FFFFFF"/>
        </w:rPr>
        <w:t xml:space="preserve">En la actualidad, se ha comprobado que el uso de algunos </w:t>
      </w:r>
      <w:proofErr w:type="spellStart"/>
      <w:r w:rsidRPr="00DB3115">
        <w:rPr>
          <w:rStyle w:val="apple-converted-space"/>
          <w:rFonts w:ascii="Times New Roman" w:hAnsi="Times New Roman" w:cs="Times New Roman"/>
          <w:sz w:val="24"/>
          <w:szCs w:val="24"/>
          <w:shd w:val="clear" w:color="auto" w:fill="FFFFFF"/>
        </w:rPr>
        <w:t>inmunonutrientes</w:t>
      </w:r>
      <w:proofErr w:type="spellEnd"/>
      <w:r w:rsidRPr="00DB3115">
        <w:rPr>
          <w:rStyle w:val="apple-converted-space"/>
          <w:rFonts w:ascii="Times New Roman" w:hAnsi="Times New Roman" w:cs="Times New Roman"/>
          <w:sz w:val="24"/>
          <w:szCs w:val="24"/>
          <w:shd w:val="clear" w:color="auto" w:fill="FFFFFF"/>
        </w:rPr>
        <w:t xml:space="preserve"> en la dieta como la glutamina, arginina, ácidos grasos omega</w:t>
      </w:r>
      <w:r w:rsidR="007B364B">
        <w:rPr>
          <w:rStyle w:val="apple-converted-space"/>
          <w:rFonts w:ascii="Times New Roman" w:hAnsi="Times New Roman" w:cs="Times New Roman"/>
          <w:sz w:val="24"/>
          <w:szCs w:val="24"/>
          <w:shd w:val="clear" w:color="auto" w:fill="FFFFFF"/>
        </w:rPr>
        <w:t>-</w:t>
      </w:r>
      <w:r w:rsidRPr="00DB3115">
        <w:rPr>
          <w:rStyle w:val="apple-converted-space"/>
          <w:rFonts w:ascii="Times New Roman" w:hAnsi="Times New Roman" w:cs="Times New Roman"/>
          <w:sz w:val="24"/>
          <w:szCs w:val="24"/>
          <w:shd w:val="clear" w:color="auto" w:fill="FFFFFF"/>
        </w:rPr>
        <w:t xml:space="preserve">3 y nucleótidos ocasionan una mejoría en la </w:t>
      </w:r>
      <w:r w:rsidR="005F4504" w:rsidRPr="00DB3115">
        <w:rPr>
          <w:rStyle w:val="apple-converted-space"/>
          <w:rFonts w:ascii="Times New Roman" w:hAnsi="Times New Roman" w:cs="Times New Roman"/>
          <w:sz w:val="24"/>
          <w:szCs w:val="24"/>
          <w:shd w:val="clear" w:color="auto" w:fill="FFFFFF"/>
        </w:rPr>
        <w:t>respuesta inmune</w:t>
      </w:r>
      <w:r w:rsidRPr="00DB3115">
        <w:rPr>
          <w:rStyle w:val="apple-converted-space"/>
          <w:rFonts w:ascii="Times New Roman" w:hAnsi="Times New Roman" w:cs="Times New Roman"/>
          <w:sz w:val="24"/>
          <w:szCs w:val="24"/>
          <w:shd w:val="clear" w:color="auto" w:fill="FFFFFF"/>
        </w:rPr>
        <w:t xml:space="preserve"> en pacientes críticos, principalmente en el paciente con trauma. Los posibles efectos benéficos de la dieta con </w:t>
      </w:r>
      <w:proofErr w:type="spellStart"/>
      <w:r w:rsidRPr="00DB3115">
        <w:rPr>
          <w:rStyle w:val="apple-converted-space"/>
          <w:rFonts w:ascii="Times New Roman" w:hAnsi="Times New Roman" w:cs="Times New Roman"/>
          <w:sz w:val="24"/>
          <w:szCs w:val="24"/>
          <w:shd w:val="clear" w:color="auto" w:fill="FFFFFF"/>
        </w:rPr>
        <w:t>inmunonutrientes</w:t>
      </w:r>
      <w:proofErr w:type="spellEnd"/>
      <w:r w:rsidRPr="00DB3115">
        <w:rPr>
          <w:rStyle w:val="apple-converted-space"/>
          <w:rFonts w:ascii="Times New Roman" w:hAnsi="Times New Roman" w:cs="Times New Roman"/>
          <w:sz w:val="24"/>
          <w:szCs w:val="24"/>
          <w:shd w:val="clear" w:color="auto" w:fill="FFFFFF"/>
        </w:rPr>
        <w:t xml:space="preserve"> son varios y se encuentran descritos en la literatura, en particular la glutamina, ya que </w:t>
      </w:r>
      <w:r w:rsidR="007B364B">
        <w:rPr>
          <w:rStyle w:val="apple-converted-space"/>
          <w:rFonts w:ascii="Times New Roman" w:hAnsi="Times New Roman" w:cs="Times New Roman"/>
          <w:sz w:val="24"/>
          <w:szCs w:val="24"/>
          <w:shd w:val="clear" w:color="auto" w:fill="FFFFFF"/>
        </w:rPr>
        <w:t>e</w:t>
      </w:r>
      <w:r w:rsidR="007B364B" w:rsidRPr="00DB3115">
        <w:rPr>
          <w:rStyle w:val="apple-converted-space"/>
          <w:rFonts w:ascii="Times New Roman" w:hAnsi="Times New Roman" w:cs="Times New Roman"/>
          <w:sz w:val="24"/>
          <w:szCs w:val="24"/>
          <w:shd w:val="clear" w:color="auto" w:fill="FFFFFF"/>
        </w:rPr>
        <w:t xml:space="preserve">sta </w:t>
      </w:r>
      <w:r w:rsidRPr="00DB3115">
        <w:rPr>
          <w:rStyle w:val="apple-converted-space"/>
          <w:rFonts w:ascii="Times New Roman" w:hAnsi="Times New Roman" w:cs="Times New Roman"/>
          <w:sz w:val="24"/>
          <w:szCs w:val="24"/>
          <w:shd w:val="clear" w:color="auto" w:fill="FFFFFF"/>
        </w:rPr>
        <w:t xml:space="preserve">actúa </w:t>
      </w:r>
      <w:r w:rsidRPr="00DB3115">
        <w:rPr>
          <w:rFonts w:ascii="Times New Roman" w:hAnsi="Times New Roman" w:cs="Times New Roman"/>
          <w:sz w:val="24"/>
          <w:szCs w:val="24"/>
        </w:rPr>
        <w:t>como sustrato energético de células de división rápida (enterocito), de linfocitos y macrófagos</w:t>
      </w:r>
      <w:r w:rsidR="005F4504" w:rsidRPr="00DB3115">
        <w:rPr>
          <w:rFonts w:ascii="Times New Roman" w:hAnsi="Times New Roman" w:cs="Times New Roman"/>
          <w:sz w:val="24"/>
          <w:szCs w:val="24"/>
        </w:rPr>
        <w:t xml:space="preserve"> (</w:t>
      </w:r>
      <w:proofErr w:type="spellStart"/>
      <w:r w:rsidR="00FE140E" w:rsidRPr="00DB3115">
        <w:rPr>
          <w:rFonts w:ascii="Times New Roman" w:hAnsi="Times New Roman" w:cs="Times New Roman"/>
          <w:sz w:val="24"/>
          <w:szCs w:val="24"/>
        </w:rPr>
        <w:t>Rugeles</w:t>
      </w:r>
      <w:proofErr w:type="spellEnd"/>
      <w:r w:rsidR="00FE140E" w:rsidRPr="00DB3115">
        <w:rPr>
          <w:rFonts w:ascii="Times New Roman" w:hAnsi="Times New Roman" w:cs="Times New Roman"/>
          <w:sz w:val="24"/>
          <w:szCs w:val="24"/>
        </w:rPr>
        <w:t>,</w:t>
      </w:r>
      <w:r w:rsidR="007B364B">
        <w:rPr>
          <w:rFonts w:ascii="Times New Roman" w:hAnsi="Times New Roman" w:cs="Times New Roman"/>
          <w:sz w:val="24"/>
          <w:szCs w:val="24"/>
        </w:rPr>
        <w:t xml:space="preserve"> </w:t>
      </w:r>
      <w:r w:rsidR="00FE140E">
        <w:rPr>
          <w:rFonts w:ascii="Times New Roman" w:hAnsi="Times New Roman" w:cs="Times New Roman"/>
          <w:sz w:val="24"/>
          <w:szCs w:val="24"/>
        </w:rPr>
        <w:t>2009</w:t>
      </w:r>
      <w:r w:rsidR="005F4504" w:rsidRPr="00DB3115">
        <w:rPr>
          <w:rFonts w:ascii="Times New Roman" w:hAnsi="Times New Roman" w:cs="Times New Roman"/>
          <w:sz w:val="24"/>
          <w:szCs w:val="24"/>
        </w:rPr>
        <w:t>).</w:t>
      </w:r>
    </w:p>
    <w:p w14:paraId="2549765B" w14:textId="7E91A78A" w:rsidR="005F4504" w:rsidRPr="00DB3115" w:rsidRDefault="005F4504" w:rsidP="003F3FAF">
      <w:pPr>
        <w:autoSpaceDE w:val="0"/>
        <w:autoSpaceDN w:val="0"/>
        <w:adjustRightInd w:val="0"/>
        <w:spacing w:after="0" w:line="360" w:lineRule="auto"/>
        <w:ind w:right="49" w:firstLine="708"/>
        <w:jc w:val="both"/>
        <w:rPr>
          <w:rFonts w:ascii="Times New Roman" w:hAnsi="Times New Roman" w:cs="Times New Roman"/>
          <w:b/>
          <w:bCs/>
          <w:sz w:val="24"/>
          <w:szCs w:val="24"/>
        </w:rPr>
      </w:pPr>
      <w:r w:rsidRPr="00DB3115">
        <w:rPr>
          <w:rFonts w:ascii="Times New Roman" w:hAnsi="Times New Roman" w:cs="Times New Roman"/>
          <w:sz w:val="24"/>
          <w:szCs w:val="24"/>
        </w:rPr>
        <w:lastRenderedPageBreak/>
        <w:t xml:space="preserve">Por otra parte, en el estudio realizado por </w:t>
      </w:r>
      <w:proofErr w:type="spellStart"/>
      <w:r w:rsidRPr="00DB3115">
        <w:rPr>
          <w:rFonts w:ascii="Times New Roman" w:hAnsi="Times New Roman" w:cs="Times New Roman"/>
          <w:sz w:val="24"/>
          <w:szCs w:val="24"/>
        </w:rPr>
        <w:t>Falcao</w:t>
      </w:r>
      <w:proofErr w:type="spellEnd"/>
      <w:r w:rsidR="00FE140E" w:rsidRPr="00FE140E">
        <w:rPr>
          <w:rFonts w:ascii="Times New Roman" w:hAnsi="Times New Roman" w:cs="Times New Roman"/>
          <w:color w:val="000000"/>
          <w:sz w:val="24"/>
          <w:szCs w:val="24"/>
          <w:shd w:val="clear" w:color="auto" w:fill="FFFFFF"/>
        </w:rPr>
        <w:t xml:space="preserve"> </w:t>
      </w:r>
      <w:r w:rsidR="00FE140E" w:rsidRPr="00DB3115">
        <w:rPr>
          <w:rFonts w:ascii="Times New Roman" w:hAnsi="Times New Roman" w:cs="Times New Roman"/>
          <w:color w:val="000000"/>
          <w:sz w:val="24"/>
          <w:szCs w:val="24"/>
          <w:shd w:val="clear" w:color="auto" w:fill="FFFFFF"/>
        </w:rPr>
        <w:t xml:space="preserve">de </w:t>
      </w:r>
      <w:proofErr w:type="spellStart"/>
      <w:r w:rsidR="00FE140E" w:rsidRPr="00DB3115">
        <w:rPr>
          <w:rFonts w:ascii="Times New Roman" w:hAnsi="Times New Roman" w:cs="Times New Roman"/>
          <w:color w:val="000000"/>
          <w:sz w:val="24"/>
          <w:szCs w:val="24"/>
          <w:shd w:val="clear" w:color="auto" w:fill="FFFFFF"/>
        </w:rPr>
        <w:t>Arruda</w:t>
      </w:r>
      <w:proofErr w:type="spellEnd"/>
      <w:r w:rsidR="00FE140E" w:rsidRPr="00DB3115">
        <w:rPr>
          <w:rFonts w:ascii="Times New Roman" w:hAnsi="Times New Roman" w:cs="Times New Roman"/>
          <w:sz w:val="24"/>
          <w:szCs w:val="24"/>
        </w:rPr>
        <w:t xml:space="preserve"> </w:t>
      </w:r>
      <w:r w:rsidRPr="00DB3115">
        <w:rPr>
          <w:rFonts w:ascii="Times New Roman" w:hAnsi="Times New Roman" w:cs="Times New Roman"/>
          <w:sz w:val="24"/>
          <w:szCs w:val="24"/>
        </w:rPr>
        <w:t>(</w:t>
      </w:r>
      <w:r w:rsidR="00FE140E">
        <w:rPr>
          <w:rFonts w:ascii="Times New Roman" w:hAnsi="Times New Roman" w:cs="Times New Roman"/>
          <w:sz w:val="24"/>
          <w:szCs w:val="24"/>
        </w:rPr>
        <w:t>2004</w:t>
      </w:r>
      <w:r w:rsidRPr="00DB3115">
        <w:rPr>
          <w:rFonts w:ascii="Times New Roman" w:hAnsi="Times New Roman" w:cs="Times New Roman"/>
          <w:sz w:val="24"/>
          <w:szCs w:val="24"/>
        </w:rPr>
        <w:t xml:space="preserve">) se reporta una disminución significativa de infecciones en pacientes con </w:t>
      </w:r>
      <w:r w:rsidR="00C44D60" w:rsidRPr="00DB3115">
        <w:rPr>
          <w:rFonts w:ascii="Times New Roman" w:hAnsi="Times New Roman" w:cs="Times New Roman"/>
          <w:sz w:val="24"/>
          <w:szCs w:val="24"/>
        </w:rPr>
        <w:t>TCE</w:t>
      </w:r>
      <w:r w:rsidRPr="00DB3115">
        <w:rPr>
          <w:rFonts w:ascii="Times New Roman" w:hAnsi="Times New Roman" w:cs="Times New Roman"/>
          <w:sz w:val="24"/>
          <w:szCs w:val="24"/>
        </w:rPr>
        <w:t xml:space="preserve"> al recibir dieta enriquecida con glutamina y probióticos</w:t>
      </w:r>
      <w:r w:rsidR="007B364B">
        <w:rPr>
          <w:rFonts w:ascii="Times New Roman" w:hAnsi="Times New Roman" w:cs="Times New Roman"/>
          <w:sz w:val="24"/>
          <w:szCs w:val="24"/>
        </w:rPr>
        <w:t>.</w:t>
      </w:r>
      <w:r w:rsidR="007B364B" w:rsidRPr="00DB3115">
        <w:rPr>
          <w:rFonts w:ascii="Times New Roman" w:hAnsi="Times New Roman" w:cs="Times New Roman"/>
          <w:sz w:val="24"/>
          <w:szCs w:val="24"/>
        </w:rPr>
        <w:t xml:space="preserve"> </w:t>
      </w:r>
      <w:r w:rsidR="007B364B">
        <w:rPr>
          <w:rFonts w:ascii="Times New Roman" w:hAnsi="Times New Roman" w:cs="Times New Roman"/>
          <w:sz w:val="24"/>
          <w:szCs w:val="24"/>
        </w:rPr>
        <w:t>D</w:t>
      </w:r>
      <w:r w:rsidR="007B364B" w:rsidRPr="00DB3115">
        <w:rPr>
          <w:rFonts w:ascii="Times New Roman" w:hAnsi="Times New Roman" w:cs="Times New Roman"/>
          <w:sz w:val="24"/>
          <w:szCs w:val="24"/>
        </w:rPr>
        <w:t xml:space="preserve">e </w:t>
      </w:r>
      <w:r w:rsidRPr="00DB3115">
        <w:rPr>
          <w:rFonts w:ascii="Times New Roman" w:hAnsi="Times New Roman" w:cs="Times New Roman"/>
          <w:sz w:val="24"/>
          <w:szCs w:val="24"/>
        </w:rPr>
        <w:t xml:space="preserve">esta manera, se hace hincapié en el efecto benéfico de la </w:t>
      </w:r>
      <w:r w:rsidR="004C3D7E">
        <w:rPr>
          <w:rFonts w:ascii="Times New Roman" w:hAnsi="Times New Roman" w:cs="Times New Roman"/>
          <w:sz w:val="24"/>
          <w:szCs w:val="24"/>
        </w:rPr>
        <w:t>NETI</w:t>
      </w:r>
      <w:r w:rsidR="004C3D7E" w:rsidRPr="00DB3115" w:rsidDel="004C3D7E">
        <w:rPr>
          <w:rFonts w:ascii="Times New Roman" w:hAnsi="Times New Roman" w:cs="Times New Roman"/>
          <w:sz w:val="24"/>
          <w:szCs w:val="24"/>
        </w:rPr>
        <w:t xml:space="preserve"> </w:t>
      </w:r>
      <w:r w:rsidRPr="00DB3115">
        <w:rPr>
          <w:rFonts w:ascii="Times New Roman" w:hAnsi="Times New Roman" w:cs="Times New Roman"/>
          <w:sz w:val="24"/>
          <w:szCs w:val="24"/>
        </w:rPr>
        <w:t xml:space="preserve">para la prevención de infecciones en pacientes con TCE ingresados a la UCI, </w:t>
      </w:r>
      <w:r w:rsidR="00665D3D">
        <w:rPr>
          <w:rFonts w:ascii="Times New Roman" w:hAnsi="Times New Roman" w:cs="Times New Roman"/>
          <w:sz w:val="24"/>
          <w:szCs w:val="24"/>
        </w:rPr>
        <w:t>así como para</w:t>
      </w:r>
      <w:r w:rsidR="004432A7">
        <w:rPr>
          <w:rFonts w:ascii="Times New Roman" w:hAnsi="Times New Roman" w:cs="Times New Roman"/>
          <w:sz w:val="24"/>
          <w:szCs w:val="24"/>
        </w:rPr>
        <w:t xml:space="preserve"> </w:t>
      </w:r>
      <w:r w:rsidRPr="00DB3115">
        <w:rPr>
          <w:rFonts w:ascii="Times New Roman" w:hAnsi="Times New Roman" w:cs="Times New Roman"/>
          <w:sz w:val="24"/>
          <w:szCs w:val="24"/>
        </w:rPr>
        <w:t>la reducción de días de apoyo ventilatorio y de estancia hospitalaria.</w:t>
      </w:r>
    </w:p>
    <w:p w14:paraId="0E4E3AE8" w14:textId="18FF5358" w:rsidR="00B24C2A" w:rsidRPr="00DB3115" w:rsidRDefault="005F4504" w:rsidP="003F3FAF">
      <w:pPr>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t xml:space="preserve">En concordancia con lo anterior, en el presente estudio, a pesar de que el grupo con NETI presentó mayor tipo de patologías asociadas al TCE a su ingreso a la UCI, </w:t>
      </w:r>
      <w:r w:rsidR="00665D3D">
        <w:rPr>
          <w:rFonts w:ascii="Times New Roman" w:hAnsi="Times New Roman" w:cs="Times New Roman"/>
          <w:sz w:val="24"/>
          <w:szCs w:val="24"/>
        </w:rPr>
        <w:t>e</w:t>
      </w:r>
      <w:r w:rsidR="00665D3D" w:rsidRPr="00DB3115">
        <w:rPr>
          <w:rFonts w:ascii="Times New Roman" w:hAnsi="Times New Roman" w:cs="Times New Roman"/>
          <w:sz w:val="24"/>
          <w:szCs w:val="24"/>
        </w:rPr>
        <w:t xml:space="preserve">ste </w:t>
      </w:r>
      <w:r w:rsidRPr="00DB3115">
        <w:rPr>
          <w:rFonts w:ascii="Times New Roman" w:hAnsi="Times New Roman" w:cs="Times New Roman"/>
          <w:sz w:val="24"/>
          <w:szCs w:val="24"/>
        </w:rPr>
        <w:t>cursó con menos días de apoyo ventilatorio mecánico, días de nutrición enteral y días de estancia hospitalaria</w:t>
      </w:r>
      <w:r w:rsidR="00665D3D">
        <w:rPr>
          <w:rFonts w:ascii="Times New Roman" w:hAnsi="Times New Roman" w:cs="Times New Roman"/>
          <w:sz w:val="24"/>
          <w:szCs w:val="24"/>
        </w:rPr>
        <w:t>.</w:t>
      </w:r>
      <w:r w:rsidR="005B01C2">
        <w:rPr>
          <w:rFonts w:ascii="Times New Roman" w:hAnsi="Times New Roman" w:cs="Times New Roman"/>
          <w:sz w:val="24"/>
          <w:szCs w:val="24"/>
        </w:rPr>
        <w:t xml:space="preserve"> Al respecto,</w:t>
      </w:r>
      <w:r w:rsidRPr="00DB3115">
        <w:rPr>
          <w:rFonts w:ascii="Times New Roman" w:hAnsi="Times New Roman" w:cs="Times New Roman"/>
          <w:sz w:val="24"/>
          <w:szCs w:val="24"/>
        </w:rPr>
        <w:t xml:space="preserve"> resultados similares</w:t>
      </w:r>
      <w:r w:rsidR="005B01C2">
        <w:rPr>
          <w:rFonts w:ascii="Times New Roman" w:hAnsi="Times New Roman" w:cs="Times New Roman"/>
          <w:sz w:val="24"/>
          <w:szCs w:val="24"/>
        </w:rPr>
        <w:t xml:space="preserve"> se reportan</w:t>
      </w:r>
      <w:r w:rsidRPr="00DB3115">
        <w:rPr>
          <w:rFonts w:ascii="Times New Roman" w:hAnsi="Times New Roman" w:cs="Times New Roman"/>
          <w:sz w:val="24"/>
          <w:szCs w:val="24"/>
        </w:rPr>
        <w:t xml:space="preserve"> en estudios previos en donde se puede apreciar que la nutrición adicionada con </w:t>
      </w:r>
      <w:proofErr w:type="spellStart"/>
      <w:r w:rsidRPr="00DB3115">
        <w:rPr>
          <w:rFonts w:ascii="Times New Roman" w:hAnsi="Times New Roman" w:cs="Times New Roman"/>
          <w:sz w:val="24"/>
          <w:szCs w:val="24"/>
        </w:rPr>
        <w:t>inmunonutrientes</w:t>
      </w:r>
      <w:proofErr w:type="spellEnd"/>
      <w:r w:rsidRPr="00DB3115">
        <w:rPr>
          <w:rFonts w:ascii="Times New Roman" w:hAnsi="Times New Roman" w:cs="Times New Roman"/>
          <w:sz w:val="24"/>
          <w:szCs w:val="24"/>
        </w:rPr>
        <w:t xml:space="preserve"> llevó a</w:t>
      </w:r>
      <w:r w:rsidR="005B01C2">
        <w:rPr>
          <w:rFonts w:ascii="Times New Roman" w:hAnsi="Times New Roman" w:cs="Times New Roman"/>
          <w:sz w:val="24"/>
          <w:szCs w:val="24"/>
        </w:rPr>
        <w:t xml:space="preserve"> un</w:t>
      </w:r>
      <w:r w:rsidRPr="00DB3115">
        <w:rPr>
          <w:rFonts w:ascii="Times New Roman" w:hAnsi="Times New Roman" w:cs="Times New Roman"/>
          <w:sz w:val="24"/>
          <w:szCs w:val="24"/>
        </w:rPr>
        <w:t xml:space="preserve"> menor número de días de estancia hospitalaria y de ventilación mecánica (</w:t>
      </w:r>
      <w:r w:rsidR="00FE140E" w:rsidRPr="00DB3115">
        <w:rPr>
          <w:rFonts w:ascii="Times New Roman" w:hAnsi="Times New Roman" w:cs="Times New Roman"/>
          <w:sz w:val="24"/>
          <w:szCs w:val="24"/>
        </w:rPr>
        <w:t xml:space="preserve">González </w:t>
      </w:r>
      <w:r w:rsidR="005B01C2">
        <w:rPr>
          <w:rFonts w:ascii="Times New Roman" w:hAnsi="Times New Roman" w:cs="Times New Roman"/>
          <w:sz w:val="24"/>
          <w:szCs w:val="24"/>
        </w:rPr>
        <w:t>y</w:t>
      </w:r>
      <w:r w:rsidR="00FE140E" w:rsidRPr="00DB3115">
        <w:rPr>
          <w:rFonts w:ascii="Times New Roman" w:hAnsi="Times New Roman" w:cs="Times New Roman"/>
          <w:sz w:val="24"/>
          <w:szCs w:val="24"/>
        </w:rPr>
        <w:t xml:space="preserve"> García</w:t>
      </w:r>
      <w:r w:rsidR="00FE140E">
        <w:rPr>
          <w:rFonts w:ascii="Times New Roman" w:hAnsi="Times New Roman" w:cs="Times New Roman"/>
          <w:sz w:val="24"/>
          <w:szCs w:val="24"/>
        </w:rPr>
        <w:t>, 2013</w:t>
      </w:r>
      <w:r w:rsidRPr="00DB3115">
        <w:rPr>
          <w:rFonts w:ascii="Times New Roman" w:hAnsi="Times New Roman" w:cs="Times New Roman"/>
          <w:sz w:val="24"/>
          <w:szCs w:val="24"/>
        </w:rPr>
        <w:t>).</w:t>
      </w:r>
    </w:p>
    <w:p w14:paraId="6A369272" w14:textId="5C7D207A" w:rsidR="005F4504" w:rsidRPr="00DB3115" w:rsidRDefault="005B01C2" w:rsidP="003F3FAF">
      <w:pPr>
        <w:autoSpaceDE w:val="0"/>
        <w:autoSpaceDN w:val="0"/>
        <w:adjustRightInd w:val="0"/>
        <w:spacing w:after="0"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Así, pues,</w:t>
      </w:r>
      <w:r w:rsidR="005F4504" w:rsidRPr="00DB3115">
        <w:rPr>
          <w:rFonts w:ascii="Times New Roman" w:hAnsi="Times New Roman" w:cs="Times New Roman"/>
          <w:sz w:val="24"/>
          <w:szCs w:val="24"/>
        </w:rPr>
        <w:t xml:space="preserve"> su empleo debe de formar parte de una estrategia terapéutica que minimice las complicaciones infecciosas, mantenga la efectividad nutricional y disminuya los días de estancia hospitalaria.</w:t>
      </w:r>
    </w:p>
    <w:p w14:paraId="234AF525" w14:textId="77777777" w:rsidR="00505A5A" w:rsidRDefault="00505A5A" w:rsidP="003F3FAF">
      <w:pPr>
        <w:autoSpaceDE w:val="0"/>
        <w:autoSpaceDN w:val="0"/>
        <w:adjustRightInd w:val="0"/>
        <w:spacing w:after="0" w:line="360" w:lineRule="auto"/>
        <w:ind w:right="49"/>
        <w:jc w:val="both"/>
        <w:rPr>
          <w:rFonts w:ascii="Times New Roman" w:hAnsi="Times New Roman" w:cs="Times New Roman"/>
          <w:b/>
          <w:sz w:val="24"/>
          <w:szCs w:val="24"/>
        </w:rPr>
      </w:pPr>
    </w:p>
    <w:p w14:paraId="4A9D1A25" w14:textId="016901E3" w:rsidR="00F13115" w:rsidRPr="003F3FAF" w:rsidRDefault="00505A5A" w:rsidP="00903856">
      <w:pPr>
        <w:autoSpaceDE w:val="0"/>
        <w:autoSpaceDN w:val="0"/>
        <w:adjustRightInd w:val="0"/>
        <w:spacing w:after="0" w:line="360" w:lineRule="auto"/>
        <w:ind w:right="49"/>
        <w:jc w:val="center"/>
        <w:rPr>
          <w:rFonts w:ascii="Times New Roman" w:hAnsi="Times New Roman" w:cs="Times New Roman"/>
          <w:b/>
          <w:sz w:val="32"/>
          <w:szCs w:val="32"/>
        </w:rPr>
      </w:pPr>
      <w:r w:rsidRPr="003F3FAF">
        <w:rPr>
          <w:rFonts w:ascii="Times New Roman" w:hAnsi="Times New Roman" w:cs="Times New Roman"/>
          <w:b/>
          <w:sz w:val="32"/>
          <w:szCs w:val="32"/>
        </w:rPr>
        <w:t>Conclusiones</w:t>
      </w:r>
    </w:p>
    <w:p w14:paraId="713646C0" w14:textId="74C7DF7E" w:rsidR="00F13115" w:rsidRPr="00DB3115" w:rsidRDefault="00F13115" w:rsidP="003F3FAF">
      <w:pPr>
        <w:autoSpaceDE w:val="0"/>
        <w:autoSpaceDN w:val="0"/>
        <w:adjustRightInd w:val="0"/>
        <w:spacing w:after="0" w:line="360" w:lineRule="auto"/>
        <w:ind w:right="49" w:firstLine="708"/>
        <w:jc w:val="both"/>
        <w:rPr>
          <w:rFonts w:ascii="Times New Roman" w:hAnsi="Times New Roman" w:cs="Times New Roman"/>
          <w:sz w:val="24"/>
          <w:szCs w:val="24"/>
        </w:rPr>
      </w:pPr>
      <w:r w:rsidRPr="00DB3115">
        <w:rPr>
          <w:rFonts w:ascii="Times New Roman" w:hAnsi="Times New Roman" w:cs="Times New Roman"/>
          <w:sz w:val="24"/>
          <w:szCs w:val="24"/>
        </w:rPr>
        <w:t xml:space="preserve">Según los resultados obtenidos en el presente estudio, el uso de </w:t>
      </w:r>
      <w:proofErr w:type="spellStart"/>
      <w:r w:rsidRPr="00DB3115">
        <w:rPr>
          <w:rFonts w:ascii="Times New Roman" w:hAnsi="Times New Roman" w:cs="Times New Roman"/>
          <w:sz w:val="24"/>
          <w:szCs w:val="24"/>
        </w:rPr>
        <w:t>inmunonutrientes</w:t>
      </w:r>
      <w:proofErr w:type="spellEnd"/>
      <w:r w:rsidRPr="00DB3115">
        <w:rPr>
          <w:rFonts w:ascii="Times New Roman" w:hAnsi="Times New Roman" w:cs="Times New Roman"/>
          <w:sz w:val="24"/>
          <w:szCs w:val="24"/>
        </w:rPr>
        <w:t xml:space="preserve"> impacta de manera positiva </w:t>
      </w:r>
      <w:r w:rsidR="00B516B3">
        <w:rPr>
          <w:rFonts w:ascii="Times New Roman" w:hAnsi="Times New Roman" w:cs="Times New Roman"/>
          <w:sz w:val="24"/>
          <w:szCs w:val="24"/>
        </w:rPr>
        <w:t xml:space="preserve">en el paciente con traumatismo craneoencefálico, </w:t>
      </w:r>
      <w:r w:rsidR="005B01C2">
        <w:rPr>
          <w:rFonts w:ascii="Times New Roman" w:hAnsi="Times New Roman" w:cs="Times New Roman"/>
          <w:sz w:val="24"/>
          <w:szCs w:val="24"/>
        </w:rPr>
        <w:t>pues disminuye</w:t>
      </w:r>
      <w:r w:rsidR="005B01C2" w:rsidRPr="00DB3115">
        <w:rPr>
          <w:rFonts w:ascii="Times New Roman" w:hAnsi="Times New Roman" w:cs="Times New Roman"/>
          <w:sz w:val="24"/>
          <w:szCs w:val="24"/>
        </w:rPr>
        <w:t xml:space="preserve"> </w:t>
      </w:r>
      <w:r w:rsidRPr="00DB3115">
        <w:rPr>
          <w:rFonts w:ascii="Times New Roman" w:hAnsi="Times New Roman" w:cs="Times New Roman"/>
          <w:sz w:val="24"/>
          <w:szCs w:val="24"/>
        </w:rPr>
        <w:t>la incidencia de complicaciones infecciosas, así como el tiempo de estancia intrahospitalaria en la UCI</w:t>
      </w:r>
      <w:r w:rsidR="005B01C2">
        <w:rPr>
          <w:rFonts w:ascii="Times New Roman" w:hAnsi="Times New Roman" w:cs="Times New Roman"/>
          <w:sz w:val="24"/>
          <w:szCs w:val="24"/>
        </w:rPr>
        <w:t>. Y a partir lo anterior</w:t>
      </w:r>
      <w:r w:rsidRPr="00DB3115">
        <w:rPr>
          <w:rFonts w:ascii="Times New Roman" w:hAnsi="Times New Roman" w:cs="Times New Roman"/>
          <w:sz w:val="24"/>
          <w:szCs w:val="24"/>
        </w:rPr>
        <w:t xml:space="preserve"> es posible mejorar en menos tiempo la salud del paciente y a la vez reducir costos debidos a hospitalización.</w:t>
      </w:r>
    </w:p>
    <w:p w14:paraId="3BB53C37" w14:textId="2B663DC0" w:rsidR="0049744F" w:rsidRPr="00DB3115" w:rsidRDefault="006C4B00" w:rsidP="003F3FAF">
      <w:pPr>
        <w:autoSpaceDE w:val="0"/>
        <w:autoSpaceDN w:val="0"/>
        <w:adjustRightInd w:val="0"/>
        <w:spacing w:after="0" w:line="360" w:lineRule="auto"/>
        <w:ind w:right="49" w:firstLine="708"/>
        <w:jc w:val="both"/>
        <w:rPr>
          <w:rFonts w:ascii="Times New Roman" w:eastAsia="Times New Roman" w:hAnsi="Times New Roman" w:cs="Times New Roman"/>
          <w:sz w:val="24"/>
          <w:szCs w:val="24"/>
          <w:lang w:eastAsia="es-ES"/>
        </w:rPr>
      </w:pPr>
      <w:r w:rsidRPr="00DB3115">
        <w:rPr>
          <w:rFonts w:ascii="Times New Roman" w:hAnsi="Times New Roman" w:cs="Times New Roman"/>
          <w:sz w:val="24"/>
          <w:szCs w:val="24"/>
        </w:rPr>
        <w:t xml:space="preserve">El mostrar </w:t>
      </w:r>
      <w:r>
        <w:rPr>
          <w:rFonts w:ascii="Times New Roman" w:hAnsi="Times New Roman" w:cs="Times New Roman"/>
          <w:sz w:val="24"/>
          <w:szCs w:val="24"/>
        </w:rPr>
        <w:t>los resultados obtenidos con la NETI al</w:t>
      </w:r>
      <w:r w:rsidRPr="00DB3115">
        <w:rPr>
          <w:rFonts w:ascii="Times New Roman" w:hAnsi="Times New Roman" w:cs="Times New Roman"/>
          <w:sz w:val="24"/>
          <w:szCs w:val="24"/>
        </w:rPr>
        <w:t xml:space="preserve"> personal médico adscrito a la </w:t>
      </w:r>
      <w:r w:rsidR="005B01C2">
        <w:rPr>
          <w:rFonts w:ascii="Times New Roman" w:hAnsi="Times New Roman" w:cs="Times New Roman"/>
          <w:sz w:val="24"/>
          <w:szCs w:val="24"/>
        </w:rPr>
        <w:t>U</w:t>
      </w:r>
      <w:r w:rsidR="005B01C2" w:rsidRPr="00922C4A">
        <w:rPr>
          <w:rFonts w:ascii="Times New Roman" w:hAnsi="Times New Roman" w:cs="Times New Roman"/>
          <w:sz w:val="24"/>
          <w:szCs w:val="24"/>
        </w:rPr>
        <w:t xml:space="preserve">nidad de </w:t>
      </w:r>
      <w:r w:rsidR="005B01C2">
        <w:rPr>
          <w:rFonts w:ascii="Times New Roman" w:hAnsi="Times New Roman" w:cs="Times New Roman"/>
          <w:sz w:val="24"/>
          <w:szCs w:val="24"/>
        </w:rPr>
        <w:t>C</w:t>
      </w:r>
      <w:r w:rsidR="005B01C2" w:rsidRPr="00922C4A">
        <w:rPr>
          <w:rFonts w:ascii="Times New Roman" w:hAnsi="Times New Roman" w:cs="Times New Roman"/>
          <w:sz w:val="24"/>
          <w:szCs w:val="24"/>
        </w:rPr>
        <w:t xml:space="preserve">uidados </w:t>
      </w:r>
      <w:r w:rsidR="005B01C2">
        <w:rPr>
          <w:rFonts w:ascii="Times New Roman" w:hAnsi="Times New Roman" w:cs="Times New Roman"/>
          <w:sz w:val="24"/>
          <w:szCs w:val="24"/>
        </w:rPr>
        <w:t>I</w:t>
      </w:r>
      <w:r w:rsidR="005B01C2" w:rsidRPr="00922C4A">
        <w:rPr>
          <w:rFonts w:ascii="Times New Roman" w:hAnsi="Times New Roman" w:cs="Times New Roman"/>
          <w:sz w:val="24"/>
          <w:szCs w:val="24"/>
        </w:rPr>
        <w:t>ntensivos</w:t>
      </w:r>
      <w:r w:rsidR="005B01C2">
        <w:rPr>
          <w:rFonts w:ascii="Times New Roman" w:hAnsi="Times New Roman" w:cs="Times New Roman"/>
          <w:sz w:val="24"/>
          <w:szCs w:val="24"/>
        </w:rPr>
        <w:t xml:space="preserve"> </w:t>
      </w:r>
      <w:r>
        <w:rPr>
          <w:rFonts w:ascii="Times New Roman" w:hAnsi="Times New Roman" w:cs="Times New Roman"/>
          <w:sz w:val="24"/>
          <w:szCs w:val="24"/>
        </w:rPr>
        <w:t>como a</w:t>
      </w:r>
      <w:r w:rsidRPr="00DB3115">
        <w:rPr>
          <w:rFonts w:ascii="Times New Roman" w:hAnsi="Times New Roman" w:cs="Times New Roman"/>
          <w:sz w:val="24"/>
          <w:szCs w:val="24"/>
        </w:rPr>
        <w:t xml:space="preserve"> la comunidad del Hospital General</w:t>
      </w:r>
      <w:r w:rsidR="005B01C2">
        <w:rPr>
          <w:rFonts w:ascii="Times New Roman" w:hAnsi="Times New Roman" w:cs="Times New Roman"/>
          <w:sz w:val="24"/>
          <w:szCs w:val="24"/>
        </w:rPr>
        <w:t xml:space="preserve"> de Mexicali</w:t>
      </w:r>
      <w:r w:rsidRPr="00DB3115">
        <w:rPr>
          <w:rFonts w:ascii="Times New Roman" w:hAnsi="Times New Roman" w:cs="Times New Roman"/>
          <w:sz w:val="24"/>
          <w:szCs w:val="24"/>
        </w:rPr>
        <w:t xml:space="preserve"> es muy importante</w:t>
      </w:r>
      <w:r w:rsidR="005B01C2">
        <w:rPr>
          <w:rFonts w:ascii="Times New Roman" w:hAnsi="Times New Roman" w:cs="Times New Roman"/>
          <w:sz w:val="24"/>
          <w:szCs w:val="24"/>
        </w:rPr>
        <w:t>,</w:t>
      </w:r>
      <w:r w:rsidRPr="00DB3115">
        <w:rPr>
          <w:rFonts w:ascii="Times New Roman" w:hAnsi="Times New Roman" w:cs="Times New Roman"/>
          <w:sz w:val="24"/>
          <w:szCs w:val="24"/>
        </w:rPr>
        <w:t xml:space="preserve"> ya que se podrán romper paradigmas en cuanto a los beneficios de la nutrición temprana y </w:t>
      </w:r>
      <w:r w:rsidR="005B01C2">
        <w:rPr>
          <w:rFonts w:ascii="Times New Roman" w:hAnsi="Times New Roman" w:cs="Times New Roman"/>
          <w:sz w:val="24"/>
          <w:szCs w:val="24"/>
        </w:rPr>
        <w:t>a</w:t>
      </w:r>
      <w:r w:rsidR="005B01C2" w:rsidRPr="00DB3115">
        <w:rPr>
          <w:rFonts w:ascii="Times New Roman" w:hAnsi="Times New Roman" w:cs="Times New Roman"/>
          <w:sz w:val="24"/>
          <w:szCs w:val="24"/>
        </w:rPr>
        <w:t xml:space="preserve">l </w:t>
      </w:r>
      <w:r w:rsidRPr="00DB3115">
        <w:rPr>
          <w:rFonts w:ascii="Times New Roman" w:hAnsi="Times New Roman" w:cs="Times New Roman"/>
          <w:sz w:val="24"/>
          <w:szCs w:val="24"/>
        </w:rPr>
        <w:t xml:space="preserve">uso de </w:t>
      </w:r>
      <w:proofErr w:type="spellStart"/>
      <w:r w:rsidRPr="00DB3115">
        <w:rPr>
          <w:rFonts w:ascii="Times New Roman" w:hAnsi="Times New Roman" w:cs="Times New Roman"/>
          <w:sz w:val="24"/>
          <w:szCs w:val="24"/>
        </w:rPr>
        <w:t>inmunonutrientes</w:t>
      </w:r>
      <w:proofErr w:type="spellEnd"/>
      <w:r w:rsidR="00FF3EBE">
        <w:rPr>
          <w:rFonts w:ascii="Times New Roman" w:hAnsi="Times New Roman" w:cs="Times New Roman"/>
          <w:sz w:val="24"/>
          <w:szCs w:val="24"/>
        </w:rPr>
        <w:t>, así como contribuir a nuevas líneas de investigación</w:t>
      </w:r>
      <w:r w:rsidRPr="00DB3115">
        <w:rPr>
          <w:rFonts w:ascii="Times New Roman" w:hAnsi="Times New Roman" w:cs="Times New Roman"/>
          <w:sz w:val="24"/>
          <w:szCs w:val="24"/>
        </w:rPr>
        <w:t>.</w:t>
      </w:r>
    </w:p>
    <w:p w14:paraId="4A54354B" w14:textId="77777777" w:rsidR="00505A5A" w:rsidRDefault="00505A5A" w:rsidP="003F3FAF">
      <w:pPr>
        <w:autoSpaceDE w:val="0"/>
        <w:autoSpaceDN w:val="0"/>
        <w:adjustRightInd w:val="0"/>
        <w:spacing w:after="0" w:line="360" w:lineRule="auto"/>
        <w:ind w:right="49"/>
        <w:jc w:val="both"/>
        <w:rPr>
          <w:rFonts w:ascii="Times New Roman" w:eastAsia="Times New Roman" w:hAnsi="Times New Roman" w:cs="Times New Roman"/>
          <w:b/>
          <w:sz w:val="24"/>
          <w:szCs w:val="24"/>
          <w:lang w:eastAsia="es-ES"/>
        </w:rPr>
      </w:pPr>
      <w:bookmarkStart w:id="0" w:name="_Hlk9168319"/>
      <w:bookmarkStart w:id="1" w:name="_Hlk7378142"/>
    </w:p>
    <w:p w14:paraId="4676B12C" w14:textId="77777777" w:rsidR="00647DB0" w:rsidRDefault="00647DB0" w:rsidP="003F3FAF">
      <w:pPr>
        <w:autoSpaceDE w:val="0"/>
        <w:autoSpaceDN w:val="0"/>
        <w:adjustRightInd w:val="0"/>
        <w:spacing w:after="0" w:line="360" w:lineRule="auto"/>
        <w:ind w:right="49"/>
        <w:jc w:val="both"/>
        <w:rPr>
          <w:rFonts w:ascii="Times New Roman" w:eastAsia="Times New Roman" w:hAnsi="Times New Roman" w:cs="Times New Roman"/>
          <w:b/>
          <w:sz w:val="24"/>
          <w:szCs w:val="24"/>
          <w:lang w:eastAsia="es-ES"/>
        </w:rPr>
      </w:pPr>
    </w:p>
    <w:p w14:paraId="32D3EFBC" w14:textId="0C5BBA82" w:rsidR="000E38C2" w:rsidRPr="00903856" w:rsidRDefault="00505A5A" w:rsidP="003F3FAF">
      <w:pPr>
        <w:autoSpaceDE w:val="0"/>
        <w:autoSpaceDN w:val="0"/>
        <w:adjustRightInd w:val="0"/>
        <w:spacing w:after="0" w:line="360" w:lineRule="auto"/>
        <w:ind w:right="49"/>
        <w:jc w:val="both"/>
        <w:rPr>
          <w:rFonts w:ascii="Calibri" w:hAnsi="Calibri" w:cs="Calibri"/>
          <w:b/>
          <w:sz w:val="28"/>
          <w:szCs w:val="24"/>
          <w:lang w:val="es-ES"/>
        </w:rPr>
      </w:pPr>
      <w:r w:rsidRPr="00903856">
        <w:rPr>
          <w:rFonts w:ascii="Calibri" w:hAnsi="Calibri" w:cs="Calibri"/>
          <w:b/>
          <w:sz w:val="28"/>
          <w:szCs w:val="24"/>
          <w:lang w:val="es-ES"/>
        </w:rPr>
        <w:lastRenderedPageBreak/>
        <w:t>Referencias</w:t>
      </w:r>
    </w:p>
    <w:bookmarkEnd w:id="0"/>
    <w:p w14:paraId="2C7FE641" w14:textId="4EA2889D" w:rsidR="00A6515B" w:rsidRPr="003F3FAF" w:rsidRDefault="00A6515B" w:rsidP="003F3FAF">
      <w:pPr>
        <w:autoSpaceDE w:val="0"/>
        <w:autoSpaceDN w:val="0"/>
        <w:adjustRightInd w:val="0"/>
        <w:spacing w:after="0" w:line="360" w:lineRule="auto"/>
        <w:ind w:left="709" w:right="49" w:hanging="567"/>
        <w:jc w:val="both"/>
        <w:rPr>
          <w:rFonts w:ascii="Times New Roman" w:hAnsi="Times New Roman" w:cs="Times New Roman"/>
          <w:sz w:val="24"/>
          <w:szCs w:val="24"/>
        </w:rPr>
      </w:pPr>
      <w:r w:rsidRPr="00A6515B">
        <w:rPr>
          <w:rFonts w:ascii="Times New Roman" w:hAnsi="Times New Roman" w:cs="Times New Roman"/>
          <w:sz w:val="24"/>
          <w:szCs w:val="24"/>
        </w:rPr>
        <w:t>Abdel</w:t>
      </w:r>
      <w:r w:rsidR="003977AE">
        <w:rPr>
          <w:rFonts w:ascii="Times New Roman" w:hAnsi="Times New Roman" w:cs="Times New Roman"/>
          <w:sz w:val="24"/>
          <w:szCs w:val="24"/>
        </w:rPr>
        <w:t>,</w:t>
      </w:r>
      <w:r w:rsidRPr="00A6515B">
        <w:rPr>
          <w:rFonts w:ascii="Times New Roman" w:hAnsi="Times New Roman" w:cs="Times New Roman"/>
          <w:sz w:val="24"/>
          <w:szCs w:val="24"/>
        </w:rPr>
        <w:t xml:space="preserve"> O., Abdel</w:t>
      </w:r>
      <w:r w:rsidR="003977AE">
        <w:rPr>
          <w:rFonts w:ascii="Times New Roman" w:hAnsi="Times New Roman" w:cs="Times New Roman"/>
          <w:sz w:val="24"/>
          <w:szCs w:val="24"/>
        </w:rPr>
        <w:t xml:space="preserve">, </w:t>
      </w:r>
      <w:r w:rsidRPr="00A6515B">
        <w:rPr>
          <w:rFonts w:ascii="Times New Roman" w:hAnsi="Times New Roman" w:cs="Times New Roman"/>
          <w:sz w:val="24"/>
          <w:szCs w:val="24"/>
        </w:rPr>
        <w:t>A., Sánchez</w:t>
      </w:r>
      <w:r w:rsidR="003977AE">
        <w:rPr>
          <w:rFonts w:ascii="Times New Roman" w:hAnsi="Times New Roman" w:cs="Times New Roman"/>
          <w:sz w:val="24"/>
          <w:szCs w:val="24"/>
        </w:rPr>
        <w:t>,</w:t>
      </w:r>
      <w:r w:rsidRPr="00A6515B">
        <w:rPr>
          <w:rFonts w:ascii="Times New Roman" w:hAnsi="Times New Roman" w:cs="Times New Roman"/>
          <w:sz w:val="24"/>
          <w:szCs w:val="24"/>
        </w:rPr>
        <w:t xml:space="preserve"> J.</w:t>
      </w:r>
      <w:r w:rsidR="003977AE">
        <w:rPr>
          <w:rFonts w:ascii="Times New Roman" w:hAnsi="Times New Roman" w:cs="Times New Roman"/>
          <w:sz w:val="24"/>
          <w:szCs w:val="24"/>
        </w:rPr>
        <w:t xml:space="preserve"> y</w:t>
      </w:r>
      <w:r w:rsidRPr="00A6515B">
        <w:rPr>
          <w:rFonts w:ascii="Times New Roman" w:hAnsi="Times New Roman" w:cs="Times New Roman"/>
          <w:sz w:val="24"/>
          <w:szCs w:val="24"/>
        </w:rPr>
        <w:t xml:space="preserve"> Gómez</w:t>
      </w:r>
      <w:r w:rsidR="003977AE">
        <w:rPr>
          <w:rFonts w:ascii="Times New Roman" w:hAnsi="Times New Roman" w:cs="Times New Roman"/>
          <w:sz w:val="24"/>
          <w:szCs w:val="24"/>
        </w:rPr>
        <w:t>,</w:t>
      </w:r>
      <w:r w:rsidRPr="00A6515B">
        <w:rPr>
          <w:rFonts w:ascii="Times New Roman" w:hAnsi="Times New Roman" w:cs="Times New Roman"/>
          <w:sz w:val="24"/>
          <w:szCs w:val="24"/>
        </w:rPr>
        <w:t xml:space="preserve"> A. (2005) Nutrición enteral con dieta </w:t>
      </w:r>
      <w:proofErr w:type="spellStart"/>
      <w:r w:rsidRPr="00A6515B">
        <w:rPr>
          <w:rFonts w:ascii="Times New Roman" w:hAnsi="Times New Roman" w:cs="Times New Roman"/>
          <w:sz w:val="24"/>
          <w:szCs w:val="24"/>
        </w:rPr>
        <w:t>inmunomoduladora</w:t>
      </w:r>
      <w:proofErr w:type="spellEnd"/>
      <w:r w:rsidRPr="00A6515B">
        <w:rPr>
          <w:rFonts w:ascii="Times New Roman" w:hAnsi="Times New Roman" w:cs="Times New Roman"/>
          <w:sz w:val="24"/>
          <w:szCs w:val="24"/>
        </w:rPr>
        <w:t xml:space="preserve"> </w:t>
      </w:r>
      <w:proofErr w:type="spellStart"/>
      <w:r w:rsidRPr="00A6515B">
        <w:rPr>
          <w:rFonts w:ascii="Times New Roman" w:hAnsi="Times New Roman" w:cs="Times New Roman"/>
          <w:sz w:val="24"/>
          <w:szCs w:val="24"/>
        </w:rPr>
        <w:t>perioperatoria</w:t>
      </w:r>
      <w:proofErr w:type="spellEnd"/>
      <w:r w:rsidRPr="00A6515B">
        <w:rPr>
          <w:rFonts w:ascii="Times New Roman" w:hAnsi="Times New Roman" w:cs="Times New Roman"/>
          <w:sz w:val="24"/>
          <w:szCs w:val="24"/>
        </w:rPr>
        <w:t xml:space="preserve">. </w:t>
      </w:r>
      <w:r w:rsidRPr="00A6515B">
        <w:rPr>
          <w:rFonts w:ascii="Times New Roman" w:hAnsi="Times New Roman" w:cs="Times New Roman"/>
          <w:i/>
          <w:iCs/>
          <w:sz w:val="24"/>
          <w:szCs w:val="24"/>
        </w:rPr>
        <w:t>Nutrición hospitalaria</w:t>
      </w:r>
      <w:r w:rsidR="003977AE">
        <w:rPr>
          <w:rFonts w:ascii="Times New Roman" w:hAnsi="Times New Roman" w:cs="Times New Roman"/>
          <w:i/>
          <w:iCs/>
          <w:sz w:val="24"/>
          <w:szCs w:val="24"/>
        </w:rPr>
        <w:t>,</w:t>
      </w:r>
      <w:r w:rsidR="003977AE" w:rsidRPr="00A6515B">
        <w:rPr>
          <w:rFonts w:ascii="Times New Roman" w:hAnsi="Times New Roman" w:cs="Times New Roman"/>
          <w:iCs/>
          <w:sz w:val="24"/>
          <w:szCs w:val="24"/>
        </w:rPr>
        <w:t xml:space="preserve"> </w:t>
      </w:r>
      <w:r w:rsidRPr="003F3FAF">
        <w:rPr>
          <w:rFonts w:ascii="Times New Roman" w:hAnsi="Times New Roman" w:cs="Times New Roman"/>
          <w:i/>
          <w:sz w:val="24"/>
          <w:szCs w:val="24"/>
        </w:rPr>
        <w:t>22</w:t>
      </w:r>
      <w:r w:rsidRPr="00A6515B">
        <w:rPr>
          <w:rFonts w:ascii="Times New Roman" w:hAnsi="Times New Roman" w:cs="Times New Roman"/>
          <w:iCs/>
          <w:sz w:val="24"/>
          <w:szCs w:val="24"/>
        </w:rPr>
        <w:t>(6),403-408.</w:t>
      </w:r>
    </w:p>
    <w:p w14:paraId="43FF446D" w14:textId="397AFE8F" w:rsidR="00A6515B" w:rsidRPr="003F3FAF" w:rsidRDefault="00A6515B" w:rsidP="003F3FAF">
      <w:pPr>
        <w:pStyle w:val="Prrafodelista"/>
        <w:autoSpaceDE w:val="0"/>
        <w:autoSpaceDN w:val="0"/>
        <w:adjustRightInd w:val="0"/>
        <w:spacing w:after="0" w:line="360" w:lineRule="auto"/>
        <w:ind w:left="709" w:right="49" w:hanging="567"/>
        <w:jc w:val="both"/>
        <w:rPr>
          <w:rFonts w:eastAsiaTheme="minorHAnsi"/>
        </w:rPr>
      </w:pPr>
      <w:r w:rsidRPr="00DB3115">
        <w:rPr>
          <w:rFonts w:ascii="Times New Roman" w:hAnsi="Times New Roman" w:cs="Times New Roman"/>
          <w:sz w:val="24"/>
          <w:szCs w:val="24"/>
          <w:shd w:val="clear" w:color="auto" w:fill="FFFFFF"/>
        </w:rPr>
        <w:t>Agudelo</w:t>
      </w:r>
      <w:r w:rsidR="00190D1F">
        <w:rPr>
          <w:rFonts w:ascii="Times New Roman" w:hAnsi="Times New Roman" w:cs="Times New Roman"/>
          <w:sz w:val="24"/>
          <w:szCs w:val="24"/>
          <w:shd w:val="clear" w:color="auto" w:fill="FFFFFF"/>
        </w:rPr>
        <w:t>,</w:t>
      </w:r>
      <w:r w:rsidRPr="00DB3115">
        <w:rPr>
          <w:rFonts w:ascii="Times New Roman" w:hAnsi="Times New Roman" w:cs="Times New Roman"/>
          <w:sz w:val="24"/>
          <w:szCs w:val="24"/>
          <w:shd w:val="clear" w:color="auto" w:fill="FFFFFF"/>
        </w:rPr>
        <w:t xml:space="preserve"> G.</w:t>
      </w:r>
      <w:r w:rsidR="00190D1F">
        <w:rPr>
          <w:rFonts w:ascii="Times New Roman" w:hAnsi="Times New Roman" w:cs="Times New Roman"/>
          <w:sz w:val="24"/>
          <w:szCs w:val="24"/>
          <w:shd w:val="clear" w:color="auto" w:fill="FFFFFF"/>
        </w:rPr>
        <w:t xml:space="preserve"> </w:t>
      </w:r>
      <w:r w:rsidRPr="00DB3115">
        <w:rPr>
          <w:rFonts w:ascii="Times New Roman" w:hAnsi="Times New Roman" w:cs="Times New Roman"/>
          <w:sz w:val="24"/>
          <w:szCs w:val="24"/>
          <w:shd w:val="clear" w:color="auto" w:fill="FFFFFF"/>
        </w:rPr>
        <w:t>M.</w:t>
      </w:r>
      <w:r w:rsidR="00190D1F">
        <w:rPr>
          <w:rFonts w:ascii="Times New Roman" w:hAnsi="Times New Roman" w:cs="Times New Roman"/>
          <w:sz w:val="24"/>
          <w:szCs w:val="24"/>
          <w:shd w:val="clear" w:color="auto" w:fill="FFFFFF"/>
        </w:rPr>
        <w:t xml:space="preserve"> y</w:t>
      </w:r>
      <w:r w:rsidRPr="00DB3115">
        <w:rPr>
          <w:rFonts w:ascii="Times New Roman" w:hAnsi="Times New Roman" w:cs="Times New Roman"/>
          <w:sz w:val="24"/>
          <w:szCs w:val="24"/>
        </w:rPr>
        <w:t xml:space="preserve"> </w:t>
      </w:r>
      <w:r w:rsidRPr="00DB3115">
        <w:rPr>
          <w:rFonts w:ascii="Times New Roman" w:hAnsi="Times New Roman" w:cs="Times New Roman"/>
          <w:sz w:val="24"/>
          <w:szCs w:val="24"/>
          <w:shd w:val="clear" w:color="auto" w:fill="FFFFFF"/>
        </w:rPr>
        <w:t>Giraldo</w:t>
      </w:r>
      <w:r w:rsidR="00190D1F">
        <w:rPr>
          <w:rFonts w:ascii="Times New Roman" w:hAnsi="Times New Roman" w:cs="Times New Roman"/>
          <w:sz w:val="24"/>
          <w:szCs w:val="24"/>
          <w:shd w:val="clear" w:color="auto" w:fill="FFFFFF"/>
        </w:rPr>
        <w:t>,</w:t>
      </w:r>
      <w:r w:rsidRPr="00DB3115">
        <w:rPr>
          <w:rFonts w:ascii="Times New Roman" w:hAnsi="Times New Roman" w:cs="Times New Roman"/>
          <w:sz w:val="24"/>
          <w:szCs w:val="24"/>
          <w:shd w:val="clear" w:color="auto" w:fill="FFFFFF"/>
        </w:rPr>
        <w:t xml:space="preserve"> N.</w:t>
      </w:r>
      <w:r w:rsidR="00190D1F">
        <w:rPr>
          <w:rFonts w:ascii="Times New Roman" w:hAnsi="Times New Roman" w:cs="Times New Roman"/>
          <w:sz w:val="24"/>
          <w:szCs w:val="24"/>
          <w:shd w:val="clear" w:color="auto" w:fill="FFFFFF"/>
        </w:rPr>
        <w:t xml:space="preserve"> </w:t>
      </w:r>
      <w:r w:rsidRPr="00DB3115">
        <w:rPr>
          <w:rFonts w:ascii="Times New Roman" w:hAnsi="Times New Roman" w:cs="Times New Roman"/>
          <w:sz w:val="24"/>
          <w:szCs w:val="24"/>
          <w:shd w:val="clear" w:color="auto" w:fill="FFFFFF"/>
        </w:rPr>
        <w:t xml:space="preserve">A. (2008). </w:t>
      </w:r>
      <w:r w:rsidRPr="00DB3115">
        <w:rPr>
          <w:rFonts w:ascii="Times New Roman" w:hAnsi="Times New Roman" w:cs="Times New Roman"/>
          <w:sz w:val="24"/>
          <w:szCs w:val="24"/>
        </w:rPr>
        <w:t xml:space="preserve">Soporte nutricional en el paciente crítico: una puesta al día. </w:t>
      </w:r>
      <w:r w:rsidRPr="00DB3115">
        <w:rPr>
          <w:rFonts w:ascii="Times New Roman" w:hAnsi="Times New Roman" w:cs="Times New Roman"/>
          <w:i/>
          <w:sz w:val="24"/>
          <w:szCs w:val="24"/>
        </w:rPr>
        <w:t>Revista de nutrición humana</w:t>
      </w:r>
      <w:r w:rsidR="00190D1F">
        <w:rPr>
          <w:rFonts w:ascii="Times New Roman" w:hAnsi="Times New Roman" w:cs="Times New Roman"/>
          <w:sz w:val="24"/>
          <w:szCs w:val="24"/>
        </w:rPr>
        <w:t xml:space="preserve">, </w:t>
      </w:r>
      <w:r w:rsidRPr="003F3FAF">
        <w:rPr>
          <w:rFonts w:ascii="Times New Roman" w:hAnsi="Times New Roman" w:cs="Times New Roman"/>
          <w:i/>
          <w:iCs/>
          <w:sz w:val="24"/>
          <w:szCs w:val="24"/>
        </w:rPr>
        <w:t>10</w:t>
      </w:r>
      <w:r w:rsidRPr="00DB3115">
        <w:rPr>
          <w:rFonts w:ascii="Times New Roman" w:hAnsi="Times New Roman" w:cs="Times New Roman"/>
          <w:sz w:val="24"/>
          <w:szCs w:val="24"/>
        </w:rPr>
        <w:t>(2)</w:t>
      </w:r>
      <w:r>
        <w:rPr>
          <w:rFonts w:ascii="Times New Roman" w:hAnsi="Times New Roman" w:cs="Times New Roman"/>
          <w:sz w:val="24"/>
          <w:szCs w:val="24"/>
        </w:rPr>
        <w:t>,</w:t>
      </w:r>
      <w:r w:rsidR="00190D1F">
        <w:rPr>
          <w:rFonts w:ascii="Times New Roman" w:hAnsi="Times New Roman" w:cs="Times New Roman"/>
          <w:sz w:val="24"/>
          <w:szCs w:val="24"/>
        </w:rPr>
        <w:t xml:space="preserve"> </w:t>
      </w:r>
      <w:r w:rsidRPr="00DB3115">
        <w:rPr>
          <w:rFonts w:ascii="Times New Roman" w:hAnsi="Times New Roman" w:cs="Times New Roman"/>
          <w:sz w:val="24"/>
          <w:szCs w:val="24"/>
        </w:rPr>
        <w:t>191-211.</w:t>
      </w:r>
    </w:p>
    <w:p w14:paraId="5C668779" w14:textId="0EC88E03" w:rsidR="00A6515B" w:rsidRPr="00505A5A" w:rsidRDefault="00A6515B" w:rsidP="003F3FAF">
      <w:pPr>
        <w:pStyle w:val="Prrafodelista"/>
        <w:spacing w:after="0" w:line="360" w:lineRule="auto"/>
        <w:ind w:left="709" w:right="49" w:hanging="567"/>
        <w:jc w:val="both"/>
        <w:rPr>
          <w:shd w:val="clear" w:color="auto" w:fill="FFFFFF"/>
        </w:rPr>
      </w:pPr>
      <w:r w:rsidRPr="00DB3115">
        <w:rPr>
          <w:rFonts w:ascii="Times New Roman" w:eastAsia="Arial Unicode MS" w:hAnsi="Times New Roman" w:cs="Times New Roman"/>
          <w:sz w:val="24"/>
          <w:szCs w:val="24"/>
          <w:shd w:val="clear" w:color="auto" w:fill="FFFFFF"/>
        </w:rPr>
        <w:t>Alted</w:t>
      </w:r>
      <w:r w:rsidR="009F5D81">
        <w:rPr>
          <w:rFonts w:ascii="Times New Roman" w:eastAsia="Arial Unicode MS" w:hAnsi="Times New Roman" w:cs="Times New Roman"/>
          <w:sz w:val="24"/>
          <w:szCs w:val="24"/>
          <w:shd w:val="clear" w:color="auto" w:fill="FFFFFF"/>
        </w:rPr>
        <w:t>,</w:t>
      </w:r>
      <w:r w:rsidRPr="00DB3115">
        <w:rPr>
          <w:rFonts w:ascii="Times New Roman" w:eastAsia="Arial Unicode MS" w:hAnsi="Times New Roman" w:cs="Times New Roman"/>
          <w:sz w:val="24"/>
          <w:szCs w:val="24"/>
          <w:shd w:val="clear" w:color="auto" w:fill="FFFFFF"/>
        </w:rPr>
        <w:t xml:space="preserve"> E., Bermejo</w:t>
      </w:r>
      <w:r w:rsidR="009F5D81">
        <w:rPr>
          <w:rFonts w:ascii="Times New Roman" w:eastAsia="Arial Unicode MS" w:hAnsi="Times New Roman" w:cs="Times New Roman"/>
          <w:sz w:val="24"/>
          <w:szCs w:val="24"/>
          <w:shd w:val="clear" w:color="auto" w:fill="FFFFFF"/>
        </w:rPr>
        <w:t>,</w:t>
      </w:r>
      <w:r w:rsidRPr="00DB3115">
        <w:rPr>
          <w:rFonts w:ascii="Times New Roman" w:eastAsia="Arial Unicode MS" w:hAnsi="Times New Roman" w:cs="Times New Roman"/>
          <w:sz w:val="24"/>
          <w:szCs w:val="24"/>
          <w:shd w:val="clear" w:color="auto" w:fill="FFFFFF"/>
        </w:rPr>
        <w:t xml:space="preserve"> S.</w:t>
      </w:r>
      <w:r w:rsidR="009F5D81">
        <w:rPr>
          <w:rFonts w:ascii="Times New Roman" w:eastAsia="Arial Unicode MS" w:hAnsi="Times New Roman" w:cs="Times New Roman"/>
          <w:sz w:val="24"/>
          <w:szCs w:val="24"/>
          <w:shd w:val="clear" w:color="auto" w:fill="FFFFFF"/>
        </w:rPr>
        <w:t xml:space="preserve"> y</w:t>
      </w:r>
      <w:r w:rsidRPr="00DB3115">
        <w:rPr>
          <w:rFonts w:ascii="Times New Roman" w:hAnsi="Times New Roman" w:cs="Times New Roman"/>
          <w:sz w:val="24"/>
          <w:szCs w:val="24"/>
        </w:rPr>
        <w:t xml:space="preserve"> </w:t>
      </w:r>
      <w:r w:rsidRPr="00DB3115">
        <w:rPr>
          <w:rFonts w:ascii="Times New Roman" w:eastAsia="Arial Unicode MS" w:hAnsi="Times New Roman" w:cs="Times New Roman"/>
          <w:sz w:val="24"/>
          <w:szCs w:val="24"/>
          <w:shd w:val="clear" w:color="auto" w:fill="FFFFFF"/>
        </w:rPr>
        <w:t>Chico</w:t>
      </w:r>
      <w:r w:rsidR="009F5D81">
        <w:rPr>
          <w:rFonts w:ascii="Times New Roman" w:eastAsia="Arial Unicode MS" w:hAnsi="Times New Roman" w:cs="Times New Roman"/>
          <w:sz w:val="24"/>
          <w:szCs w:val="24"/>
          <w:shd w:val="clear" w:color="auto" w:fill="FFFFFF"/>
        </w:rPr>
        <w:t>,</w:t>
      </w:r>
      <w:r w:rsidRPr="00DB3115">
        <w:rPr>
          <w:rFonts w:ascii="Times New Roman" w:eastAsia="Arial Unicode MS" w:hAnsi="Times New Roman" w:cs="Times New Roman"/>
          <w:sz w:val="24"/>
          <w:szCs w:val="24"/>
          <w:shd w:val="clear" w:color="auto" w:fill="FFFFFF"/>
        </w:rPr>
        <w:t xml:space="preserve"> M. (2009). </w:t>
      </w:r>
      <w:r w:rsidRPr="00DB3115">
        <w:rPr>
          <w:rFonts w:ascii="Times New Roman" w:eastAsia="Arial Unicode MS" w:hAnsi="Times New Roman" w:cs="Times New Roman"/>
          <w:bCs/>
          <w:sz w:val="24"/>
          <w:szCs w:val="24"/>
          <w:shd w:val="clear" w:color="auto" w:fill="FFFFFF"/>
        </w:rPr>
        <w:t xml:space="preserve">Actualizaciones en el manejo del traumatismo craneoencefálico grave. </w:t>
      </w:r>
      <w:r w:rsidRPr="00DB3115">
        <w:rPr>
          <w:rFonts w:ascii="Times New Roman" w:eastAsia="Arial Unicode MS" w:hAnsi="Times New Roman" w:cs="Times New Roman"/>
          <w:bCs/>
          <w:i/>
          <w:sz w:val="24"/>
          <w:szCs w:val="24"/>
          <w:shd w:val="clear" w:color="auto" w:fill="FFFFFF"/>
        </w:rPr>
        <w:t xml:space="preserve">Revista </w:t>
      </w:r>
      <w:proofErr w:type="spellStart"/>
      <w:r w:rsidRPr="00DB3115">
        <w:rPr>
          <w:rFonts w:ascii="Times New Roman" w:hAnsi="Times New Roman" w:cs="Times New Roman"/>
          <w:i/>
          <w:sz w:val="24"/>
          <w:szCs w:val="24"/>
          <w:shd w:val="clear" w:color="auto" w:fill="FFFFFF"/>
        </w:rPr>
        <w:t>Med</w:t>
      </w:r>
      <w:proofErr w:type="spellEnd"/>
      <w:r w:rsidRPr="00DB3115">
        <w:rPr>
          <w:rFonts w:ascii="Times New Roman" w:hAnsi="Times New Roman" w:cs="Times New Roman"/>
          <w:i/>
          <w:sz w:val="24"/>
          <w:szCs w:val="24"/>
          <w:shd w:val="clear" w:color="auto" w:fill="FFFFFF"/>
        </w:rPr>
        <w:t xml:space="preserve"> Intensiva</w:t>
      </w:r>
      <w:r w:rsidR="009F5D81">
        <w:rPr>
          <w:rFonts w:ascii="Times New Roman" w:hAnsi="Times New Roman" w:cs="Times New Roman"/>
          <w:i/>
          <w:sz w:val="24"/>
          <w:szCs w:val="24"/>
          <w:shd w:val="clear" w:color="auto" w:fill="FFFFFF"/>
        </w:rPr>
        <w:t>,</w:t>
      </w:r>
      <w:r w:rsidR="009F5D81" w:rsidRPr="00DB3115">
        <w:rPr>
          <w:rFonts w:ascii="Times New Roman" w:hAnsi="Times New Roman" w:cs="Times New Roman"/>
          <w:sz w:val="24"/>
          <w:szCs w:val="24"/>
          <w:shd w:val="clear" w:color="auto" w:fill="FFFFFF"/>
        </w:rPr>
        <w:t xml:space="preserve"> </w:t>
      </w:r>
      <w:r w:rsidRPr="003F3FAF">
        <w:rPr>
          <w:rFonts w:ascii="Times New Roman" w:hAnsi="Times New Roman" w:cs="Times New Roman"/>
          <w:i/>
          <w:iCs/>
          <w:sz w:val="24"/>
          <w:szCs w:val="24"/>
          <w:shd w:val="clear" w:color="auto" w:fill="FFFFFF"/>
        </w:rPr>
        <w:t>33</w:t>
      </w:r>
      <w:r w:rsidRPr="00DB3115">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00190D1F">
        <w:rPr>
          <w:rFonts w:ascii="Times New Roman" w:hAnsi="Times New Roman" w:cs="Times New Roman"/>
          <w:sz w:val="24"/>
          <w:szCs w:val="24"/>
          <w:shd w:val="clear" w:color="auto" w:fill="FFFFFF"/>
        </w:rPr>
        <w:t xml:space="preserve"> </w:t>
      </w:r>
      <w:r w:rsidRPr="00DB3115">
        <w:rPr>
          <w:rFonts w:ascii="Times New Roman" w:hAnsi="Times New Roman" w:cs="Times New Roman"/>
          <w:sz w:val="24"/>
          <w:szCs w:val="24"/>
          <w:shd w:val="clear" w:color="auto" w:fill="FFFFFF"/>
        </w:rPr>
        <w:t>16-30.</w:t>
      </w:r>
    </w:p>
    <w:p w14:paraId="07E79A1E" w14:textId="2D910029" w:rsidR="00A6515B" w:rsidRPr="00505A5A" w:rsidRDefault="00A6515B" w:rsidP="003F3FAF">
      <w:pPr>
        <w:pStyle w:val="Prrafodelista"/>
        <w:tabs>
          <w:tab w:val="left" w:pos="810"/>
          <w:tab w:val="left" w:pos="900"/>
        </w:tabs>
        <w:autoSpaceDE w:val="0"/>
        <w:autoSpaceDN w:val="0"/>
        <w:adjustRightInd w:val="0"/>
        <w:spacing w:after="0" w:line="360" w:lineRule="auto"/>
        <w:ind w:left="709" w:right="49" w:hanging="567"/>
        <w:jc w:val="both"/>
      </w:pPr>
      <w:r w:rsidRPr="00DB3115">
        <w:rPr>
          <w:rFonts w:ascii="Times New Roman" w:hAnsi="Times New Roman" w:cs="Times New Roman"/>
          <w:sz w:val="24"/>
          <w:szCs w:val="24"/>
        </w:rPr>
        <w:t>Arias</w:t>
      </w:r>
      <w:r w:rsidR="00190D1F">
        <w:rPr>
          <w:rFonts w:ascii="Times New Roman" w:hAnsi="Times New Roman" w:cs="Times New Roman"/>
          <w:sz w:val="24"/>
          <w:szCs w:val="24"/>
        </w:rPr>
        <w:t>,</w:t>
      </w:r>
      <w:r w:rsidRPr="00DB3115">
        <w:rPr>
          <w:rFonts w:ascii="Times New Roman" w:hAnsi="Times New Roman" w:cs="Times New Roman"/>
          <w:sz w:val="24"/>
          <w:szCs w:val="24"/>
        </w:rPr>
        <w:t xml:space="preserve"> Ma. C.</w:t>
      </w:r>
      <w:r w:rsidR="00190D1F">
        <w:rPr>
          <w:rFonts w:ascii="Times New Roman" w:hAnsi="Times New Roman" w:cs="Times New Roman"/>
          <w:sz w:val="24"/>
          <w:szCs w:val="24"/>
        </w:rPr>
        <w:t xml:space="preserve"> (s. f.)</w:t>
      </w:r>
      <w:r w:rsidR="00680320">
        <w:rPr>
          <w:rFonts w:ascii="Times New Roman" w:hAnsi="Times New Roman" w:cs="Times New Roman"/>
          <w:sz w:val="24"/>
          <w:szCs w:val="24"/>
        </w:rPr>
        <w:t>.</w:t>
      </w:r>
      <w:r w:rsidRPr="00DB3115">
        <w:rPr>
          <w:rFonts w:ascii="Times New Roman" w:hAnsi="Times New Roman" w:cs="Times New Roman"/>
          <w:sz w:val="24"/>
          <w:szCs w:val="24"/>
        </w:rPr>
        <w:t xml:space="preserve"> La desnutrición en el paciente hospitalizado. Principios básicos de aplicación de la nutrición artificial.</w:t>
      </w:r>
      <w:r w:rsidRPr="00DB3115">
        <w:rPr>
          <w:rFonts w:ascii="Times New Roman" w:hAnsi="Times New Roman" w:cs="Times New Roman"/>
          <w:i/>
          <w:sz w:val="24"/>
          <w:szCs w:val="24"/>
        </w:rPr>
        <w:t xml:space="preserve"> Guías Clínicas de la sociedad gallega de medicina Interna.</w:t>
      </w:r>
      <w:r>
        <w:rPr>
          <w:rFonts w:ascii="Times New Roman" w:hAnsi="Times New Roman" w:cs="Times New Roman"/>
          <w:i/>
          <w:sz w:val="24"/>
          <w:szCs w:val="24"/>
        </w:rPr>
        <w:t xml:space="preserve"> </w:t>
      </w:r>
      <w:r w:rsidRPr="00DB3115">
        <w:rPr>
          <w:rStyle w:val="Hipervnculo"/>
          <w:rFonts w:ascii="Times New Roman" w:hAnsi="Times New Roman" w:cs="Times New Roman"/>
          <w:color w:val="auto"/>
          <w:sz w:val="24"/>
          <w:szCs w:val="24"/>
          <w:u w:val="none"/>
        </w:rPr>
        <w:t xml:space="preserve">Recuperado de </w:t>
      </w:r>
      <w:hyperlink r:id="rId11" w:history="1">
        <w:r w:rsidRPr="00DB3115">
          <w:rPr>
            <w:rStyle w:val="Hipervnculo"/>
            <w:rFonts w:ascii="Times New Roman" w:hAnsi="Times New Roman" w:cs="Times New Roman"/>
            <w:color w:val="auto"/>
            <w:sz w:val="24"/>
            <w:szCs w:val="24"/>
          </w:rPr>
          <w:t>http://www.meiga.info/guias/NutricionArtificial.pdf</w:t>
        </w:r>
      </w:hyperlink>
      <w:r w:rsidRPr="00DB3115">
        <w:rPr>
          <w:rFonts w:ascii="Times New Roman" w:hAnsi="Times New Roman" w:cs="Times New Roman"/>
          <w:sz w:val="24"/>
          <w:szCs w:val="24"/>
        </w:rPr>
        <w:t>.</w:t>
      </w:r>
    </w:p>
    <w:p w14:paraId="173612B2" w14:textId="2957FBC8" w:rsidR="00A6515B" w:rsidRPr="00505A5A" w:rsidRDefault="00A6515B" w:rsidP="003F3FAF">
      <w:pPr>
        <w:pStyle w:val="Prrafodelista"/>
        <w:autoSpaceDE w:val="0"/>
        <w:autoSpaceDN w:val="0"/>
        <w:adjustRightInd w:val="0"/>
        <w:spacing w:after="0" w:line="360" w:lineRule="auto"/>
        <w:ind w:left="709" w:right="49" w:hanging="567"/>
        <w:jc w:val="both"/>
      </w:pPr>
      <w:r w:rsidRPr="00DB3115">
        <w:rPr>
          <w:rFonts w:ascii="Times New Roman" w:hAnsi="Times New Roman" w:cs="Times New Roman"/>
          <w:bCs/>
          <w:sz w:val="24"/>
          <w:szCs w:val="24"/>
        </w:rPr>
        <w:t>Chávez</w:t>
      </w:r>
      <w:r w:rsidR="00680320">
        <w:rPr>
          <w:rFonts w:ascii="Times New Roman" w:hAnsi="Times New Roman" w:cs="Times New Roman"/>
          <w:bCs/>
          <w:sz w:val="24"/>
          <w:szCs w:val="24"/>
        </w:rPr>
        <w:t>,</w:t>
      </w:r>
      <w:r w:rsidRPr="00DB3115">
        <w:rPr>
          <w:rFonts w:ascii="Times New Roman" w:hAnsi="Times New Roman" w:cs="Times New Roman"/>
          <w:bCs/>
          <w:sz w:val="24"/>
          <w:szCs w:val="24"/>
        </w:rPr>
        <w:t xml:space="preserve"> J.</w:t>
      </w:r>
      <w:r w:rsidR="00680320">
        <w:rPr>
          <w:rFonts w:ascii="Times New Roman" w:hAnsi="Times New Roman" w:cs="Times New Roman"/>
          <w:bCs/>
          <w:sz w:val="24"/>
          <w:szCs w:val="24"/>
        </w:rPr>
        <w:t xml:space="preserve"> </w:t>
      </w:r>
      <w:r w:rsidRPr="00DB3115">
        <w:rPr>
          <w:rFonts w:ascii="Times New Roman" w:hAnsi="Times New Roman" w:cs="Times New Roman"/>
          <w:bCs/>
          <w:sz w:val="24"/>
          <w:szCs w:val="24"/>
        </w:rPr>
        <w:t>P.</w:t>
      </w:r>
      <w:r w:rsidR="00680320">
        <w:rPr>
          <w:rFonts w:ascii="Times New Roman" w:hAnsi="Times New Roman" w:cs="Times New Roman"/>
          <w:bCs/>
          <w:sz w:val="24"/>
          <w:szCs w:val="24"/>
        </w:rPr>
        <w:t xml:space="preserve"> y</w:t>
      </w:r>
      <w:r w:rsidRPr="00DB3115">
        <w:rPr>
          <w:rFonts w:ascii="Times New Roman" w:eastAsiaTheme="minorHAnsi" w:hAnsi="Times New Roman" w:cs="Times New Roman"/>
          <w:sz w:val="24"/>
          <w:szCs w:val="24"/>
        </w:rPr>
        <w:t xml:space="preserve"> </w:t>
      </w:r>
      <w:r w:rsidRPr="00DB3115">
        <w:rPr>
          <w:rFonts w:ascii="Times New Roman" w:hAnsi="Times New Roman" w:cs="Times New Roman"/>
          <w:bCs/>
          <w:sz w:val="24"/>
          <w:szCs w:val="24"/>
        </w:rPr>
        <w:t>Sánchez</w:t>
      </w:r>
      <w:r w:rsidR="00680320">
        <w:rPr>
          <w:rFonts w:ascii="Times New Roman" w:hAnsi="Times New Roman" w:cs="Times New Roman"/>
          <w:bCs/>
          <w:sz w:val="24"/>
          <w:szCs w:val="24"/>
        </w:rPr>
        <w:t>,</w:t>
      </w:r>
      <w:r w:rsidRPr="00DB3115">
        <w:rPr>
          <w:rFonts w:ascii="Times New Roman" w:hAnsi="Times New Roman" w:cs="Times New Roman"/>
          <w:bCs/>
          <w:sz w:val="24"/>
          <w:szCs w:val="24"/>
        </w:rPr>
        <w:t xml:space="preserve"> L.</w:t>
      </w:r>
      <w:r w:rsidR="00680320">
        <w:rPr>
          <w:rFonts w:ascii="Times New Roman" w:hAnsi="Times New Roman" w:cs="Times New Roman"/>
          <w:bCs/>
          <w:sz w:val="24"/>
          <w:szCs w:val="24"/>
        </w:rPr>
        <w:t xml:space="preserve"> </w:t>
      </w:r>
      <w:r w:rsidRPr="00DB3115">
        <w:rPr>
          <w:rFonts w:ascii="Times New Roman" w:hAnsi="Times New Roman" w:cs="Times New Roman"/>
          <w:bCs/>
          <w:sz w:val="24"/>
          <w:szCs w:val="24"/>
        </w:rPr>
        <w:t xml:space="preserve">D. (2009). </w:t>
      </w:r>
      <w:r w:rsidRPr="00DB3115">
        <w:rPr>
          <w:rFonts w:ascii="Times New Roman" w:hAnsi="Times New Roman" w:cs="Times New Roman"/>
          <w:sz w:val="24"/>
          <w:szCs w:val="24"/>
        </w:rPr>
        <w:t xml:space="preserve">Impacto del retraso del inicio del apoyo nutricio en la morbimortalidad en la Unidad de Terapia Intensiva. </w:t>
      </w:r>
      <w:r w:rsidRPr="00DB3115">
        <w:rPr>
          <w:rFonts w:ascii="Times New Roman" w:hAnsi="Times New Roman" w:cs="Times New Roman"/>
          <w:i/>
          <w:sz w:val="24"/>
          <w:szCs w:val="24"/>
        </w:rPr>
        <w:t>Revista de la Asociación Mexicana de Medicina Crítica y terapia intensiva</w:t>
      </w:r>
      <w:r w:rsidRPr="00DB3115">
        <w:rPr>
          <w:rFonts w:ascii="Times New Roman" w:hAnsi="Times New Roman" w:cs="Times New Roman"/>
          <w:sz w:val="24"/>
          <w:szCs w:val="24"/>
        </w:rPr>
        <w:t xml:space="preserve">, </w:t>
      </w:r>
      <w:r w:rsidRPr="003F3FAF">
        <w:rPr>
          <w:rFonts w:ascii="Times New Roman" w:hAnsi="Times New Roman" w:cs="Times New Roman"/>
          <w:i/>
          <w:iCs/>
          <w:sz w:val="24"/>
          <w:szCs w:val="24"/>
        </w:rPr>
        <w:t>23</w:t>
      </w:r>
      <w:r w:rsidRPr="00DB3115">
        <w:rPr>
          <w:rFonts w:ascii="Times New Roman" w:hAnsi="Times New Roman" w:cs="Times New Roman"/>
          <w:sz w:val="24"/>
          <w:szCs w:val="24"/>
        </w:rPr>
        <w:t>(2)</w:t>
      </w:r>
      <w:r>
        <w:rPr>
          <w:rFonts w:ascii="Times New Roman" w:hAnsi="Times New Roman" w:cs="Times New Roman"/>
          <w:sz w:val="24"/>
          <w:szCs w:val="24"/>
        </w:rPr>
        <w:t>,</w:t>
      </w:r>
      <w:r w:rsidR="00680320">
        <w:rPr>
          <w:rFonts w:ascii="Times New Roman" w:hAnsi="Times New Roman" w:cs="Times New Roman"/>
          <w:sz w:val="24"/>
          <w:szCs w:val="24"/>
        </w:rPr>
        <w:t xml:space="preserve"> </w:t>
      </w:r>
      <w:r w:rsidRPr="00DB3115">
        <w:rPr>
          <w:rFonts w:ascii="Times New Roman" w:hAnsi="Times New Roman" w:cs="Times New Roman"/>
          <w:sz w:val="24"/>
          <w:szCs w:val="24"/>
        </w:rPr>
        <w:t>70-75.</w:t>
      </w:r>
    </w:p>
    <w:p w14:paraId="6269E3BE" w14:textId="461F9225" w:rsidR="00A6515B" w:rsidRPr="00505A5A" w:rsidRDefault="00A6515B" w:rsidP="003F3FAF">
      <w:pPr>
        <w:pStyle w:val="Prrafodelista"/>
        <w:autoSpaceDE w:val="0"/>
        <w:autoSpaceDN w:val="0"/>
        <w:adjustRightInd w:val="0"/>
        <w:spacing w:after="0" w:line="360" w:lineRule="auto"/>
        <w:ind w:left="709" w:right="49" w:hanging="567"/>
        <w:jc w:val="both"/>
      </w:pPr>
      <w:r w:rsidRPr="00865610">
        <w:rPr>
          <w:rFonts w:ascii="Times New Roman" w:hAnsi="Times New Roman" w:cs="Times New Roman"/>
          <w:color w:val="000000"/>
          <w:sz w:val="24"/>
          <w:szCs w:val="24"/>
          <w:shd w:val="clear" w:color="auto" w:fill="FFFFFF"/>
          <w:lang w:val="en-US"/>
        </w:rPr>
        <w:t>Falcao de Arruda</w:t>
      </w:r>
      <w:r w:rsidR="00680320" w:rsidRPr="00865610">
        <w:rPr>
          <w:rFonts w:ascii="Times New Roman" w:hAnsi="Times New Roman" w:cs="Times New Roman"/>
          <w:color w:val="000000"/>
          <w:sz w:val="24"/>
          <w:szCs w:val="24"/>
          <w:shd w:val="clear" w:color="auto" w:fill="FFFFFF"/>
          <w:lang w:val="en-US"/>
        </w:rPr>
        <w:t>,</w:t>
      </w:r>
      <w:r w:rsidRPr="00865610">
        <w:rPr>
          <w:rFonts w:ascii="Times New Roman" w:hAnsi="Times New Roman" w:cs="Times New Roman"/>
          <w:color w:val="000000"/>
          <w:sz w:val="24"/>
          <w:szCs w:val="24"/>
          <w:shd w:val="clear" w:color="auto" w:fill="FFFFFF"/>
          <w:lang w:val="en-US"/>
        </w:rPr>
        <w:t xml:space="preserve"> I</w:t>
      </w:r>
      <w:r w:rsidR="00680320" w:rsidRPr="00865610">
        <w:rPr>
          <w:rFonts w:ascii="Times New Roman" w:hAnsi="Times New Roman" w:cs="Times New Roman"/>
          <w:color w:val="000000"/>
          <w:sz w:val="24"/>
          <w:szCs w:val="24"/>
          <w:shd w:val="clear" w:color="auto" w:fill="FFFFFF"/>
          <w:lang w:val="en-US"/>
        </w:rPr>
        <w:t xml:space="preserve"> </w:t>
      </w:r>
      <w:r w:rsidRPr="00865610">
        <w:rPr>
          <w:rFonts w:ascii="Times New Roman" w:hAnsi="Times New Roman" w:cs="Times New Roman"/>
          <w:color w:val="000000"/>
          <w:sz w:val="24"/>
          <w:szCs w:val="24"/>
          <w:shd w:val="clear" w:color="auto" w:fill="FFFFFF"/>
          <w:lang w:val="en-US"/>
        </w:rPr>
        <w:t>.S.</w:t>
      </w:r>
      <w:r w:rsidR="00680320" w:rsidRPr="00865610">
        <w:rPr>
          <w:rFonts w:ascii="Times New Roman" w:hAnsi="Times New Roman" w:cs="Times New Roman"/>
          <w:color w:val="000000"/>
          <w:sz w:val="24"/>
          <w:szCs w:val="24"/>
          <w:shd w:val="clear" w:color="auto" w:fill="FFFFFF"/>
          <w:lang w:val="en-US"/>
        </w:rPr>
        <w:t xml:space="preserve"> and</w:t>
      </w:r>
      <w:r w:rsidRPr="00865610">
        <w:rPr>
          <w:rFonts w:ascii="Times New Roman" w:hAnsi="Times New Roman" w:cs="Times New Roman"/>
          <w:sz w:val="24"/>
          <w:szCs w:val="24"/>
          <w:lang w:val="en-US"/>
        </w:rPr>
        <w:t xml:space="preserve"> De </w:t>
      </w:r>
      <w:r w:rsidRPr="00865610">
        <w:rPr>
          <w:rFonts w:ascii="Times New Roman" w:hAnsi="Times New Roman" w:cs="Times New Roman"/>
          <w:color w:val="000000"/>
          <w:sz w:val="24"/>
          <w:szCs w:val="24"/>
          <w:shd w:val="clear" w:color="auto" w:fill="FFFFFF"/>
          <w:lang w:val="en-US"/>
        </w:rPr>
        <w:t>Aguilar</w:t>
      </w:r>
      <w:r w:rsidR="00680320" w:rsidRPr="00865610">
        <w:rPr>
          <w:rFonts w:ascii="Times New Roman" w:hAnsi="Times New Roman" w:cs="Times New Roman"/>
          <w:color w:val="000000"/>
          <w:sz w:val="24"/>
          <w:szCs w:val="24"/>
          <w:shd w:val="clear" w:color="auto" w:fill="FFFFFF"/>
          <w:lang w:val="en-US"/>
        </w:rPr>
        <w:t>,</w:t>
      </w:r>
      <w:r w:rsidRPr="00865610">
        <w:rPr>
          <w:rFonts w:ascii="Times New Roman" w:hAnsi="Times New Roman" w:cs="Times New Roman"/>
          <w:color w:val="000000"/>
          <w:sz w:val="24"/>
          <w:szCs w:val="24"/>
          <w:shd w:val="clear" w:color="auto" w:fill="FFFFFF"/>
          <w:lang w:val="en-US"/>
        </w:rPr>
        <w:t xml:space="preserve"> J.</w:t>
      </w:r>
      <w:r w:rsidR="00680320" w:rsidRPr="00865610">
        <w:rPr>
          <w:rFonts w:ascii="Times New Roman" w:hAnsi="Times New Roman" w:cs="Times New Roman"/>
          <w:color w:val="000000"/>
          <w:sz w:val="24"/>
          <w:szCs w:val="24"/>
          <w:shd w:val="clear" w:color="auto" w:fill="FFFFFF"/>
          <w:lang w:val="en-US"/>
        </w:rPr>
        <w:t xml:space="preserve"> </w:t>
      </w:r>
      <w:r w:rsidRPr="00865610">
        <w:rPr>
          <w:rFonts w:ascii="Times New Roman" w:hAnsi="Times New Roman" w:cs="Times New Roman"/>
          <w:color w:val="000000"/>
          <w:sz w:val="24"/>
          <w:szCs w:val="24"/>
          <w:shd w:val="clear" w:color="auto" w:fill="FFFFFF"/>
          <w:lang w:val="en-US"/>
        </w:rPr>
        <w:t xml:space="preserve">E. (2004). </w:t>
      </w:r>
      <w:r w:rsidRPr="00DB3115">
        <w:rPr>
          <w:rStyle w:val="ref-title"/>
          <w:rFonts w:ascii="Times New Roman" w:hAnsi="Times New Roman" w:cs="Times New Roman"/>
          <w:color w:val="000000"/>
          <w:sz w:val="24"/>
          <w:szCs w:val="24"/>
          <w:shd w:val="clear" w:color="auto" w:fill="FFFFFF"/>
          <w:lang w:val="en-US"/>
        </w:rPr>
        <w:t>Benefits of early enteral nutrition with glutamine and probiotics in brain injury patients</w:t>
      </w:r>
      <w:r w:rsidRPr="00DB3115">
        <w:rPr>
          <w:rFonts w:ascii="Times New Roman" w:hAnsi="Times New Roman" w:cs="Times New Roman"/>
          <w:color w:val="000000"/>
          <w:sz w:val="24"/>
          <w:szCs w:val="24"/>
          <w:shd w:val="clear" w:color="auto" w:fill="FFFFFF"/>
          <w:lang w:val="en-US"/>
        </w:rPr>
        <w:t xml:space="preserve">. </w:t>
      </w:r>
      <w:proofErr w:type="spellStart"/>
      <w:r w:rsidRPr="00A6515B">
        <w:rPr>
          <w:rStyle w:val="ref-journal"/>
          <w:rFonts w:ascii="Times New Roman" w:hAnsi="Times New Roman" w:cs="Times New Roman"/>
          <w:i/>
          <w:color w:val="000000"/>
          <w:sz w:val="24"/>
          <w:szCs w:val="24"/>
          <w:shd w:val="clear" w:color="auto" w:fill="FFFFFF"/>
        </w:rPr>
        <w:t>Clin</w:t>
      </w:r>
      <w:proofErr w:type="spellEnd"/>
      <w:r w:rsidRPr="00A6515B">
        <w:rPr>
          <w:rStyle w:val="ref-journal"/>
          <w:rFonts w:ascii="Times New Roman" w:hAnsi="Times New Roman" w:cs="Times New Roman"/>
          <w:i/>
          <w:color w:val="000000"/>
          <w:sz w:val="24"/>
          <w:szCs w:val="24"/>
          <w:shd w:val="clear" w:color="auto" w:fill="FFFFFF"/>
        </w:rPr>
        <w:t xml:space="preserve"> </w:t>
      </w:r>
      <w:proofErr w:type="spellStart"/>
      <w:r w:rsidRPr="00A6515B">
        <w:rPr>
          <w:rStyle w:val="ref-journal"/>
          <w:rFonts w:ascii="Times New Roman" w:hAnsi="Times New Roman" w:cs="Times New Roman"/>
          <w:i/>
          <w:color w:val="000000"/>
          <w:sz w:val="24"/>
          <w:szCs w:val="24"/>
          <w:shd w:val="clear" w:color="auto" w:fill="FFFFFF"/>
        </w:rPr>
        <w:t>Sci</w:t>
      </w:r>
      <w:proofErr w:type="spellEnd"/>
      <w:r w:rsidRPr="00A6515B">
        <w:rPr>
          <w:rStyle w:val="ref-journal"/>
          <w:rFonts w:ascii="Times New Roman" w:hAnsi="Times New Roman" w:cs="Times New Roman"/>
          <w:i/>
          <w:color w:val="000000"/>
          <w:sz w:val="24"/>
          <w:szCs w:val="24"/>
          <w:shd w:val="clear" w:color="auto" w:fill="FFFFFF"/>
        </w:rPr>
        <w:t xml:space="preserve"> (</w:t>
      </w:r>
      <w:proofErr w:type="spellStart"/>
      <w:r w:rsidRPr="00A6515B">
        <w:rPr>
          <w:rStyle w:val="ref-journal"/>
          <w:rFonts w:ascii="Times New Roman" w:hAnsi="Times New Roman" w:cs="Times New Roman"/>
          <w:i/>
          <w:color w:val="000000"/>
          <w:sz w:val="24"/>
          <w:szCs w:val="24"/>
          <w:shd w:val="clear" w:color="auto" w:fill="FFFFFF"/>
        </w:rPr>
        <w:t>Lond</w:t>
      </w:r>
      <w:proofErr w:type="spellEnd"/>
      <w:r w:rsidRPr="00A6515B">
        <w:rPr>
          <w:rStyle w:val="ref-journal"/>
          <w:rFonts w:ascii="Times New Roman" w:hAnsi="Times New Roman" w:cs="Times New Roman"/>
          <w:i/>
          <w:color w:val="000000"/>
          <w:sz w:val="24"/>
          <w:szCs w:val="24"/>
          <w:shd w:val="clear" w:color="auto" w:fill="FFFFFF"/>
        </w:rPr>
        <w:t>)</w:t>
      </w:r>
      <w:r w:rsidR="00680320">
        <w:rPr>
          <w:rStyle w:val="ref-journal"/>
          <w:rFonts w:ascii="Times New Roman" w:hAnsi="Times New Roman" w:cs="Times New Roman"/>
          <w:i/>
          <w:color w:val="000000"/>
          <w:sz w:val="24"/>
          <w:szCs w:val="24"/>
          <w:shd w:val="clear" w:color="auto" w:fill="FFFFFF"/>
        </w:rPr>
        <w:t>,</w:t>
      </w:r>
      <w:r w:rsidRPr="003F3FAF">
        <w:rPr>
          <w:rStyle w:val="ref-journal"/>
          <w:rFonts w:ascii="Times New Roman" w:hAnsi="Times New Roman" w:cs="Times New Roman"/>
          <w:i/>
          <w:iCs/>
          <w:color w:val="000000"/>
          <w:sz w:val="24"/>
          <w:szCs w:val="24"/>
          <w:shd w:val="clear" w:color="auto" w:fill="FFFFFF"/>
        </w:rPr>
        <w:t xml:space="preserve"> </w:t>
      </w:r>
      <w:r w:rsidRPr="003F3FAF">
        <w:rPr>
          <w:rStyle w:val="ref-vol"/>
          <w:rFonts w:ascii="Times New Roman" w:hAnsi="Times New Roman" w:cs="Times New Roman"/>
          <w:i/>
          <w:iCs/>
          <w:color w:val="000000"/>
          <w:sz w:val="24"/>
          <w:szCs w:val="24"/>
          <w:shd w:val="clear" w:color="auto" w:fill="FFFFFF"/>
        </w:rPr>
        <w:t>106</w:t>
      </w:r>
      <w:r w:rsidRPr="00A6515B">
        <w:rPr>
          <w:rStyle w:val="ref-vol"/>
          <w:rFonts w:ascii="Times New Roman" w:hAnsi="Times New Roman" w:cs="Times New Roman"/>
          <w:color w:val="000000"/>
          <w:sz w:val="24"/>
          <w:szCs w:val="24"/>
          <w:shd w:val="clear" w:color="auto" w:fill="FFFFFF"/>
        </w:rPr>
        <w:t>(3)</w:t>
      </w:r>
      <w:r w:rsidRPr="00A6515B">
        <w:rPr>
          <w:rFonts w:ascii="Times New Roman" w:hAnsi="Times New Roman" w:cs="Times New Roman"/>
          <w:color w:val="000000"/>
          <w:sz w:val="24"/>
          <w:szCs w:val="24"/>
          <w:shd w:val="clear" w:color="auto" w:fill="FFFFFF"/>
        </w:rPr>
        <w:t>,</w:t>
      </w:r>
      <w:r w:rsidR="00680320">
        <w:rPr>
          <w:rFonts w:ascii="Times New Roman" w:hAnsi="Times New Roman" w:cs="Times New Roman"/>
          <w:color w:val="000000"/>
          <w:sz w:val="24"/>
          <w:szCs w:val="24"/>
          <w:shd w:val="clear" w:color="auto" w:fill="FFFFFF"/>
        </w:rPr>
        <w:t xml:space="preserve"> </w:t>
      </w:r>
      <w:r w:rsidRPr="00A6515B">
        <w:rPr>
          <w:rFonts w:ascii="Times New Roman" w:hAnsi="Times New Roman" w:cs="Times New Roman"/>
          <w:color w:val="000000"/>
          <w:sz w:val="24"/>
          <w:szCs w:val="24"/>
          <w:shd w:val="clear" w:color="auto" w:fill="FFFFFF"/>
        </w:rPr>
        <w:t>287–292.</w:t>
      </w:r>
    </w:p>
    <w:p w14:paraId="6AC64D11" w14:textId="5D0BFBAB" w:rsidR="00A6515B" w:rsidRPr="003F3FAF" w:rsidRDefault="00A6515B" w:rsidP="003F3FAF">
      <w:pPr>
        <w:pStyle w:val="Prrafodelista"/>
        <w:spacing w:after="0" w:line="360" w:lineRule="auto"/>
        <w:ind w:left="709" w:right="49" w:hanging="567"/>
        <w:jc w:val="both"/>
        <w:rPr>
          <w:rFonts w:eastAsiaTheme="minorHAnsi"/>
        </w:rPr>
      </w:pPr>
      <w:r w:rsidRPr="00DB3115">
        <w:rPr>
          <w:rFonts w:ascii="Times New Roman" w:hAnsi="Times New Roman" w:cs="Times New Roman"/>
          <w:sz w:val="24"/>
          <w:szCs w:val="24"/>
        </w:rPr>
        <w:t>Fernández</w:t>
      </w:r>
      <w:r w:rsidR="00680320">
        <w:rPr>
          <w:rFonts w:ascii="Times New Roman" w:hAnsi="Times New Roman" w:cs="Times New Roman"/>
          <w:sz w:val="24"/>
          <w:szCs w:val="24"/>
        </w:rPr>
        <w:t>,</w:t>
      </w:r>
      <w:r w:rsidRPr="00DB3115">
        <w:rPr>
          <w:rFonts w:ascii="Times New Roman" w:hAnsi="Times New Roman" w:cs="Times New Roman"/>
          <w:sz w:val="24"/>
          <w:szCs w:val="24"/>
        </w:rPr>
        <w:t xml:space="preserve"> M., </w:t>
      </w:r>
      <w:r w:rsidRPr="00DB3115">
        <w:rPr>
          <w:rFonts w:ascii="Times New Roman" w:eastAsiaTheme="minorHAnsi" w:hAnsi="Times New Roman" w:cs="Times New Roman"/>
          <w:bCs/>
          <w:sz w:val="24"/>
          <w:szCs w:val="24"/>
          <w:lang w:eastAsia="en-US"/>
        </w:rPr>
        <w:t>Lobo</w:t>
      </w:r>
      <w:r w:rsidR="00680320">
        <w:rPr>
          <w:rFonts w:ascii="Times New Roman" w:eastAsiaTheme="minorHAnsi" w:hAnsi="Times New Roman" w:cs="Times New Roman"/>
          <w:bCs/>
          <w:sz w:val="24"/>
          <w:szCs w:val="24"/>
          <w:lang w:eastAsia="en-US"/>
        </w:rPr>
        <w:t>,</w:t>
      </w:r>
      <w:r w:rsidRPr="00DB3115">
        <w:rPr>
          <w:rFonts w:ascii="Times New Roman" w:eastAsiaTheme="minorHAnsi" w:hAnsi="Times New Roman" w:cs="Times New Roman"/>
          <w:bCs/>
          <w:sz w:val="24"/>
          <w:szCs w:val="24"/>
          <w:lang w:eastAsia="en-US"/>
        </w:rPr>
        <w:t xml:space="preserve"> G., Ruiz</w:t>
      </w:r>
      <w:r w:rsidR="00680320">
        <w:rPr>
          <w:rFonts w:ascii="Times New Roman" w:eastAsiaTheme="minorHAnsi" w:hAnsi="Times New Roman" w:cs="Times New Roman"/>
          <w:bCs/>
          <w:sz w:val="24"/>
          <w:szCs w:val="24"/>
          <w:lang w:eastAsia="en-US"/>
        </w:rPr>
        <w:t>,</w:t>
      </w:r>
      <w:r w:rsidRPr="00DB3115">
        <w:rPr>
          <w:rFonts w:ascii="Times New Roman" w:eastAsiaTheme="minorHAnsi" w:hAnsi="Times New Roman" w:cs="Times New Roman"/>
          <w:bCs/>
          <w:sz w:val="24"/>
          <w:szCs w:val="24"/>
          <w:lang w:eastAsia="en-US"/>
        </w:rPr>
        <w:t xml:space="preserve"> M.</w:t>
      </w:r>
      <w:r w:rsidR="00680320">
        <w:rPr>
          <w:rFonts w:ascii="Times New Roman" w:eastAsiaTheme="minorHAnsi" w:hAnsi="Times New Roman" w:cs="Times New Roman"/>
          <w:bCs/>
          <w:sz w:val="24"/>
          <w:szCs w:val="24"/>
          <w:lang w:eastAsia="en-US"/>
        </w:rPr>
        <w:t xml:space="preserve"> </w:t>
      </w:r>
      <w:r w:rsidRPr="00DB3115">
        <w:rPr>
          <w:rFonts w:ascii="Times New Roman" w:eastAsiaTheme="minorHAnsi" w:hAnsi="Times New Roman" w:cs="Times New Roman"/>
          <w:bCs/>
          <w:sz w:val="24"/>
          <w:szCs w:val="24"/>
          <w:lang w:eastAsia="en-US"/>
        </w:rPr>
        <w:t>D.</w:t>
      </w:r>
      <w:r w:rsidR="00680320">
        <w:rPr>
          <w:rFonts w:ascii="Times New Roman" w:eastAsiaTheme="minorHAnsi" w:hAnsi="Times New Roman" w:cs="Times New Roman"/>
          <w:bCs/>
          <w:sz w:val="24"/>
          <w:szCs w:val="24"/>
          <w:lang w:eastAsia="en-US"/>
        </w:rPr>
        <w:t xml:space="preserve"> y</w:t>
      </w:r>
      <w:r w:rsidRPr="00DB3115">
        <w:rPr>
          <w:rFonts w:ascii="Times New Roman" w:hAnsi="Times New Roman" w:cs="Times New Roman"/>
          <w:sz w:val="24"/>
          <w:szCs w:val="24"/>
        </w:rPr>
        <w:t xml:space="preserve"> </w:t>
      </w:r>
      <w:r w:rsidRPr="00DB3115">
        <w:rPr>
          <w:rFonts w:ascii="Times New Roman" w:eastAsiaTheme="minorHAnsi" w:hAnsi="Times New Roman" w:cs="Times New Roman"/>
          <w:bCs/>
          <w:sz w:val="24"/>
          <w:szCs w:val="24"/>
          <w:lang w:eastAsia="en-US"/>
        </w:rPr>
        <w:t>Pérez</w:t>
      </w:r>
      <w:r w:rsidR="00680320">
        <w:rPr>
          <w:rFonts w:ascii="Times New Roman" w:eastAsiaTheme="minorHAnsi" w:hAnsi="Times New Roman" w:cs="Times New Roman"/>
          <w:bCs/>
          <w:sz w:val="24"/>
          <w:szCs w:val="24"/>
          <w:lang w:eastAsia="en-US"/>
        </w:rPr>
        <w:t>,</w:t>
      </w:r>
      <w:r w:rsidRPr="00DB3115">
        <w:rPr>
          <w:rFonts w:ascii="Times New Roman" w:eastAsiaTheme="minorHAnsi" w:hAnsi="Times New Roman" w:cs="Times New Roman"/>
          <w:bCs/>
          <w:sz w:val="24"/>
          <w:szCs w:val="24"/>
          <w:lang w:eastAsia="en-US"/>
        </w:rPr>
        <w:t xml:space="preserve"> A. (2009). Desnutrición hospitalaria: relación con la estancia media y la tasa de reingresos prematuros. </w:t>
      </w:r>
      <w:r w:rsidRPr="00DB3115">
        <w:rPr>
          <w:rFonts w:ascii="Times New Roman" w:eastAsiaTheme="minorHAnsi" w:hAnsi="Times New Roman" w:cs="Times New Roman"/>
          <w:bCs/>
          <w:i/>
          <w:sz w:val="24"/>
          <w:szCs w:val="24"/>
          <w:lang w:eastAsia="en-US"/>
        </w:rPr>
        <w:t>Revista Medicina Clínic</w:t>
      </w:r>
      <w:r w:rsidR="00680320">
        <w:rPr>
          <w:rFonts w:ascii="Times New Roman" w:eastAsiaTheme="minorHAnsi" w:hAnsi="Times New Roman" w:cs="Times New Roman"/>
          <w:bCs/>
          <w:i/>
          <w:sz w:val="24"/>
          <w:szCs w:val="24"/>
          <w:lang w:eastAsia="en-US"/>
        </w:rPr>
        <w:t>a,</w:t>
      </w:r>
      <w:r w:rsidR="00680320" w:rsidRPr="00DB3115">
        <w:rPr>
          <w:rFonts w:ascii="Times New Roman" w:eastAsiaTheme="minorHAnsi" w:hAnsi="Times New Roman" w:cs="Times New Roman"/>
          <w:bCs/>
          <w:sz w:val="24"/>
          <w:szCs w:val="24"/>
          <w:lang w:eastAsia="en-US"/>
        </w:rPr>
        <w:t xml:space="preserve"> </w:t>
      </w:r>
      <w:r w:rsidRPr="003F3FAF">
        <w:rPr>
          <w:rFonts w:ascii="Times New Roman" w:hAnsi="Times New Roman" w:cs="Times New Roman"/>
          <w:bCs/>
          <w:i/>
          <w:iCs/>
          <w:sz w:val="24"/>
          <w:szCs w:val="24"/>
        </w:rPr>
        <w:t>132</w:t>
      </w:r>
      <w:r>
        <w:rPr>
          <w:rFonts w:ascii="Times New Roman" w:eastAsiaTheme="minorHAnsi" w:hAnsi="Times New Roman" w:cs="Times New Roman"/>
          <w:bCs/>
          <w:sz w:val="24"/>
          <w:szCs w:val="24"/>
          <w:lang w:eastAsia="en-US"/>
        </w:rPr>
        <w:t>,</w:t>
      </w:r>
      <w:r w:rsidRPr="00DB3115">
        <w:rPr>
          <w:rFonts w:ascii="Times New Roman" w:eastAsiaTheme="minorHAnsi" w:hAnsi="Times New Roman" w:cs="Times New Roman"/>
          <w:bCs/>
          <w:sz w:val="24"/>
          <w:szCs w:val="24"/>
          <w:lang w:eastAsia="en-US"/>
        </w:rPr>
        <w:t xml:space="preserve"> 377-384.</w:t>
      </w:r>
    </w:p>
    <w:p w14:paraId="19F4E2E2" w14:textId="68FF4CA9" w:rsidR="00A6515B" w:rsidRPr="00A6515B" w:rsidRDefault="00A6515B" w:rsidP="003F3FAF">
      <w:pPr>
        <w:pStyle w:val="Prrafodelista"/>
        <w:autoSpaceDE w:val="0"/>
        <w:autoSpaceDN w:val="0"/>
        <w:adjustRightInd w:val="0"/>
        <w:spacing w:after="0" w:line="360" w:lineRule="auto"/>
        <w:ind w:left="709" w:right="49" w:hanging="567"/>
        <w:jc w:val="both"/>
        <w:rPr>
          <w:rFonts w:ascii="Times New Roman" w:eastAsiaTheme="minorHAnsi" w:hAnsi="Times New Roman" w:cs="Times New Roman"/>
          <w:bCs/>
          <w:sz w:val="24"/>
          <w:szCs w:val="24"/>
          <w:lang w:eastAsia="en-US"/>
        </w:rPr>
      </w:pPr>
      <w:r w:rsidRPr="00DB3115">
        <w:rPr>
          <w:rFonts w:ascii="Times New Roman" w:hAnsi="Times New Roman" w:cs="Times New Roman"/>
          <w:iCs/>
          <w:sz w:val="24"/>
          <w:szCs w:val="24"/>
        </w:rPr>
        <w:t>Fuchs</w:t>
      </w:r>
      <w:r w:rsidR="00680320">
        <w:rPr>
          <w:rFonts w:ascii="Times New Roman" w:hAnsi="Times New Roman" w:cs="Times New Roman"/>
          <w:iCs/>
          <w:sz w:val="24"/>
          <w:szCs w:val="24"/>
        </w:rPr>
        <w:t>,</w:t>
      </w:r>
      <w:r w:rsidRPr="00DB3115">
        <w:rPr>
          <w:rFonts w:ascii="Times New Roman" w:hAnsi="Times New Roman" w:cs="Times New Roman"/>
          <w:iCs/>
          <w:sz w:val="24"/>
          <w:szCs w:val="24"/>
        </w:rPr>
        <w:t xml:space="preserve"> V. (1999). Alimentación vía enteral. Importancia en la práctica clínica. </w:t>
      </w:r>
      <w:r w:rsidRPr="00DB3115">
        <w:rPr>
          <w:rFonts w:ascii="Times New Roman" w:hAnsi="Times New Roman" w:cs="Times New Roman"/>
          <w:i/>
          <w:iCs/>
          <w:sz w:val="24"/>
          <w:szCs w:val="24"/>
        </w:rPr>
        <w:t>Revista de gastroenterología, México</w:t>
      </w:r>
      <w:r w:rsidR="00680320">
        <w:rPr>
          <w:rFonts w:ascii="Times New Roman" w:hAnsi="Times New Roman" w:cs="Times New Roman"/>
          <w:i/>
          <w:iCs/>
          <w:sz w:val="24"/>
          <w:szCs w:val="24"/>
        </w:rPr>
        <w:t>,</w:t>
      </w:r>
      <w:r w:rsidR="00680320" w:rsidRPr="00DB3115">
        <w:rPr>
          <w:rFonts w:ascii="Times New Roman" w:hAnsi="Times New Roman" w:cs="Times New Roman"/>
          <w:iCs/>
          <w:sz w:val="24"/>
          <w:szCs w:val="24"/>
        </w:rPr>
        <w:t xml:space="preserve"> </w:t>
      </w:r>
      <w:r w:rsidRPr="003F3FAF">
        <w:rPr>
          <w:rFonts w:ascii="Times New Roman" w:hAnsi="Times New Roman" w:cs="Times New Roman"/>
          <w:i/>
          <w:sz w:val="24"/>
          <w:szCs w:val="24"/>
        </w:rPr>
        <w:t>64</w:t>
      </w:r>
      <w:r>
        <w:rPr>
          <w:rFonts w:ascii="Times New Roman" w:hAnsi="Times New Roman" w:cs="Times New Roman"/>
          <w:iCs/>
          <w:sz w:val="24"/>
          <w:szCs w:val="24"/>
        </w:rPr>
        <w:t>,</w:t>
      </w:r>
      <w:r w:rsidR="00680320">
        <w:rPr>
          <w:rFonts w:ascii="Times New Roman" w:hAnsi="Times New Roman" w:cs="Times New Roman"/>
          <w:iCs/>
          <w:sz w:val="24"/>
          <w:szCs w:val="24"/>
        </w:rPr>
        <w:t xml:space="preserve"> </w:t>
      </w:r>
      <w:r w:rsidRPr="00DB3115">
        <w:rPr>
          <w:rFonts w:ascii="Times New Roman" w:hAnsi="Times New Roman" w:cs="Times New Roman"/>
          <w:iCs/>
          <w:sz w:val="24"/>
          <w:szCs w:val="24"/>
        </w:rPr>
        <w:t>95-100.</w:t>
      </w:r>
    </w:p>
    <w:p w14:paraId="6AD5F16F" w14:textId="0EFCEDB0" w:rsidR="00A6515B" w:rsidRPr="00505A5A" w:rsidRDefault="00A6515B" w:rsidP="003F3FAF">
      <w:pPr>
        <w:pStyle w:val="Prrafodelista"/>
        <w:autoSpaceDE w:val="0"/>
        <w:autoSpaceDN w:val="0"/>
        <w:adjustRightInd w:val="0"/>
        <w:spacing w:after="0" w:line="360" w:lineRule="auto"/>
        <w:ind w:left="709" w:right="49" w:hanging="567"/>
        <w:jc w:val="both"/>
      </w:pPr>
      <w:r w:rsidRPr="00DB3115">
        <w:rPr>
          <w:rFonts w:ascii="Times New Roman" w:eastAsiaTheme="minorHAnsi" w:hAnsi="Times New Roman" w:cs="Times New Roman"/>
          <w:sz w:val="24"/>
          <w:szCs w:val="24"/>
        </w:rPr>
        <w:t>García</w:t>
      </w:r>
      <w:r w:rsidR="00680320">
        <w:rPr>
          <w:rFonts w:ascii="Times New Roman" w:eastAsiaTheme="minorHAnsi" w:hAnsi="Times New Roman" w:cs="Times New Roman"/>
          <w:sz w:val="24"/>
          <w:szCs w:val="24"/>
        </w:rPr>
        <w:t>,</w:t>
      </w:r>
      <w:r w:rsidRPr="00DB3115">
        <w:rPr>
          <w:rFonts w:ascii="Times New Roman" w:eastAsiaTheme="minorHAnsi" w:hAnsi="Times New Roman" w:cs="Times New Roman"/>
          <w:sz w:val="24"/>
          <w:szCs w:val="24"/>
        </w:rPr>
        <w:t xml:space="preserve"> A.</w:t>
      </w:r>
      <w:r w:rsidR="00680320">
        <w:rPr>
          <w:rFonts w:ascii="Times New Roman" w:hAnsi="Times New Roman" w:cs="Times New Roman"/>
          <w:sz w:val="24"/>
          <w:szCs w:val="24"/>
        </w:rPr>
        <w:t xml:space="preserve"> y</w:t>
      </w:r>
      <w:r w:rsidRPr="00DB3115">
        <w:rPr>
          <w:rFonts w:ascii="Times New Roman" w:eastAsiaTheme="minorHAnsi" w:hAnsi="Times New Roman" w:cs="Times New Roman"/>
          <w:sz w:val="24"/>
          <w:szCs w:val="24"/>
        </w:rPr>
        <w:t xml:space="preserve"> Rodríguez</w:t>
      </w:r>
      <w:r w:rsidR="00680320">
        <w:rPr>
          <w:rFonts w:ascii="Times New Roman" w:eastAsiaTheme="minorHAnsi" w:hAnsi="Times New Roman" w:cs="Times New Roman"/>
          <w:sz w:val="24"/>
          <w:szCs w:val="24"/>
        </w:rPr>
        <w:t>,</w:t>
      </w:r>
      <w:r w:rsidRPr="00DB3115">
        <w:rPr>
          <w:rFonts w:ascii="Times New Roman" w:eastAsiaTheme="minorHAnsi" w:hAnsi="Times New Roman" w:cs="Times New Roman"/>
          <w:sz w:val="24"/>
          <w:szCs w:val="24"/>
        </w:rPr>
        <w:t xml:space="preserve"> J. (2009). </w:t>
      </w:r>
      <w:r w:rsidRPr="00DB3115">
        <w:rPr>
          <w:rFonts w:ascii="Times New Roman" w:eastAsiaTheme="minorHAnsi" w:hAnsi="Times New Roman" w:cs="Times New Roman"/>
          <w:bCs/>
          <w:sz w:val="24"/>
          <w:szCs w:val="24"/>
        </w:rPr>
        <w:t xml:space="preserve">Traumatismo craneoencefálico y manejo nutricional del paciente neurológico en estado crítico. </w:t>
      </w:r>
      <w:proofErr w:type="spellStart"/>
      <w:r w:rsidRPr="00DB3115">
        <w:rPr>
          <w:rFonts w:ascii="Times New Roman" w:eastAsiaTheme="minorHAnsi" w:hAnsi="Times New Roman" w:cs="Times New Roman"/>
          <w:bCs/>
          <w:i/>
          <w:sz w:val="24"/>
          <w:szCs w:val="24"/>
        </w:rPr>
        <w:t>Nutr</w:t>
      </w:r>
      <w:proofErr w:type="spellEnd"/>
      <w:r w:rsidRPr="00DB3115">
        <w:rPr>
          <w:rFonts w:ascii="Times New Roman" w:eastAsiaTheme="minorHAnsi" w:hAnsi="Times New Roman" w:cs="Times New Roman"/>
          <w:bCs/>
          <w:i/>
          <w:sz w:val="24"/>
          <w:szCs w:val="24"/>
        </w:rPr>
        <w:t xml:space="preserve"> </w:t>
      </w:r>
      <w:proofErr w:type="spellStart"/>
      <w:r w:rsidRPr="00DB3115">
        <w:rPr>
          <w:rFonts w:ascii="Times New Roman" w:eastAsiaTheme="minorHAnsi" w:hAnsi="Times New Roman" w:cs="Times New Roman"/>
          <w:bCs/>
          <w:i/>
          <w:sz w:val="24"/>
          <w:szCs w:val="24"/>
        </w:rPr>
        <w:t>Hosp</w:t>
      </w:r>
      <w:proofErr w:type="spellEnd"/>
      <w:r w:rsidRPr="00DB3115">
        <w:rPr>
          <w:rFonts w:ascii="Times New Roman" w:eastAsiaTheme="minorHAnsi" w:hAnsi="Times New Roman" w:cs="Times New Roman"/>
          <w:bCs/>
          <w:i/>
          <w:sz w:val="24"/>
          <w:szCs w:val="24"/>
        </w:rPr>
        <w:t xml:space="preserve"> Suplementos,</w:t>
      </w:r>
      <w:r w:rsidRPr="00DB3115">
        <w:rPr>
          <w:rFonts w:ascii="Times New Roman" w:eastAsiaTheme="minorHAnsi" w:hAnsi="Times New Roman" w:cs="Times New Roman"/>
          <w:bCs/>
          <w:sz w:val="24"/>
          <w:szCs w:val="24"/>
        </w:rPr>
        <w:t xml:space="preserve"> </w:t>
      </w:r>
      <w:r w:rsidRPr="003F3FAF">
        <w:rPr>
          <w:rFonts w:ascii="Times New Roman" w:hAnsi="Times New Roman" w:cs="Times New Roman"/>
          <w:bCs/>
          <w:i/>
          <w:iCs/>
          <w:sz w:val="24"/>
          <w:szCs w:val="24"/>
        </w:rPr>
        <w:t>2</w:t>
      </w:r>
      <w:r w:rsidRPr="00DB3115">
        <w:rPr>
          <w:rFonts w:ascii="Times New Roman" w:eastAsiaTheme="minorHAnsi" w:hAnsi="Times New Roman" w:cs="Times New Roman"/>
          <w:bCs/>
          <w:sz w:val="24"/>
          <w:szCs w:val="24"/>
        </w:rPr>
        <w:t>(2)</w:t>
      </w:r>
      <w:r>
        <w:rPr>
          <w:rFonts w:ascii="Times New Roman" w:eastAsiaTheme="minorHAnsi" w:hAnsi="Times New Roman" w:cs="Times New Roman"/>
          <w:bCs/>
          <w:sz w:val="24"/>
          <w:szCs w:val="24"/>
        </w:rPr>
        <w:t>,</w:t>
      </w:r>
      <w:r w:rsidR="00680320">
        <w:rPr>
          <w:rFonts w:ascii="Times New Roman" w:eastAsiaTheme="minorHAnsi" w:hAnsi="Times New Roman" w:cs="Times New Roman"/>
          <w:bCs/>
          <w:sz w:val="24"/>
          <w:szCs w:val="24"/>
        </w:rPr>
        <w:t xml:space="preserve"> </w:t>
      </w:r>
      <w:r w:rsidRPr="00DB3115">
        <w:rPr>
          <w:rFonts w:ascii="Times New Roman" w:eastAsiaTheme="minorHAnsi" w:hAnsi="Times New Roman" w:cs="Times New Roman"/>
          <w:bCs/>
          <w:sz w:val="24"/>
          <w:szCs w:val="24"/>
        </w:rPr>
        <w:t>106-113.</w:t>
      </w:r>
    </w:p>
    <w:p w14:paraId="7B5FE7D3" w14:textId="0A5719E1" w:rsidR="00A6515B" w:rsidRPr="00505A5A" w:rsidRDefault="00A6515B" w:rsidP="003F3FAF">
      <w:pPr>
        <w:pStyle w:val="Prrafodelista"/>
        <w:autoSpaceDE w:val="0"/>
        <w:autoSpaceDN w:val="0"/>
        <w:adjustRightInd w:val="0"/>
        <w:spacing w:after="0" w:line="360" w:lineRule="auto"/>
        <w:ind w:left="709" w:right="49" w:hanging="567"/>
        <w:jc w:val="both"/>
      </w:pPr>
      <w:r w:rsidRPr="00DB3115">
        <w:rPr>
          <w:rFonts w:ascii="Times New Roman" w:hAnsi="Times New Roman" w:cs="Times New Roman"/>
          <w:sz w:val="24"/>
          <w:szCs w:val="24"/>
        </w:rPr>
        <w:t>García</w:t>
      </w:r>
      <w:r w:rsidR="00680320">
        <w:rPr>
          <w:rFonts w:ascii="Times New Roman" w:hAnsi="Times New Roman" w:cs="Times New Roman"/>
          <w:sz w:val="24"/>
          <w:szCs w:val="24"/>
        </w:rPr>
        <w:t>,</w:t>
      </w:r>
      <w:r w:rsidRPr="00DB3115">
        <w:rPr>
          <w:rFonts w:ascii="Times New Roman" w:hAnsi="Times New Roman" w:cs="Times New Roman"/>
          <w:sz w:val="24"/>
          <w:szCs w:val="24"/>
        </w:rPr>
        <w:t xml:space="preserve"> B.</w:t>
      </w:r>
      <w:r w:rsidR="00680320">
        <w:rPr>
          <w:rFonts w:ascii="Times New Roman" w:hAnsi="Times New Roman" w:cs="Times New Roman"/>
          <w:sz w:val="24"/>
          <w:szCs w:val="24"/>
        </w:rPr>
        <w:t xml:space="preserve"> y</w:t>
      </w:r>
      <w:r w:rsidRPr="00DB3115">
        <w:rPr>
          <w:rFonts w:ascii="Times New Roman" w:hAnsi="Times New Roman" w:cs="Times New Roman"/>
          <w:sz w:val="24"/>
          <w:szCs w:val="24"/>
        </w:rPr>
        <w:t xml:space="preserve"> Grau</w:t>
      </w:r>
      <w:r w:rsidR="00680320">
        <w:rPr>
          <w:rFonts w:ascii="Times New Roman" w:hAnsi="Times New Roman" w:cs="Times New Roman"/>
          <w:sz w:val="24"/>
          <w:szCs w:val="24"/>
        </w:rPr>
        <w:t>,</w:t>
      </w:r>
      <w:r w:rsidRPr="00DB3115">
        <w:rPr>
          <w:rFonts w:ascii="Times New Roman" w:hAnsi="Times New Roman" w:cs="Times New Roman"/>
          <w:bCs/>
          <w:sz w:val="24"/>
          <w:szCs w:val="24"/>
        </w:rPr>
        <w:t xml:space="preserve"> </w:t>
      </w:r>
      <w:r w:rsidRPr="00DB3115">
        <w:rPr>
          <w:rFonts w:ascii="Times New Roman" w:hAnsi="Times New Roman" w:cs="Times New Roman"/>
          <w:sz w:val="24"/>
          <w:szCs w:val="24"/>
        </w:rPr>
        <w:t xml:space="preserve">T. (2005). </w:t>
      </w:r>
      <w:r w:rsidRPr="00DB3115">
        <w:rPr>
          <w:rFonts w:ascii="Times New Roman" w:hAnsi="Times New Roman" w:cs="Times New Roman"/>
          <w:bCs/>
          <w:sz w:val="24"/>
          <w:szCs w:val="24"/>
        </w:rPr>
        <w:t xml:space="preserve">La nutrición enteral precoz en el enfermo grave. </w:t>
      </w:r>
      <w:r w:rsidRPr="00DB3115">
        <w:rPr>
          <w:rFonts w:ascii="Times New Roman" w:hAnsi="Times New Roman" w:cs="Times New Roman"/>
          <w:bCs/>
          <w:i/>
          <w:sz w:val="24"/>
          <w:szCs w:val="24"/>
        </w:rPr>
        <w:t>Nutrición Hospitalaria</w:t>
      </w:r>
      <w:r w:rsidR="00680320">
        <w:rPr>
          <w:rFonts w:ascii="Times New Roman" w:hAnsi="Times New Roman" w:cs="Times New Roman"/>
          <w:bCs/>
          <w:i/>
          <w:sz w:val="24"/>
          <w:szCs w:val="24"/>
        </w:rPr>
        <w:t>,</w:t>
      </w:r>
      <w:r w:rsidR="00680320" w:rsidRPr="00DB3115">
        <w:rPr>
          <w:rFonts w:ascii="Times New Roman" w:hAnsi="Times New Roman" w:cs="Times New Roman"/>
          <w:bCs/>
          <w:sz w:val="24"/>
          <w:szCs w:val="24"/>
        </w:rPr>
        <w:t xml:space="preserve"> </w:t>
      </w:r>
      <w:r w:rsidRPr="003F3FAF">
        <w:rPr>
          <w:rFonts w:ascii="Times New Roman" w:hAnsi="Times New Roman" w:cs="Times New Roman"/>
          <w:bCs/>
          <w:i/>
          <w:iCs/>
          <w:sz w:val="24"/>
          <w:szCs w:val="24"/>
        </w:rPr>
        <w:t>20</w:t>
      </w:r>
      <w:r w:rsidRPr="00DB3115">
        <w:rPr>
          <w:rFonts w:ascii="Times New Roman" w:hAnsi="Times New Roman" w:cs="Times New Roman"/>
          <w:bCs/>
          <w:sz w:val="24"/>
          <w:szCs w:val="24"/>
        </w:rPr>
        <w:t>(2)</w:t>
      </w:r>
      <w:r>
        <w:rPr>
          <w:rFonts w:ascii="Times New Roman" w:hAnsi="Times New Roman" w:cs="Times New Roman"/>
          <w:bCs/>
          <w:sz w:val="24"/>
          <w:szCs w:val="24"/>
        </w:rPr>
        <w:t>,</w:t>
      </w:r>
      <w:r w:rsidR="00680320">
        <w:rPr>
          <w:rFonts w:ascii="Times New Roman" w:hAnsi="Times New Roman" w:cs="Times New Roman"/>
          <w:bCs/>
          <w:sz w:val="24"/>
          <w:szCs w:val="24"/>
        </w:rPr>
        <w:t xml:space="preserve"> </w:t>
      </w:r>
      <w:r w:rsidRPr="00DB3115">
        <w:rPr>
          <w:rFonts w:ascii="Times New Roman" w:hAnsi="Times New Roman" w:cs="Times New Roman"/>
          <w:bCs/>
          <w:sz w:val="24"/>
          <w:szCs w:val="24"/>
        </w:rPr>
        <w:t>93-100.</w:t>
      </w:r>
    </w:p>
    <w:p w14:paraId="1C10A684" w14:textId="23726D67" w:rsidR="00A6515B" w:rsidRPr="00505A5A" w:rsidRDefault="00A6515B" w:rsidP="003F3FAF">
      <w:pPr>
        <w:pStyle w:val="Prrafodelista"/>
        <w:spacing w:after="0" w:line="360" w:lineRule="auto"/>
        <w:ind w:left="709" w:right="49" w:hanging="567"/>
        <w:jc w:val="both"/>
      </w:pPr>
      <w:r w:rsidRPr="00DB3115">
        <w:rPr>
          <w:rFonts w:ascii="Times New Roman" w:hAnsi="Times New Roman" w:cs="Times New Roman"/>
          <w:sz w:val="24"/>
          <w:szCs w:val="24"/>
        </w:rPr>
        <w:t>González</w:t>
      </w:r>
      <w:r w:rsidR="00680320">
        <w:rPr>
          <w:rFonts w:ascii="Times New Roman" w:hAnsi="Times New Roman" w:cs="Times New Roman"/>
          <w:sz w:val="24"/>
          <w:szCs w:val="24"/>
        </w:rPr>
        <w:t>,</w:t>
      </w:r>
      <w:r w:rsidRPr="00DB3115">
        <w:rPr>
          <w:rFonts w:ascii="Times New Roman" w:hAnsi="Times New Roman" w:cs="Times New Roman"/>
          <w:sz w:val="24"/>
          <w:szCs w:val="24"/>
        </w:rPr>
        <w:t xml:space="preserve"> M.</w:t>
      </w:r>
      <w:r w:rsidR="00680320">
        <w:rPr>
          <w:rFonts w:ascii="Times New Roman" w:hAnsi="Times New Roman" w:cs="Times New Roman"/>
          <w:sz w:val="24"/>
          <w:szCs w:val="24"/>
        </w:rPr>
        <w:t xml:space="preserve"> </w:t>
      </w:r>
      <w:r w:rsidRPr="00DB3115">
        <w:rPr>
          <w:rFonts w:ascii="Times New Roman" w:hAnsi="Times New Roman" w:cs="Times New Roman"/>
          <w:sz w:val="24"/>
          <w:szCs w:val="24"/>
        </w:rPr>
        <w:t>L.</w:t>
      </w:r>
      <w:r w:rsidR="00680320">
        <w:rPr>
          <w:rFonts w:ascii="Times New Roman" w:hAnsi="Times New Roman" w:cs="Times New Roman"/>
          <w:sz w:val="24"/>
          <w:szCs w:val="24"/>
        </w:rPr>
        <w:t xml:space="preserve"> y</w:t>
      </w:r>
      <w:r w:rsidRPr="00DB3115">
        <w:rPr>
          <w:rFonts w:ascii="Times New Roman" w:hAnsi="Times New Roman" w:cs="Times New Roman"/>
          <w:sz w:val="24"/>
          <w:szCs w:val="24"/>
        </w:rPr>
        <w:t xml:space="preserve"> García</w:t>
      </w:r>
      <w:r w:rsidR="00680320">
        <w:rPr>
          <w:rFonts w:ascii="Times New Roman" w:hAnsi="Times New Roman" w:cs="Times New Roman"/>
          <w:sz w:val="24"/>
          <w:szCs w:val="24"/>
        </w:rPr>
        <w:t>,</w:t>
      </w:r>
      <w:r w:rsidRPr="00DB3115">
        <w:rPr>
          <w:rFonts w:ascii="Times New Roman" w:hAnsi="Times New Roman" w:cs="Times New Roman"/>
          <w:sz w:val="24"/>
          <w:szCs w:val="24"/>
        </w:rPr>
        <w:t xml:space="preserve"> A. (2013). Traumatismo craneoencefálico. </w:t>
      </w:r>
      <w:r w:rsidRPr="00DB3115">
        <w:rPr>
          <w:rFonts w:ascii="Times New Roman" w:hAnsi="Times New Roman" w:cs="Times New Roman"/>
          <w:i/>
          <w:sz w:val="24"/>
          <w:szCs w:val="24"/>
        </w:rPr>
        <w:t>Revista Mexicana de Anestesiología</w:t>
      </w:r>
      <w:r w:rsidR="00680320">
        <w:rPr>
          <w:rFonts w:ascii="Times New Roman" w:hAnsi="Times New Roman" w:cs="Times New Roman"/>
          <w:sz w:val="24"/>
          <w:szCs w:val="24"/>
        </w:rPr>
        <w:t>,</w:t>
      </w:r>
      <w:r w:rsidR="00680320" w:rsidRPr="00DB3115">
        <w:rPr>
          <w:rFonts w:ascii="Times New Roman" w:hAnsi="Times New Roman" w:cs="Times New Roman"/>
          <w:sz w:val="24"/>
          <w:szCs w:val="24"/>
        </w:rPr>
        <w:t xml:space="preserve"> </w:t>
      </w:r>
      <w:r w:rsidRPr="003F3FAF">
        <w:rPr>
          <w:rFonts w:ascii="Times New Roman" w:hAnsi="Times New Roman" w:cs="Times New Roman"/>
          <w:i/>
          <w:iCs/>
          <w:sz w:val="24"/>
          <w:szCs w:val="24"/>
        </w:rPr>
        <w:t>36</w:t>
      </w:r>
      <w:r w:rsidRPr="00DB3115">
        <w:rPr>
          <w:rFonts w:ascii="Times New Roman" w:hAnsi="Times New Roman" w:cs="Times New Roman"/>
          <w:sz w:val="24"/>
          <w:szCs w:val="24"/>
        </w:rPr>
        <w:t>(1)</w:t>
      </w:r>
      <w:r>
        <w:rPr>
          <w:rFonts w:ascii="Times New Roman" w:hAnsi="Times New Roman" w:cs="Times New Roman"/>
          <w:sz w:val="24"/>
          <w:szCs w:val="24"/>
        </w:rPr>
        <w:t>,</w:t>
      </w:r>
      <w:r w:rsidR="00680320">
        <w:rPr>
          <w:rFonts w:ascii="Times New Roman" w:hAnsi="Times New Roman" w:cs="Times New Roman"/>
          <w:sz w:val="24"/>
          <w:szCs w:val="24"/>
        </w:rPr>
        <w:t xml:space="preserve"> </w:t>
      </w:r>
      <w:r w:rsidRPr="00DB3115">
        <w:rPr>
          <w:rFonts w:ascii="Times New Roman" w:hAnsi="Times New Roman" w:cs="Times New Roman"/>
          <w:sz w:val="24"/>
          <w:szCs w:val="24"/>
        </w:rPr>
        <w:t xml:space="preserve">186-193. </w:t>
      </w:r>
    </w:p>
    <w:p w14:paraId="77FCD969" w14:textId="08411B68" w:rsidR="00A6515B" w:rsidRPr="00505A5A" w:rsidRDefault="00A6515B" w:rsidP="003F3FAF">
      <w:pPr>
        <w:pStyle w:val="Prrafodelista"/>
        <w:spacing w:after="0" w:line="360" w:lineRule="auto"/>
        <w:ind w:left="709" w:right="49" w:hanging="567"/>
        <w:jc w:val="both"/>
      </w:pPr>
      <w:r w:rsidRPr="00DB3115">
        <w:rPr>
          <w:rFonts w:ascii="Times New Roman" w:hAnsi="Times New Roman" w:cs="Times New Roman"/>
          <w:sz w:val="24"/>
          <w:szCs w:val="24"/>
        </w:rPr>
        <w:lastRenderedPageBreak/>
        <w:t xml:space="preserve">Guzmán F. (2008). Fisiopatología del trauma craneoencefálico. </w:t>
      </w:r>
      <w:r w:rsidRPr="00DB3115">
        <w:rPr>
          <w:rFonts w:ascii="Times New Roman" w:hAnsi="Times New Roman" w:cs="Times New Roman"/>
          <w:i/>
          <w:sz w:val="24"/>
          <w:szCs w:val="24"/>
        </w:rPr>
        <w:t>Revista Colombia Médica</w:t>
      </w:r>
      <w:r w:rsidR="00680320">
        <w:rPr>
          <w:rFonts w:ascii="Times New Roman" w:hAnsi="Times New Roman" w:cs="Times New Roman"/>
          <w:sz w:val="24"/>
          <w:szCs w:val="24"/>
        </w:rPr>
        <w:t>,</w:t>
      </w:r>
      <w:r w:rsidR="00680320" w:rsidRPr="00DB3115">
        <w:rPr>
          <w:rFonts w:ascii="Times New Roman" w:hAnsi="Times New Roman" w:cs="Times New Roman"/>
          <w:sz w:val="24"/>
          <w:szCs w:val="24"/>
        </w:rPr>
        <w:t xml:space="preserve"> </w:t>
      </w:r>
      <w:r w:rsidRPr="003F3FAF">
        <w:rPr>
          <w:rFonts w:ascii="Times New Roman" w:hAnsi="Times New Roman" w:cs="Times New Roman"/>
          <w:i/>
          <w:iCs/>
          <w:sz w:val="24"/>
          <w:szCs w:val="24"/>
        </w:rPr>
        <w:t>39</w:t>
      </w:r>
      <w:r w:rsidRPr="00DB3115">
        <w:rPr>
          <w:rFonts w:ascii="Times New Roman" w:hAnsi="Times New Roman" w:cs="Times New Roman"/>
          <w:sz w:val="24"/>
          <w:szCs w:val="24"/>
        </w:rPr>
        <w:t>(3)</w:t>
      </w:r>
      <w:r>
        <w:rPr>
          <w:rFonts w:ascii="Times New Roman" w:hAnsi="Times New Roman" w:cs="Times New Roman"/>
          <w:sz w:val="24"/>
          <w:szCs w:val="24"/>
        </w:rPr>
        <w:t>,</w:t>
      </w:r>
      <w:r w:rsidR="00680320">
        <w:rPr>
          <w:rFonts w:ascii="Times New Roman" w:hAnsi="Times New Roman" w:cs="Times New Roman"/>
          <w:sz w:val="24"/>
          <w:szCs w:val="24"/>
        </w:rPr>
        <w:t xml:space="preserve"> </w:t>
      </w:r>
      <w:r w:rsidRPr="00DB3115">
        <w:rPr>
          <w:rFonts w:ascii="Times New Roman" w:hAnsi="Times New Roman" w:cs="Times New Roman"/>
          <w:sz w:val="24"/>
          <w:szCs w:val="24"/>
        </w:rPr>
        <w:t>78-84.</w:t>
      </w:r>
    </w:p>
    <w:p w14:paraId="016A324B" w14:textId="4378AD22" w:rsidR="00A6515B" w:rsidRPr="00865610" w:rsidRDefault="00680320" w:rsidP="003F3FAF">
      <w:pPr>
        <w:pStyle w:val="Prrafodelista"/>
        <w:autoSpaceDE w:val="0"/>
        <w:autoSpaceDN w:val="0"/>
        <w:adjustRightInd w:val="0"/>
        <w:spacing w:after="0" w:line="360" w:lineRule="auto"/>
        <w:ind w:left="709" w:right="49" w:hanging="567"/>
        <w:jc w:val="both"/>
        <w:rPr>
          <w:rFonts w:eastAsiaTheme="minorHAnsi"/>
          <w:lang w:val="en-US"/>
        </w:rPr>
      </w:pPr>
      <w:r w:rsidRPr="00FA03EF">
        <w:rPr>
          <w:rFonts w:ascii="Times New Roman" w:eastAsia="Times New Roman" w:hAnsi="Times New Roman" w:cs="Times New Roman"/>
          <w:sz w:val="24"/>
          <w:szCs w:val="24"/>
          <w:lang w:val="en-US"/>
        </w:rPr>
        <w:t>Helmy, A</w:t>
      </w:r>
      <w:r w:rsidR="00A6515B" w:rsidRPr="00FA03EF">
        <w:rPr>
          <w:rFonts w:ascii="Times New Roman" w:eastAsia="Times New Roman" w:hAnsi="Times New Roman" w:cs="Times New Roman"/>
          <w:sz w:val="24"/>
          <w:szCs w:val="24"/>
          <w:lang w:val="en-US"/>
        </w:rPr>
        <w:t>., </w:t>
      </w:r>
      <w:proofErr w:type="spellStart"/>
      <w:r w:rsidR="00865610">
        <w:fldChar w:fldCharType="begin"/>
      </w:r>
      <w:r w:rsidR="00865610" w:rsidRPr="00FA03EF">
        <w:rPr>
          <w:lang w:val="en-US"/>
        </w:rPr>
        <w:instrText xml:space="preserve"> HYPERLINK "http://www.ncbi.nlm.nih.gov/pubmed?term=Vizcaychipi%20M%5BAuthor%5D&amp;cauthor=true&amp;cauthor_uid=17556349" </w:instrText>
      </w:r>
      <w:r w:rsidR="00865610">
        <w:fldChar w:fldCharType="separate"/>
      </w:r>
      <w:r w:rsidR="00A6515B" w:rsidRPr="00FA03EF">
        <w:rPr>
          <w:rFonts w:ascii="Times New Roman" w:eastAsia="Times New Roman" w:hAnsi="Times New Roman" w:cs="Times New Roman"/>
          <w:sz w:val="24"/>
          <w:szCs w:val="24"/>
          <w:lang w:val="en-US"/>
        </w:rPr>
        <w:t>Vizcaychipi</w:t>
      </w:r>
      <w:proofErr w:type="spellEnd"/>
      <w:r w:rsidRPr="00FA03EF">
        <w:rPr>
          <w:rFonts w:ascii="Times New Roman" w:eastAsia="Times New Roman" w:hAnsi="Times New Roman" w:cs="Times New Roman"/>
          <w:sz w:val="24"/>
          <w:szCs w:val="24"/>
          <w:lang w:val="en-US"/>
        </w:rPr>
        <w:t>,</w:t>
      </w:r>
      <w:r w:rsidR="00A6515B" w:rsidRPr="00FA03EF">
        <w:rPr>
          <w:rFonts w:ascii="Times New Roman" w:eastAsia="Times New Roman" w:hAnsi="Times New Roman" w:cs="Times New Roman"/>
          <w:sz w:val="24"/>
          <w:szCs w:val="24"/>
          <w:lang w:val="en-US"/>
        </w:rPr>
        <w:t xml:space="preserve"> M</w:t>
      </w:r>
      <w:r w:rsidR="00865610">
        <w:rPr>
          <w:rFonts w:ascii="Times New Roman" w:eastAsia="Times New Roman" w:hAnsi="Times New Roman" w:cs="Times New Roman"/>
          <w:sz w:val="24"/>
          <w:szCs w:val="24"/>
        </w:rPr>
        <w:fldChar w:fldCharType="end"/>
      </w:r>
      <w:r w:rsidR="00A6515B" w:rsidRPr="00FA03EF">
        <w:rPr>
          <w:rFonts w:ascii="Times New Roman" w:eastAsia="Times New Roman" w:hAnsi="Times New Roman" w:cs="Times New Roman"/>
          <w:sz w:val="24"/>
          <w:szCs w:val="24"/>
          <w:lang w:val="en-US"/>
        </w:rPr>
        <w:t>.</w:t>
      </w:r>
      <w:r w:rsidRPr="00FA03EF">
        <w:rPr>
          <w:rFonts w:ascii="Times New Roman" w:eastAsia="Times New Roman" w:hAnsi="Times New Roman" w:cs="Times New Roman"/>
          <w:sz w:val="24"/>
          <w:szCs w:val="24"/>
          <w:lang w:val="en-US"/>
        </w:rPr>
        <w:t xml:space="preserve"> and</w:t>
      </w:r>
      <w:r w:rsidR="00A6515B" w:rsidRPr="00FA03EF">
        <w:rPr>
          <w:rFonts w:ascii="Times New Roman" w:hAnsi="Times New Roman" w:cs="Times New Roman"/>
          <w:sz w:val="24"/>
          <w:szCs w:val="24"/>
          <w:lang w:val="en-US"/>
        </w:rPr>
        <w:t xml:space="preserve"> </w:t>
      </w:r>
      <w:hyperlink r:id="rId12" w:history="1">
        <w:r w:rsidR="00A6515B" w:rsidRPr="00FA03EF">
          <w:rPr>
            <w:rFonts w:ascii="Times New Roman" w:eastAsia="Times New Roman" w:hAnsi="Times New Roman" w:cs="Times New Roman"/>
            <w:sz w:val="24"/>
            <w:szCs w:val="24"/>
            <w:lang w:val="en-US"/>
          </w:rPr>
          <w:t>Gupta</w:t>
        </w:r>
        <w:r w:rsidRPr="00FA03EF">
          <w:rPr>
            <w:rFonts w:ascii="Times New Roman" w:eastAsia="Times New Roman" w:hAnsi="Times New Roman" w:cs="Times New Roman"/>
            <w:sz w:val="24"/>
            <w:szCs w:val="24"/>
            <w:lang w:val="en-US"/>
          </w:rPr>
          <w:t>,</w:t>
        </w:r>
        <w:r w:rsidR="00A6515B" w:rsidRPr="00FA03EF">
          <w:rPr>
            <w:rFonts w:ascii="Times New Roman" w:eastAsia="Times New Roman" w:hAnsi="Times New Roman" w:cs="Times New Roman"/>
            <w:sz w:val="24"/>
            <w:szCs w:val="24"/>
            <w:lang w:val="en-US"/>
          </w:rPr>
          <w:t xml:space="preserve"> A</w:t>
        </w:r>
        <w:r w:rsidRPr="00FA03EF">
          <w:rPr>
            <w:rFonts w:ascii="Times New Roman" w:eastAsia="Times New Roman" w:hAnsi="Times New Roman" w:cs="Times New Roman"/>
            <w:sz w:val="24"/>
            <w:szCs w:val="24"/>
            <w:lang w:val="en-US"/>
          </w:rPr>
          <w:t xml:space="preserve">. </w:t>
        </w:r>
        <w:r w:rsidR="00A6515B" w:rsidRPr="00FA03EF">
          <w:rPr>
            <w:rFonts w:ascii="Times New Roman" w:eastAsia="Times New Roman" w:hAnsi="Times New Roman" w:cs="Times New Roman"/>
            <w:sz w:val="24"/>
            <w:szCs w:val="24"/>
            <w:lang w:val="en-US"/>
          </w:rPr>
          <w:t>K</w:t>
        </w:r>
      </w:hyperlink>
      <w:r w:rsidR="00A6515B" w:rsidRPr="00FA03EF">
        <w:rPr>
          <w:rFonts w:ascii="Times New Roman" w:eastAsia="Times New Roman" w:hAnsi="Times New Roman" w:cs="Times New Roman"/>
          <w:sz w:val="24"/>
          <w:szCs w:val="24"/>
          <w:lang w:val="en-US"/>
        </w:rPr>
        <w:t>.</w:t>
      </w:r>
      <w:r w:rsidRPr="00FA03EF">
        <w:rPr>
          <w:rFonts w:ascii="Times New Roman" w:eastAsia="Times New Roman" w:hAnsi="Times New Roman" w:cs="Times New Roman"/>
          <w:sz w:val="24"/>
          <w:szCs w:val="24"/>
          <w:lang w:val="en-US"/>
        </w:rPr>
        <w:t xml:space="preserve"> </w:t>
      </w:r>
      <w:r w:rsidR="00A6515B" w:rsidRPr="00865610">
        <w:rPr>
          <w:rFonts w:ascii="Times New Roman" w:eastAsia="Times New Roman" w:hAnsi="Times New Roman" w:cs="Times New Roman"/>
          <w:sz w:val="24"/>
          <w:szCs w:val="24"/>
          <w:lang w:val="en-US"/>
        </w:rPr>
        <w:t xml:space="preserve">(2007). </w:t>
      </w:r>
      <w:r w:rsidR="00A6515B" w:rsidRPr="00DB3115">
        <w:rPr>
          <w:rFonts w:ascii="Times New Roman" w:eastAsia="Times New Roman" w:hAnsi="Times New Roman" w:cs="Times New Roman"/>
          <w:bCs/>
          <w:kern w:val="36"/>
          <w:sz w:val="24"/>
          <w:szCs w:val="24"/>
          <w:lang w:val="en-US"/>
        </w:rPr>
        <w:t>Traumatic brain injury: intensive care management.</w:t>
      </w:r>
      <w:r w:rsidR="00A6515B" w:rsidRPr="00DB3115">
        <w:rPr>
          <w:rFonts w:ascii="Times New Roman" w:eastAsia="Times New Roman" w:hAnsi="Times New Roman" w:cs="Times New Roman"/>
          <w:sz w:val="24"/>
          <w:szCs w:val="24"/>
          <w:lang w:val="en-US"/>
        </w:rPr>
        <w:t xml:space="preserve"> </w:t>
      </w:r>
      <w:r w:rsidR="00A6515B" w:rsidRPr="00865610">
        <w:rPr>
          <w:rFonts w:ascii="Times New Roman" w:eastAsia="Times New Roman" w:hAnsi="Times New Roman" w:cs="Times New Roman"/>
          <w:i/>
          <w:sz w:val="24"/>
          <w:szCs w:val="24"/>
          <w:lang w:val="en-US"/>
        </w:rPr>
        <w:t xml:space="preserve">Br J </w:t>
      </w:r>
      <w:proofErr w:type="spellStart"/>
      <w:r w:rsidR="00A6515B" w:rsidRPr="00865610">
        <w:rPr>
          <w:rFonts w:ascii="Times New Roman" w:eastAsia="Times New Roman" w:hAnsi="Times New Roman" w:cs="Times New Roman"/>
          <w:i/>
          <w:sz w:val="24"/>
          <w:szCs w:val="24"/>
          <w:lang w:val="en-US"/>
        </w:rPr>
        <w:t>Anaesth</w:t>
      </w:r>
      <w:proofErr w:type="spellEnd"/>
      <w:r w:rsidRPr="00865610">
        <w:rPr>
          <w:rFonts w:ascii="Times New Roman" w:eastAsia="Times New Roman" w:hAnsi="Times New Roman" w:cs="Times New Roman"/>
          <w:sz w:val="24"/>
          <w:szCs w:val="24"/>
          <w:lang w:val="en-US"/>
        </w:rPr>
        <w:t xml:space="preserve">, </w:t>
      </w:r>
      <w:r w:rsidR="00A6515B" w:rsidRPr="00865610">
        <w:rPr>
          <w:rFonts w:ascii="Times New Roman" w:eastAsia="Times New Roman" w:hAnsi="Times New Roman" w:cs="Times New Roman"/>
          <w:sz w:val="24"/>
          <w:szCs w:val="24"/>
          <w:lang w:val="en-US"/>
        </w:rPr>
        <w:t>99(1),</w:t>
      </w:r>
      <w:r w:rsidRPr="00865610">
        <w:rPr>
          <w:rFonts w:ascii="Times New Roman" w:eastAsia="Times New Roman" w:hAnsi="Times New Roman" w:cs="Times New Roman"/>
          <w:sz w:val="24"/>
          <w:szCs w:val="24"/>
          <w:lang w:val="en-US"/>
        </w:rPr>
        <w:t xml:space="preserve"> </w:t>
      </w:r>
      <w:r w:rsidR="00A6515B" w:rsidRPr="00865610">
        <w:rPr>
          <w:rFonts w:ascii="Times New Roman" w:eastAsia="Times New Roman" w:hAnsi="Times New Roman" w:cs="Times New Roman"/>
          <w:sz w:val="24"/>
          <w:szCs w:val="24"/>
          <w:lang w:val="en-US"/>
        </w:rPr>
        <w:t>32-42.</w:t>
      </w:r>
    </w:p>
    <w:p w14:paraId="503C2E99" w14:textId="694CFAB5" w:rsidR="00A6515B" w:rsidRPr="00505A5A" w:rsidRDefault="00A6515B" w:rsidP="003F3FAF">
      <w:pPr>
        <w:pStyle w:val="Prrafodelista"/>
        <w:autoSpaceDE w:val="0"/>
        <w:autoSpaceDN w:val="0"/>
        <w:adjustRightInd w:val="0"/>
        <w:spacing w:after="0" w:line="360" w:lineRule="auto"/>
        <w:ind w:left="709" w:right="49" w:hanging="567"/>
        <w:jc w:val="both"/>
        <w:rPr>
          <w:rFonts w:eastAsiaTheme="minorHAnsi"/>
          <w:lang w:val="en-US"/>
        </w:rPr>
      </w:pPr>
      <w:r w:rsidRPr="00865610">
        <w:rPr>
          <w:rFonts w:ascii="Times New Roman" w:eastAsiaTheme="minorHAnsi" w:hAnsi="Times New Roman" w:cs="Times New Roman"/>
          <w:iCs/>
          <w:sz w:val="24"/>
          <w:szCs w:val="24"/>
          <w:lang w:val="en-US"/>
        </w:rPr>
        <w:t>Hernández</w:t>
      </w:r>
      <w:r w:rsidR="00680320" w:rsidRPr="00865610">
        <w:rPr>
          <w:rFonts w:ascii="Times New Roman" w:eastAsiaTheme="minorHAnsi" w:hAnsi="Times New Roman" w:cs="Times New Roman"/>
          <w:iCs/>
          <w:sz w:val="24"/>
          <w:szCs w:val="24"/>
          <w:lang w:val="en-US"/>
        </w:rPr>
        <w:t>,</w:t>
      </w:r>
      <w:r w:rsidRPr="00865610">
        <w:rPr>
          <w:rFonts w:ascii="Times New Roman" w:eastAsiaTheme="minorHAnsi" w:hAnsi="Times New Roman" w:cs="Times New Roman"/>
          <w:iCs/>
          <w:sz w:val="24"/>
          <w:szCs w:val="24"/>
          <w:lang w:val="en-US"/>
        </w:rPr>
        <w:t xml:space="preserve"> W.</w:t>
      </w:r>
      <w:r w:rsidR="00680320" w:rsidRPr="00865610">
        <w:rPr>
          <w:rFonts w:ascii="Times New Roman" w:eastAsiaTheme="minorHAnsi" w:hAnsi="Times New Roman" w:cs="Times New Roman"/>
          <w:iCs/>
          <w:sz w:val="24"/>
          <w:szCs w:val="24"/>
          <w:lang w:val="en-US"/>
        </w:rPr>
        <w:t xml:space="preserve"> and</w:t>
      </w:r>
      <w:r w:rsidRPr="00865610">
        <w:rPr>
          <w:rFonts w:ascii="Times New Roman" w:hAnsi="Times New Roman" w:cs="Times New Roman"/>
          <w:sz w:val="24"/>
          <w:szCs w:val="24"/>
          <w:lang w:val="en-US"/>
        </w:rPr>
        <w:t xml:space="preserve"> </w:t>
      </w:r>
      <w:r w:rsidRPr="00865610">
        <w:rPr>
          <w:rFonts w:ascii="Times New Roman" w:eastAsiaTheme="minorHAnsi" w:hAnsi="Times New Roman" w:cs="Times New Roman"/>
          <w:iCs/>
          <w:sz w:val="24"/>
          <w:szCs w:val="24"/>
          <w:lang w:val="en-US"/>
        </w:rPr>
        <w:t>Chávez</w:t>
      </w:r>
      <w:r w:rsidR="00680320" w:rsidRPr="00865610">
        <w:rPr>
          <w:rFonts w:ascii="Times New Roman" w:eastAsiaTheme="minorHAnsi" w:hAnsi="Times New Roman" w:cs="Times New Roman"/>
          <w:iCs/>
          <w:sz w:val="24"/>
          <w:szCs w:val="24"/>
          <w:lang w:val="en-US"/>
        </w:rPr>
        <w:t>,</w:t>
      </w:r>
      <w:r w:rsidRPr="00865610">
        <w:rPr>
          <w:rFonts w:ascii="Times New Roman" w:eastAsiaTheme="minorHAnsi" w:hAnsi="Times New Roman" w:cs="Times New Roman"/>
          <w:iCs/>
          <w:sz w:val="24"/>
          <w:szCs w:val="24"/>
          <w:lang w:val="en-US"/>
        </w:rPr>
        <w:t xml:space="preserve"> E.</w:t>
      </w:r>
      <w:r w:rsidRPr="00865610">
        <w:rPr>
          <w:rFonts w:ascii="Times New Roman" w:eastAsiaTheme="minorHAnsi" w:hAnsi="Times New Roman" w:cs="Times New Roman"/>
          <w:sz w:val="24"/>
          <w:szCs w:val="24"/>
          <w:lang w:val="en-US"/>
        </w:rPr>
        <w:t xml:space="preserve"> (2008). </w:t>
      </w:r>
      <w:r w:rsidRPr="00DB3115">
        <w:rPr>
          <w:rFonts w:ascii="Times New Roman" w:eastAsiaTheme="minorHAnsi" w:hAnsi="Times New Roman" w:cs="Times New Roman"/>
          <w:bCs/>
          <w:sz w:val="24"/>
          <w:szCs w:val="24"/>
        </w:rPr>
        <w:t xml:space="preserve">Nutrición enteral precoz en el paciente con lesiones complejas. </w:t>
      </w:r>
      <w:r w:rsidRPr="00A6515B">
        <w:rPr>
          <w:rFonts w:ascii="Times New Roman" w:eastAsiaTheme="minorHAnsi" w:hAnsi="Times New Roman" w:cs="Times New Roman"/>
          <w:i/>
          <w:sz w:val="24"/>
          <w:szCs w:val="24"/>
          <w:lang w:val="en-US"/>
        </w:rPr>
        <w:t xml:space="preserve">Rev Cub Aliment </w:t>
      </w:r>
      <w:proofErr w:type="spellStart"/>
      <w:r w:rsidRPr="00A6515B">
        <w:rPr>
          <w:rFonts w:ascii="Times New Roman" w:eastAsiaTheme="minorHAnsi" w:hAnsi="Times New Roman" w:cs="Times New Roman"/>
          <w:i/>
          <w:sz w:val="24"/>
          <w:szCs w:val="24"/>
          <w:lang w:val="en-US"/>
        </w:rPr>
        <w:t>Nutr</w:t>
      </w:r>
      <w:proofErr w:type="spellEnd"/>
      <w:r w:rsidR="00680320">
        <w:rPr>
          <w:rFonts w:ascii="Times New Roman" w:eastAsiaTheme="minorHAnsi" w:hAnsi="Times New Roman" w:cs="Times New Roman"/>
          <w:sz w:val="24"/>
          <w:szCs w:val="24"/>
          <w:lang w:val="en-US"/>
        </w:rPr>
        <w:t>,</w:t>
      </w:r>
      <w:r w:rsidR="00680320" w:rsidRPr="00A6515B">
        <w:rPr>
          <w:rFonts w:ascii="Times New Roman" w:eastAsiaTheme="minorHAnsi" w:hAnsi="Times New Roman" w:cs="Times New Roman"/>
          <w:sz w:val="24"/>
          <w:szCs w:val="24"/>
          <w:lang w:val="en-US"/>
        </w:rPr>
        <w:t xml:space="preserve"> </w:t>
      </w:r>
      <w:r w:rsidRPr="00A6515B">
        <w:rPr>
          <w:rFonts w:ascii="Times New Roman" w:eastAsiaTheme="minorHAnsi" w:hAnsi="Times New Roman" w:cs="Times New Roman"/>
          <w:sz w:val="24"/>
          <w:szCs w:val="24"/>
          <w:lang w:val="en-US"/>
        </w:rPr>
        <w:t>18(2),</w:t>
      </w:r>
      <w:r w:rsidR="00680320">
        <w:rPr>
          <w:rFonts w:ascii="Times New Roman" w:eastAsiaTheme="minorHAnsi" w:hAnsi="Times New Roman" w:cs="Times New Roman"/>
          <w:sz w:val="24"/>
          <w:szCs w:val="24"/>
          <w:lang w:val="en-US"/>
        </w:rPr>
        <w:t xml:space="preserve"> </w:t>
      </w:r>
      <w:r w:rsidRPr="00A6515B">
        <w:rPr>
          <w:rFonts w:ascii="Times New Roman" w:eastAsiaTheme="minorHAnsi" w:hAnsi="Times New Roman" w:cs="Times New Roman"/>
          <w:sz w:val="24"/>
          <w:szCs w:val="24"/>
          <w:lang w:val="en-US"/>
        </w:rPr>
        <w:t>265-276.</w:t>
      </w:r>
    </w:p>
    <w:p w14:paraId="05E229A7" w14:textId="0D538B98" w:rsidR="00A6515B" w:rsidRPr="003F3FAF" w:rsidRDefault="00A6515B" w:rsidP="003F3FAF">
      <w:pPr>
        <w:pStyle w:val="Prrafodelista"/>
        <w:autoSpaceDE w:val="0"/>
        <w:autoSpaceDN w:val="0"/>
        <w:adjustRightInd w:val="0"/>
        <w:spacing w:after="0" w:line="360" w:lineRule="auto"/>
        <w:ind w:left="709" w:right="49" w:hanging="567"/>
        <w:jc w:val="both"/>
        <w:rPr>
          <w:rFonts w:eastAsiaTheme="minorHAnsi"/>
          <w:lang w:val="en-US"/>
        </w:rPr>
      </w:pPr>
      <w:r w:rsidRPr="00DB3115">
        <w:rPr>
          <w:rFonts w:ascii="Times New Roman" w:hAnsi="Times New Roman" w:cs="Times New Roman"/>
          <w:sz w:val="24"/>
          <w:szCs w:val="24"/>
          <w:shd w:val="clear" w:color="auto" w:fill="FFFFFF"/>
          <w:lang w:val="en-US"/>
        </w:rPr>
        <w:t>Jacobs</w:t>
      </w:r>
      <w:r w:rsidR="00C65158">
        <w:rPr>
          <w:rFonts w:ascii="Times New Roman" w:hAnsi="Times New Roman" w:cs="Times New Roman"/>
          <w:sz w:val="24"/>
          <w:szCs w:val="24"/>
          <w:shd w:val="clear" w:color="auto" w:fill="FFFFFF"/>
          <w:lang w:val="en-US"/>
        </w:rPr>
        <w:t>,</w:t>
      </w:r>
      <w:r w:rsidRPr="00DB3115">
        <w:rPr>
          <w:rFonts w:ascii="Times New Roman" w:hAnsi="Times New Roman" w:cs="Times New Roman"/>
          <w:sz w:val="24"/>
          <w:szCs w:val="24"/>
          <w:shd w:val="clear" w:color="auto" w:fill="FFFFFF"/>
          <w:lang w:val="en-US"/>
        </w:rPr>
        <w:t xml:space="preserve"> </w:t>
      </w:r>
      <w:r w:rsidR="00C65158" w:rsidRPr="00DB3115">
        <w:rPr>
          <w:rFonts w:ascii="Times New Roman" w:hAnsi="Times New Roman" w:cs="Times New Roman"/>
          <w:sz w:val="24"/>
          <w:szCs w:val="24"/>
          <w:shd w:val="clear" w:color="auto" w:fill="FFFFFF"/>
          <w:lang w:val="en-US"/>
        </w:rPr>
        <w:t>D</w:t>
      </w:r>
      <w:r w:rsidR="00C65158">
        <w:rPr>
          <w:rFonts w:ascii="Times New Roman" w:hAnsi="Times New Roman" w:cs="Times New Roman"/>
          <w:sz w:val="24"/>
          <w:szCs w:val="24"/>
          <w:shd w:val="clear" w:color="auto" w:fill="FFFFFF"/>
          <w:lang w:val="en-US"/>
        </w:rPr>
        <w:t xml:space="preserve">. </w:t>
      </w:r>
      <w:r w:rsidRPr="00DB3115">
        <w:rPr>
          <w:rFonts w:ascii="Times New Roman" w:hAnsi="Times New Roman" w:cs="Times New Roman"/>
          <w:sz w:val="24"/>
          <w:szCs w:val="24"/>
          <w:shd w:val="clear" w:color="auto" w:fill="FFFFFF"/>
          <w:lang w:val="en-US"/>
        </w:rPr>
        <w:t>G., Jacobs</w:t>
      </w:r>
      <w:r w:rsidR="00C65158">
        <w:rPr>
          <w:rFonts w:ascii="Times New Roman" w:hAnsi="Times New Roman" w:cs="Times New Roman"/>
          <w:sz w:val="24"/>
          <w:szCs w:val="24"/>
          <w:shd w:val="clear" w:color="auto" w:fill="FFFFFF"/>
          <w:lang w:val="en-US"/>
        </w:rPr>
        <w:t>,</w:t>
      </w:r>
      <w:r w:rsidRPr="00DB3115">
        <w:rPr>
          <w:rFonts w:ascii="Times New Roman" w:hAnsi="Times New Roman" w:cs="Times New Roman"/>
          <w:sz w:val="24"/>
          <w:szCs w:val="24"/>
          <w:shd w:val="clear" w:color="auto" w:fill="FFFFFF"/>
          <w:lang w:val="en-US"/>
        </w:rPr>
        <w:t xml:space="preserve"> </w:t>
      </w:r>
      <w:r w:rsidR="00C65158" w:rsidRPr="00DB3115">
        <w:rPr>
          <w:rFonts w:ascii="Times New Roman" w:hAnsi="Times New Roman" w:cs="Times New Roman"/>
          <w:sz w:val="24"/>
          <w:szCs w:val="24"/>
          <w:shd w:val="clear" w:color="auto" w:fill="FFFFFF"/>
          <w:lang w:val="en-US"/>
        </w:rPr>
        <w:t>D</w:t>
      </w:r>
      <w:r w:rsidR="00C65158">
        <w:rPr>
          <w:rFonts w:ascii="Times New Roman" w:hAnsi="Times New Roman" w:cs="Times New Roman"/>
          <w:sz w:val="24"/>
          <w:szCs w:val="24"/>
          <w:shd w:val="clear" w:color="auto" w:fill="FFFFFF"/>
          <w:lang w:val="en-US"/>
        </w:rPr>
        <w:t>.</w:t>
      </w:r>
      <w:r w:rsidR="00C65158" w:rsidRPr="00DB3115">
        <w:rPr>
          <w:rFonts w:ascii="Times New Roman" w:hAnsi="Times New Roman" w:cs="Times New Roman"/>
          <w:sz w:val="24"/>
          <w:szCs w:val="24"/>
          <w:shd w:val="clear" w:color="auto" w:fill="FFFFFF"/>
          <w:lang w:val="en-US"/>
        </w:rPr>
        <w:t xml:space="preserve"> </w:t>
      </w:r>
      <w:r w:rsidRPr="00DB3115">
        <w:rPr>
          <w:rFonts w:ascii="Times New Roman" w:hAnsi="Times New Roman" w:cs="Times New Roman"/>
          <w:sz w:val="24"/>
          <w:szCs w:val="24"/>
          <w:shd w:val="clear" w:color="auto" w:fill="FFFFFF"/>
          <w:lang w:val="en-US"/>
        </w:rPr>
        <w:t xml:space="preserve">O., </w:t>
      </w:r>
      <w:proofErr w:type="spellStart"/>
      <w:r w:rsidRPr="00DB3115">
        <w:rPr>
          <w:rFonts w:ascii="Times New Roman" w:hAnsi="Times New Roman" w:cs="Times New Roman"/>
          <w:sz w:val="24"/>
          <w:szCs w:val="24"/>
          <w:shd w:val="clear" w:color="auto" w:fill="FFFFFF"/>
          <w:lang w:val="en-US"/>
        </w:rPr>
        <w:t>Kudsk</w:t>
      </w:r>
      <w:proofErr w:type="spellEnd"/>
      <w:r w:rsidR="00C65158">
        <w:rPr>
          <w:rFonts w:ascii="Times New Roman" w:hAnsi="Times New Roman" w:cs="Times New Roman"/>
          <w:sz w:val="24"/>
          <w:szCs w:val="24"/>
          <w:shd w:val="clear" w:color="auto" w:fill="FFFFFF"/>
          <w:lang w:val="en-US"/>
        </w:rPr>
        <w:t>,</w:t>
      </w:r>
      <w:r w:rsidRPr="00DB3115">
        <w:rPr>
          <w:rFonts w:ascii="Times New Roman" w:hAnsi="Times New Roman" w:cs="Times New Roman"/>
          <w:sz w:val="24"/>
          <w:szCs w:val="24"/>
          <w:shd w:val="clear" w:color="auto" w:fill="FFFFFF"/>
          <w:lang w:val="en-US"/>
        </w:rPr>
        <w:t xml:space="preserve"> </w:t>
      </w:r>
      <w:r w:rsidR="00C65158" w:rsidRPr="00DB3115">
        <w:rPr>
          <w:rFonts w:ascii="Times New Roman" w:hAnsi="Times New Roman" w:cs="Times New Roman"/>
          <w:sz w:val="24"/>
          <w:szCs w:val="24"/>
          <w:shd w:val="clear" w:color="auto" w:fill="FFFFFF"/>
          <w:lang w:val="en-US"/>
        </w:rPr>
        <w:t>K</w:t>
      </w:r>
      <w:r w:rsidR="00C65158">
        <w:rPr>
          <w:rFonts w:ascii="Times New Roman" w:hAnsi="Times New Roman" w:cs="Times New Roman"/>
          <w:sz w:val="24"/>
          <w:szCs w:val="24"/>
          <w:shd w:val="clear" w:color="auto" w:fill="FFFFFF"/>
          <w:lang w:val="en-US"/>
        </w:rPr>
        <w:t>.</w:t>
      </w:r>
      <w:r w:rsidR="00C65158" w:rsidRPr="00DB3115">
        <w:rPr>
          <w:rFonts w:ascii="Times New Roman" w:hAnsi="Times New Roman" w:cs="Times New Roman"/>
          <w:sz w:val="24"/>
          <w:szCs w:val="24"/>
          <w:shd w:val="clear" w:color="auto" w:fill="FFFFFF"/>
          <w:lang w:val="en-US"/>
        </w:rPr>
        <w:t xml:space="preserve"> </w:t>
      </w:r>
      <w:r w:rsidRPr="00DB3115">
        <w:rPr>
          <w:rFonts w:ascii="Times New Roman" w:hAnsi="Times New Roman" w:cs="Times New Roman"/>
          <w:sz w:val="24"/>
          <w:szCs w:val="24"/>
          <w:shd w:val="clear" w:color="auto" w:fill="FFFFFF"/>
          <w:lang w:val="en-US"/>
        </w:rPr>
        <w:t>A., Moore</w:t>
      </w:r>
      <w:r w:rsidR="00C65158">
        <w:rPr>
          <w:rFonts w:ascii="Times New Roman" w:hAnsi="Times New Roman" w:cs="Times New Roman"/>
          <w:sz w:val="24"/>
          <w:szCs w:val="24"/>
          <w:shd w:val="clear" w:color="auto" w:fill="FFFFFF"/>
          <w:lang w:val="en-US"/>
        </w:rPr>
        <w:t>,</w:t>
      </w:r>
      <w:r w:rsidRPr="00DB3115">
        <w:rPr>
          <w:rFonts w:ascii="Times New Roman" w:hAnsi="Times New Roman" w:cs="Times New Roman"/>
          <w:sz w:val="24"/>
          <w:szCs w:val="24"/>
          <w:shd w:val="clear" w:color="auto" w:fill="FFFFFF"/>
          <w:lang w:val="en-US"/>
        </w:rPr>
        <w:t xml:space="preserve"> </w:t>
      </w:r>
      <w:r w:rsidR="00C65158" w:rsidRPr="00DB3115">
        <w:rPr>
          <w:rFonts w:ascii="Times New Roman" w:hAnsi="Times New Roman" w:cs="Times New Roman"/>
          <w:sz w:val="24"/>
          <w:szCs w:val="24"/>
          <w:shd w:val="clear" w:color="auto" w:fill="FFFFFF"/>
          <w:lang w:val="en-US"/>
        </w:rPr>
        <w:t>F</w:t>
      </w:r>
      <w:r w:rsidR="00C65158">
        <w:rPr>
          <w:rFonts w:ascii="Times New Roman" w:hAnsi="Times New Roman" w:cs="Times New Roman"/>
          <w:sz w:val="24"/>
          <w:szCs w:val="24"/>
          <w:shd w:val="clear" w:color="auto" w:fill="FFFFFF"/>
          <w:lang w:val="en-US"/>
        </w:rPr>
        <w:t>.</w:t>
      </w:r>
      <w:r w:rsidR="00C65158" w:rsidRPr="00DB3115">
        <w:rPr>
          <w:rFonts w:ascii="Times New Roman" w:hAnsi="Times New Roman" w:cs="Times New Roman"/>
          <w:sz w:val="24"/>
          <w:szCs w:val="24"/>
          <w:shd w:val="clear" w:color="auto" w:fill="FFFFFF"/>
          <w:lang w:val="en-US"/>
        </w:rPr>
        <w:t xml:space="preserve"> </w:t>
      </w:r>
      <w:r w:rsidRPr="00DB3115">
        <w:rPr>
          <w:rFonts w:ascii="Times New Roman" w:hAnsi="Times New Roman" w:cs="Times New Roman"/>
          <w:sz w:val="24"/>
          <w:szCs w:val="24"/>
          <w:shd w:val="clear" w:color="auto" w:fill="FFFFFF"/>
          <w:lang w:val="en-US"/>
        </w:rPr>
        <w:t xml:space="preserve">A., </w:t>
      </w:r>
      <w:proofErr w:type="spellStart"/>
      <w:r w:rsidRPr="00DB3115">
        <w:rPr>
          <w:rFonts w:ascii="Times New Roman" w:hAnsi="Times New Roman" w:cs="Times New Roman"/>
          <w:sz w:val="24"/>
          <w:szCs w:val="24"/>
          <w:shd w:val="clear" w:color="auto" w:fill="FFFFFF"/>
          <w:lang w:val="en-US"/>
        </w:rPr>
        <w:t>Oswanski</w:t>
      </w:r>
      <w:proofErr w:type="spellEnd"/>
      <w:r w:rsidR="00C65158">
        <w:rPr>
          <w:rFonts w:ascii="Times New Roman" w:hAnsi="Times New Roman" w:cs="Times New Roman"/>
          <w:sz w:val="24"/>
          <w:szCs w:val="24"/>
          <w:shd w:val="clear" w:color="auto" w:fill="FFFFFF"/>
          <w:lang w:val="en-US"/>
        </w:rPr>
        <w:t>,</w:t>
      </w:r>
      <w:r w:rsidRPr="00DB3115">
        <w:rPr>
          <w:rFonts w:ascii="Times New Roman" w:hAnsi="Times New Roman" w:cs="Times New Roman"/>
          <w:sz w:val="24"/>
          <w:szCs w:val="24"/>
          <w:shd w:val="clear" w:color="auto" w:fill="FFFFFF"/>
          <w:lang w:val="en-US"/>
        </w:rPr>
        <w:t xml:space="preserve"> </w:t>
      </w:r>
      <w:r w:rsidR="00C65158" w:rsidRPr="00DB3115">
        <w:rPr>
          <w:rFonts w:ascii="Times New Roman" w:hAnsi="Times New Roman" w:cs="Times New Roman"/>
          <w:sz w:val="24"/>
          <w:szCs w:val="24"/>
          <w:shd w:val="clear" w:color="auto" w:fill="FFFFFF"/>
          <w:lang w:val="en-US"/>
        </w:rPr>
        <w:t>M</w:t>
      </w:r>
      <w:r w:rsidR="00C65158">
        <w:rPr>
          <w:rFonts w:ascii="Times New Roman" w:hAnsi="Times New Roman" w:cs="Times New Roman"/>
          <w:sz w:val="24"/>
          <w:szCs w:val="24"/>
          <w:shd w:val="clear" w:color="auto" w:fill="FFFFFF"/>
          <w:lang w:val="en-US"/>
        </w:rPr>
        <w:t>.</w:t>
      </w:r>
      <w:r w:rsidR="00C65158" w:rsidRPr="00DB3115">
        <w:rPr>
          <w:rFonts w:ascii="Times New Roman" w:hAnsi="Times New Roman" w:cs="Times New Roman"/>
          <w:sz w:val="24"/>
          <w:szCs w:val="24"/>
          <w:shd w:val="clear" w:color="auto" w:fill="FFFFFF"/>
          <w:lang w:val="en-US"/>
        </w:rPr>
        <w:t xml:space="preserve"> </w:t>
      </w:r>
      <w:r w:rsidRPr="00DB3115">
        <w:rPr>
          <w:rFonts w:ascii="Times New Roman" w:hAnsi="Times New Roman" w:cs="Times New Roman"/>
          <w:sz w:val="24"/>
          <w:szCs w:val="24"/>
          <w:shd w:val="clear" w:color="auto" w:fill="FFFFFF"/>
          <w:lang w:val="en-US"/>
        </w:rPr>
        <w:t>F., Poole</w:t>
      </w:r>
      <w:r w:rsidR="00C65158">
        <w:rPr>
          <w:rFonts w:ascii="Times New Roman" w:hAnsi="Times New Roman" w:cs="Times New Roman"/>
          <w:sz w:val="24"/>
          <w:szCs w:val="24"/>
          <w:shd w:val="clear" w:color="auto" w:fill="FFFFFF"/>
          <w:lang w:val="en-US"/>
        </w:rPr>
        <w:t xml:space="preserve">, </w:t>
      </w:r>
      <w:r w:rsidR="00C65158" w:rsidRPr="00DB3115">
        <w:rPr>
          <w:rFonts w:ascii="Times New Roman" w:hAnsi="Times New Roman" w:cs="Times New Roman"/>
          <w:sz w:val="24"/>
          <w:szCs w:val="24"/>
          <w:shd w:val="clear" w:color="auto" w:fill="FFFFFF"/>
          <w:lang w:val="en-US"/>
        </w:rPr>
        <w:t>G</w:t>
      </w:r>
      <w:r w:rsidR="00C65158">
        <w:rPr>
          <w:rFonts w:ascii="Times New Roman" w:hAnsi="Times New Roman" w:cs="Times New Roman"/>
          <w:sz w:val="24"/>
          <w:szCs w:val="24"/>
          <w:shd w:val="clear" w:color="auto" w:fill="FFFFFF"/>
          <w:lang w:val="en-US"/>
        </w:rPr>
        <w:t>.</w:t>
      </w:r>
      <w:r w:rsidR="00C65158" w:rsidRPr="00DB3115">
        <w:rPr>
          <w:rFonts w:ascii="Times New Roman" w:hAnsi="Times New Roman" w:cs="Times New Roman"/>
          <w:sz w:val="24"/>
          <w:szCs w:val="24"/>
          <w:shd w:val="clear" w:color="auto" w:fill="FFFFFF"/>
          <w:lang w:val="en-US"/>
        </w:rPr>
        <w:t xml:space="preserve"> </w:t>
      </w:r>
      <w:r w:rsidRPr="00DB3115">
        <w:rPr>
          <w:rFonts w:ascii="Times New Roman" w:hAnsi="Times New Roman" w:cs="Times New Roman"/>
          <w:sz w:val="24"/>
          <w:szCs w:val="24"/>
          <w:shd w:val="clear" w:color="auto" w:fill="FFFFFF"/>
          <w:lang w:val="en-US"/>
        </w:rPr>
        <w:t>V., Sacks</w:t>
      </w:r>
      <w:r w:rsidR="00C65158">
        <w:rPr>
          <w:rFonts w:ascii="Times New Roman" w:hAnsi="Times New Roman" w:cs="Times New Roman"/>
          <w:sz w:val="24"/>
          <w:szCs w:val="24"/>
          <w:shd w:val="clear" w:color="auto" w:fill="FFFFFF"/>
          <w:lang w:val="en-US"/>
        </w:rPr>
        <w:t>,</w:t>
      </w:r>
      <w:r w:rsidRPr="00DB3115">
        <w:rPr>
          <w:rFonts w:ascii="Times New Roman" w:hAnsi="Times New Roman" w:cs="Times New Roman"/>
          <w:sz w:val="24"/>
          <w:szCs w:val="24"/>
          <w:shd w:val="clear" w:color="auto" w:fill="FFFFFF"/>
          <w:lang w:val="en-US"/>
        </w:rPr>
        <w:t xml:space="preserve"> S., Scherer L.</w:t>
      </w:r>
      <w:r w:rsidR="00C65158">
        <w:rPr>
          <w:rFonts w:ascii="Times New Roman" w:hAnsi="Times New Roman" w:cs="Times New Roman"/>
          <w:sz w:val="24"/>
          <w:szCs w:val="24"/>
          <w:shd w:val="clear" w:color="auto" w:fill="FFFFFF"/>
          <w:lang w:val="en-US"/>
        </w:rPr>
        <w:t xml:space="preserve"> </w:t>
      </w:r>
      <w:r w:rsidRPr="00DB3115">
        <w:rPr>
          <w:rFonts w:ascii="Times New Roman" w:hAnsi="Times New Roman" w:cs="Times New Roman"/>
          <w:sz w:val="24"/>
          <w:szCs w:val="24"/>
          <w:shd w:val="clear" w:color="auto" w:fill="FFFFFF"/>
          <w:lang w:val="en-US"/>
        </w:rPr>
        <w:t>R.</w:t>
      </w:r>
      <w:r w:rsidR="00C65158">
        <w:rPr>
          <w:rFonts w:ascii="Times New Roman" w:hAnsi="Times New Roman" w:cs="Times New Roman"/>
          <w:sz w:val="24"/>
          <w:szCs w:val="24"/>
          <w:shd w:val="clear" w:color="auto" w:fill="FFFFFF"/>
          <w:lang w:val="en-US"/>
        </w:rPr>
        <w:t xml:space="preserve"> and</w:t>
      </w:r>
      <w:r w:rsidRPr="00DB3115">
        <w:rPr>
          <w:rFonts w:ascii="Times New Roman" w:hAnsi="Times New Roman" w:cs="Times New Roman"/>
          <w:sz w:val="24"/>
          <w:szCs w:val="24"/>
          <w:lang w:val="en-US"/>
        </w:rPr>
        <w:t xml:space="preserve"> </w:t>
      </w:r>
      <w:r w:rsidRPr="00DB3115">
        <w:rPr>
          <w:rFonts w:ascii="Times New Roman" w:hAnsi="Times New Roman" w:cs="Times New Roman"/>
          <w:sz w:val="24"/>
          <w:szCs w:val="24"/>
          <w:shd w:val="clear" w:color="auto" w:fill="FFFFFF"/>
          <w:lang w:val="en-US"/>
        </w:rPr>
        <w:t>Sinclair</w:t>
      </w:r>
      <w:r w:rsidR="00C65158">
        <w:rPr>
          <w:rFonts w:ascii="Times New Roman" w:hAnsi="Times New Roman" w:cs="Times New Roman"/>
          <w:sz w:val="24"/>
          <w:szCs w:val="24"/>
          <w:shd w:val="clear" w:color="auto" w:fill="FFFFFF"/>
          <w:lang w:val="en-US"/>
        </w:rPr>
        <w:t>,</w:t>
      </w:r>
      <w:r w:rsidRPr="00DB3115">
        <w:rPr>
          <w:rFonts w:ascii="Times New Roman" w:hAnsi="Times New Roman" w:cs="Times New Roman"/>
          <w:sz w:val="24"/>
          <w:szCs w:val="24"/>
          <w:shd w:val="clear" w:color="auto" w:fill="FFFFFF"/>
          <w:lang w:val="en-US"/>
        </w:rPr>
        <w:t xml:space="preserve"> </w:t>
      </w:r>
      <w:r w:rsidR="00C65158" w:rsidRPr="00DB3115">
        <w:rPr>
          <w:rFonts w:ascii="Times New Roman" w:hAnsi="Times New Roman" w:cs="Times New Roman"/>
          <w:sz w:val="24"/>
          <w:szCs w:val="24"/>
          <w:shd w:val="clear" w:color="auto" w:fill="FFFFFF"/>
          <w:lang w:val="en-US"/>
        </w:rPr>
        <w:t>K</w:t>
      </w:r>
      <w:r w:rsidR="00C65158">
        <w:rPr>
          <w:rFonts w:ascii="Times New Roman" w:hAnsi="Times New Roman" w:cs="Times New Roman"/>
          <w:sz w:val="24"/>
          <w:szCs w:val="24"/>
          <w:shd w:val="clear" w:color="auto" w:fill="FFFFFF"/>
          <w:lang w:val="en-US"/>
        </w:rPr>
        <w:t>.</w:t>
      </w:r>
      <w:r w:rsidR="00C65158" w:rsidRPr="00DB3115">
        <w:rPr>
          <w:rFonts w:ascii="Times New Roman" w:hAnsi="Times New Roman" w:cs="Times New Roman"/>
          <w:sz w:val="24"/>
          <w:szCs w:val="24"/>
          <w:shd w:val="clear" w:color="auto" w:fill="FFFFFF"/>
          <w:lang w:val="en-US"/>
        </w:rPr>
        <w:t xml:space="preserve"> </w:t>
      </w:r>
      <w:r w:rsidRPr="00DB3115">
        <w:rPr>
          <w:rFonts w:ascii="Times New Roman" w:hAnsi="Times New Roman" w:cs="Times New Roman"/>
          <w:sz w:val="24"/>
          <w:szCs w:val="24"/>
          <w:shd w:val="clear" w:color="auto" w:fill="FFFFFF"/>
          <w:lang w:val="en-US"/>
        </w:rPr>
        <w:t xml:space="preserve">E. (2004). </w:t>
      </w:r>
      <w:r w:rsidRPr="00DB3115">
        <w:rPr>
          <w:rFonts w:ascii="Times New Roman" w:eastAsiaTheme="minorHAnsi" w:hAnsi="Times New Roman" w:cs="Times New Roman"/>
          <w:bCs/>
          <w:sz w:val="24"/>
          <w:szCs w:val="24"/>
          <w:lang w:val="en-US" w:eastAsia="en-US"/>
        </w:rPr>
        <w:t>Nutritional support in trauma patients.</w:t>
      </w:r>
      <w:r w:rsidRPr="00DB3115">
        <w:rPr>
          <w:rFonts w:ascii="Times New Roman" w:eastAsiaTheme="minorHAnsi" w:hAnsi="Times New Roman" w:cs="Times New Roman"/>
          <w:bCs/>
          <w:i/>
          <w:sz w:val="24"/>
          <w:szCs w:val="24"/>
          <w:lang w:val="en-US" w:eastAsia="en-US"/>
        </w:rPr>
        <w:t xml:space="preserve"> J Trauma</w:t>
      </w:r>
      <w:r w:rsidRPr="00DB3115">
        <w:rPr>
          <w:rFonts w:ascii="Times New Roman" w:eastAsiaTheme="minorHAnsi" w:hAnsi="Times New Roman" w:cs="Times New Roman"/>
          <w:bCs/>
          <w:sz w:val="24"/>
          <w:szCs w:val="24"/>
          <w:lang w:val="en-US" w:eastAsia="en-US"/>
        </w:rPr>
        <w:t>. 57</w:t>
      </w:r>
      <w:r>
        <w:rPr>
          <w:rFonts w:ascii="Times New Roman" w:eastAsiaTheme="minorHAnsi" w:hAnsi="Times New Roman" w:cs="Times New Roman"/>
          <w:bCs/>
          <w:sz w:val="24"/>
          <w:szCs w:val="24"/>
          <w:lang w:val="en-US" w:eastAsia="en-US"/>
        </w:rPr>
        <w:t>,</w:t>
      </w:r>
      <w:r w:rsidR="00680320">
        <w:rPr>
          <w:rFonts w:ascii="Times New Roman" w:eastAsiaTheme="minorHAnsi" w:hAnsi="Times New Roman" w:cs="Times New Roman"/>
          <w:bCs/>
          <w:sz w:val="24"/>
          <w:szCs w:val="24"/>
          <w:lang w:val="en-US" w:eastAsia="en-US"/>
        </w:rPr>
        <w:t xml:space="preserve"> </w:t>
      </w:r>
      <w:r w:rsidRPr="00DB3115">
        <w:rPr>
          <w:rFonts w:ascii="Times New Roman" w:eastAsiaTheme="minorHAnsi" w:hAnsi="Times New Roman" w:cs="Times New Roman"/>
          <w:bCs/>
          <w:sz w:val="24"/>
          <w:szCs w:val="24"/>
          <w:lang w:val="en-US" w:eastAsia="en-US"/>
        </w:rPr>
        <w:t>660-679.</w:t>
      </w:r>
    </w:p>
    <w:p w14:paraId="3DECAF1E" w14:textId="035DEFE5" w:rsidR="00A6515B" w:rsidRPr="00505A5A" w:rsidRDefault="00A6515B" w:rsidP="003F3FAF">
      <w:pPr>
        <w:pStyle w:val="Prrafodelista"/>
        <w:autoSpaceDE w:val="0"/>
        <w:autoSpaceDN w:val="0"/>
        <w:adjustRightInd w:val="0"/>
        <w:spacing w:after="0" w:line="360" w:lineRule="auto"/>
        <w:ind w:left="709" w:right="49" w:hanging="567"/>
        <w:jc w:val="both"/>
        <w:rPr>
          <w:lang w:val="en-US"/>
        </w:rPr>
      </w:pPr>
      <w:r w:rsidRPr="00865610">
        <w:rPr>
          <w:rFonts w:ascii="Times New Roman" w:hAnsi="Times New Roman" w:cs="Times New Roman"/>
          <w:sz w:val="24"/>
          <w:szCs w:val="24"/>
          <w:lang w:val="en-US"/>
        </w:rPr>
        <w:t>Jiménez</w:t>
      </w:r>
      <w:r w:rsidR="00DD4CD7" w:rsidRPr="00865610">
        <w:rPr>
          <w:rFonts w:ascii="Times New Roman" w:hAnsi="Times New Roman" w:cs="Times New Roman"/>
          <w:sz w:val="24"/>
          <w:szCs w:val="24"/>
          <w:lang w:val="en-US"/>
        </w:rPr>
        <w:t xml:space="preserve">, </w:t>
      </w:r>
      <w:r w:rsidRPr="00865610">
        <w:rPr>
          <w:rFonts w:ascii="Times New Roman" w:hAnsi="Times New Roman" w:cs="Times New Roman"/>
          <w:sz w:val="24"/>
          <w:szCs w:val="24"/>
          <w:lang w:val="en-US"/>
        </w:rPr>
        <w:t>S.</w:t>
      </w:r>
      <w:r w:rsidR="00DD4CD7" w:rsidRPr="00865610">
        <w:rPr>
          <w:rFonts w:ascii="Times New Roman" w:hAnsi="Times New Roman" w:cs="Times New Roman"/>
          <w:sz w:val="24"/>
          <w:szCs w:val="24"/>
          <w:lang w:val="en-US"/>
        </w:rPr>
        <w:t xml:space="preserve"> </w:t>
      </w:r>
      <w:r w:rsidRPr="00865610">
        <w:rPr>
          <w:rFonts w:ascii="Times New Roman" w:hAnsi="Times New Roman" w:cs="Times New Roman"/>
          <w:sz w:val="24"/>
          <w:szCs w:val="24"/>
          <w:lang w:val="en-US"/>
        </w:rPr>
        <w:t xml:space="preserve">D. (2003). </w:t>
      </w:r>
      <w:r w:rsidRPr="00DB3115">
        <w:rPr>
          <w:rFonts w:ascii="Times New Roman" w:hAnsi="Times New Roman" w:cs="Times New Roman"/>
          <w:sz w:val="24"/>
          <w:szCs w:val="24"/>
        </w:rPr>
        <w:t xml:space="preserve">Indicadores de desnutrición proteico calórica. </w:t>
      </w:r>
      <w:r w:rsidRPr="00A6515B">
        <w:rPr>
          <w:rFonts w:ascii="Times New Roman" w:hAnsi="Times New Roman" w:cs="Times New Roman"/>
          <w:i/>
          <w:sz w:val="24"/>
          <w:szCs w:val="24"/>
          <w:lang w:val="en-US"/>
        </w:rPr>
        <w:t xml:space="preserve">Rev Cub Med </w:t>
      </w:r>
      <w:proofErr w:type="spellStart"/>
      <w:r w:rsidRPr="00A6515B">
        <w:rPr>
          <w:rFonts w:ascii="Times New Roman" w:hAnsi="Times New Roman" w:cs="Times New Roman"/>
          <w:i/>
          <w:sz w:val="24"/>
          <w:szCs w:val="24"/>
          <w:lang w:val="en-US"/>
        </w:rPr>
        <w:t>Int</w:t>
      </w:r>
      <w:proofErr w:type="spellEnd"/>
      <w:r w:rsidRPr="00A6515B">
        <w:rPr>
          <w:rFonts w:ascii="Times New Roman" w:hAnsi="Times New Roman" w:cs="Times New Roman"/>
          <w:i/>
          <w:sz w:val="24"/>
          <w:szCs w:val="24"/>
          <w:lang w:val="en-US"/>
        </w:rPr>
        <w:t xml:space="preserve"> </w:t>
      </w:r>
      <w:proofErr w:type="spellStart"/>
      <w:r w:rsidRPr="00A6515B">
        <w:rPr>
          <w:rFonts w:ascii="Times New Roman" w:hAnsi="Times New Roman" w:cs="Times New Roman"/>
          <w:i/>
          <w:sz w:val="24"/>
          <w:szCs w:val="24"/>
          <w:lang w:val="en-US"/>
        </w:rPr>
        <w:t>Emerg</w:t>
      </w:r>
      <w:proofErr w:type="spellEnd"/>
      <w:r w:rsidR="00680320">
        <w:rPr>
          <w:rFonts w:ascii="Times New Roman" w:hAnsi="Times New Roman" w:cs="Times New Roman"/>
          <w:i/>
          <w:sz w:val="24"/>
          <w:szCs w:val="24"/>
          <w:lang w:val="en-US"/>
        </w:rPr>
        <w:t>,</w:t>
      </w:r>
      <w:r w:rsidR="00680320" w:rsidRPr="00A6515B">
        <w:rPr>
          <w:rFonts w:ascii="Times New Roman" w:hAnsi="Times New Roman" w:cs="Times New Roman"/>
          <w:i/>
          <w:sz w:val="24"/>
          <w:szCs w:val="24"/>
          <w:lang w:val="en-US"/>
        </w:rPr>
        <w:t xml:space="preserve"> </w:t>
      </w:r>
      <w:r w:rsidRPr="003F3FAF">
        <w:rPr>
          <w:rFonts w:ascii="Times New Roman" w:hAnsi="Times New Roman" w:cs="Times New Roman"/>
          <w:i/>
          <w:iCs/>
          <w:sz w:val="24"/>
          <w:szCs w:val="24"/>
          <w:lang w:val="en-US"/>
        </w:rPr>
        <w:t>2</w:t>
      </w:r>
      <w:r w:rsidRPr="00A6515B">
        <w:rPr>
          <w:rFonts w:ascii="Times New Roman" w:hAnsi="Times New Roman" w:cs="Times New Roman"/>
          <w:sz w:val="24"/>
          <w:szCs w:val="24"/>
          <w:lang w:val="en-US"/>
        </w:rPr>
        <w:t>(4),</w:t>
      </w:r>
      <w:r w:rsidR="00680320">
        <w:rPr>
          <w:rFonts w:ascii="Times New Roman" w:hAnsi="Times New Roman" w:cs="Times New Roman"/>
          <w:sz w:val="24"/>
          <w:szCs w:val="24"/>
          <w:lang w:val="en-US"/>
        </w:rPr>
        <w:t xml:space="preserve"> </w:t>
      </w:r>
      <w:r w:rsidRPr="00A6515B">
        <w:rPr>
          <w:rFonts w:ascii="Times New Roman" w:hAnsi="Times New Roman" w:cs="Times New Roman"/>
          <w:sz w:val="24"/>
          <w:szCs w:val="24"/>
          <w:lang w:val="en-US"/>
        </w:rPr>
        <w:t xml:space="preserve">29-34. </w:t>
      </w:r>
    </w:p>
    <w:p w14:paraId="2524B74E" w14:textId="1C4EC8DA" w:rsidR="00A6515B" w:rsidRPr="00865610" w:rsidRDefault="00A6515B" w:rsidP="003F3FAF">
      <w:pPr>
        <w:pStyle w:val="Prrafodelista"/>
        <w:tabs>
          <w:tab w:val="left" w:pos="810"/>
          <w:tab w:val="left" w:pos="900"/>
        </w:tabs>
        <w:autoSpaceDE w:val="0"/>
        <w:autoSpaceDN w:val="0"/>
        <w:adjustRightInd w:val="0"/>
        <w:spacing w:after="0" w:line="360" w:lineRule="auto"/>
        <w:ind w:left="709" w:right="49" w:hanging="567"/>
        <w:jc w:val="both"/>
        <w:rPr>
          <w:rFonts w:ascii="Times New Roman" w:hAnsi="Times New Roman" w:cs="Times New Roman"/>
          <w:sz w:val="24"/>
          <w:szCs w:val="24"/>
        </w:rPr>
      </w:pPr>
      <w:proofErr w:type="spellStart"/>
      <w:r w:rsidRPr="00DB3115">
        <w:rPr>
          <w:rFonts w:ascii="Times New Roman" w:hAnsi="Times New Roman" w:cs="Times New Roman"/>
          <w:color w:val="000000"/>
          <w:sz w:val="24"/>
          <w:szCs w:val="24"/>
          <w:shd w:val="clear" w:color="auto" w:fill="FFFFFF"/>
          <w:lang w:val="en-US"/>
        </w:rPr>
        <w:t>Kieft</w:t>
      </w:r>
      <w:proofErr w:type="spellEnd"/>
      <w:r w:rsidR="00680320">
        <w:rPr>
          <w:rFonts w:ascii="Times New Roman" w:hAnsi="Times New Roman" w:cs="Times New Roman"/>
          <w:color w:val="000000"/>
          <w:sz w:val="24"/>
          <w:szCs w:val="24"/>
          <w:shd w:val="clear" w:color="auto" w:fill="FFFFFF"/>
          <w:lang w:val="en-US"/>
        </w:rPr>
        <w:t>,</w:t>
      </w:r>
      <w:r w:rsidRPr="00DB3115">
        <w:rPr>
          <w:rFonts w:ascii="Times New Roman" w:hAnsi="Times New Roman" w:cs="Times New Roman"/>
          <w:color w:val="000000"/>
          <w:sz w:val="24"/>
          <w:szCs w:val="24"/>
          <w:shd w:val="clear" w:color="auto" w:fill="FFFFFF"/>
          <w:lang w:val="en-US"/>
        </w:rPr>
        <w:t xml:space="preserve"> H., </w:t>
      </w:r>
      <w:proofErr w:type="spellStart"/>
      <w:r w:rsidRPr="00DB3115">
        <w:rPr>
          <w:rFonts w:ascii="Times New Roman" w:hAnsi="Times New Roman" w:cs="Times New Roman"/>
          <w:color w:val="000000"/>
          <w:sz w:val="24"/>
          <w:szCs w:val="24"/>
          <w:shd w:val="clear" w:color="auto" w:fill="FFFFFF"/>
          <w:lang w:val="en-US"/>
        </w:rPr>
        <w:t>Roos</w:t>
      </w:r>
      <w:proofErr w:type="spellEnd"/>
      <w:r w:rsidR="00680320">
        <w:rPr>
          <w:rFonts w:ascii="Times New Roman" w:hAnsi="Times New Roman" w:cs="Times New Roman"/>
          <w:color w:val="000000"/>
          <w:sz w:val="24"/>
          <w:szCs w:val="24"/>
          <w:shd w:val="clear" w:color="auto" w:fill="FFFFFF"/>
          <w:lang w:val="en-US"/>
        </w:rPr>
        <w:t>,</w:t>
      </w:r>
      <w:r w:rsidRPr="00DB3115">
        <w:rPr>
          <w:rFonts w:ascii="Times New Roman" w:hAnsi="Times New Roman" w:cs="Times New Roman"/>
          <w:color w:val="000000"/>
          <w:sz w:val="24"/>
          <w:szCs w:val="24"/>
          <w:shd w:val="clear" w:color="auto" w:fill="FFFFFF"/>
          <w:lang w:val="en-US"/>
        </w:rPr>
        <w:t xml:space="preserve"> A</w:t>
      </w:r>
      <w:r w:rsidR="00680320">
        <w:rPr>
          <w:rFonts w:ascii="Times New Roman" w:hAnsi="Times New Roman" w:cs="Times New Roman"/>
          <w:color w:val="000000"/>
          <w:sz w:val="24"/>
          <w:szCs w:val="24"/>
          <w:shd w:val="clear" w:color="auto" w:fill="FFFFFF"/>
          <w:lang w:val="en-US"/>
        </w:rPr>
        <w:t xml:space="preserve">. </w:t>
      </w:r>
      <w:r w:rsidRPr="00DB3115">
        <w:rPr>
          <w:rFonts w:ascii="Times New Roman" w:hAnsi="Times New Roman" w:cs="Times New Roman"/>
          <w:color w:val="000000"/>
          <w:sz w:val="24"/>
          <w:szCs w:val="24"/>
          <w:shd w:val="clear" w:color="auto" w:fill="FFFFFF"/>
          <w:lang w:val="en-US"/>
        </w:rPr>
        <w:t xml:space="preserve">N., Van </w:t>
      </w:r>
      <w:proofErr w:type="spellStart"/>
      <w:r w:rsidRPr="00DB3115">
        <w:rPr>
          <w:rFonts w:ascii="Times New Roman" w:hAnsi="Times New Roman" w:cs="Times New Roman"/>
          <w:color w:val="000000"/>
          <w:sz w:val="24"/>
          <w:szCs w:val="24"/>
          <w:shd w:val="clear" w:color="auto" w:fill="FFFFFF"/>
          <w:lang w:val="en-US"/>
        </w:rPr>
        <w:t>Drumen</w:t>
      </w:r>
      <w:proofErr w:type="spellEnd"/>
      <w:r w:rsidR="00680320">
        <w:rPr>
          <w:rFonts w:ascii="Times New Roman" w:hAnsi="Times New Roman" w:cs="Times New Roman"/>
          <w:color w:val="000000"/>
          <w:sz w:val="24"/>
          <w:szCs w:val="24"/>
          <w:shd w:val="clear" w:color="auto" w:fill="FFFFFF"/>
          <w:lang w:val="en-US"/>
        </w:rPr>
        <w:t>,</w:t>
      </w:r>
      <w:r w:rsidRPr="00DB3115">
        <w:rPr>
          <w:rFonts w:ascii="Times New Roman" w:hAnsi="Times New Roman" w:cs="Times New Roman"/>
          <w:color w:val="000000"/>
          <w:sz w:val="24"/>
          <w:szCs w:val="24"/>
          <w:shd w:val="clear" w:color="auto" w:fill="FFFFFF"/>
          <w:lang w:val="en-US"/>
        </w:rPr>
        <w:t xml:space="preserve"> J</w:t>
      </w:r>
      <w:r w:rsidR="00680320">
        <w:rPr>
          <w:rFonts w:ascii="Times New Roman" w:hAnsi="Times New Roman" w:cs="Times New Roman"/>
          <w:color w:val="000000"/>
          <w:sz w:val="24"/>
          <w:szCs w:val="24"/>
          <w:shd w:val="clear" w:color="auto" w:fill="FFFFFF"/>
          <w:lang w:val="en-US"/>
        </w:rPr>
        <w:t xml:space="preserve">. </w:t>
      </w:r>
      <w:r w:rsidRPr="00DB3115">
        <w:rPr>
          <w:rFonts w:ascii="Times New Roman" w:hAnsi="Times New Roman" w:cs="Times New Roman"/>
          <w:color w:val="000000"/>
          <w:sz w:val="24"/>
          <w:szCs w:val="24"/>
          <w:shd w:val="clear" w:color="auto" w:fill="FFFFFF"/>
          <w:lang w:val="en-US"/>
        </w:rPr>
        <w:t>D</w:t>
      </w:r>
      <w:r w:rsidR="00680320">
        <w:rPr>
          <w:rFonts w:ascii="Times New Roman" w:hAnsi="Times New Roman" w:cs="Times New Roman"/>
          <w:color w:val="000000"/>
          <w:sz w:val="24"/>
          <w:szCs w:val="24"/>
          <w:shd w:val="clear" w:color="auto" w:fill="FFFFFF"/>
          <w:lang w:val="en-US"/>
        </w:rPr>
        <w:t xml:space="preserve">. </w:t>
      </w:r>
      <w:r w:rsidRPr="00DB3115">
        <w:rPr>
          <w:rFonts w:ascii="Times New Roman" w:hAnsi="Times New Roman" w:cs="Times New Roman"/>
          <w:color w:val="000000"/>
          <w:sz w:val="24"/>
          <w:szCs w:val="24"/>
          <w:shd w:val="clear" w:color="auto" w:fill="FFFFFF"/>
          <w:lang w:val="en-US"/>
        </w:rPr>
        <w:t xml:space="preserve">E., </w:t>
      </w:r>
      <w:proofErr w:type="spellStart"/>
      <w:r w:rsidRPr="00DB3115">
        <w:rPr>
          <w:rFonts w:ascii="Times New Roman" w:hAnsi="Times New Roman" w:cs="Times New Roman"/>
          <w:color w:val="000000"/>
          <w:sz w:val="24"/>
          <w:szCs w:val="24"/>
          <w:shd w:val="clear" w:color="auto" w:fill="FFFFFF"/>
          <w:lang w:val="en-US"/>
        </w:rPr>
        <w:t>Bindels</w:t>
      </w:r>
      <w:proofErr w:type="spellEnd"/>
      <w:r w:rsidR="00680320">
        <w:rPr>
          <w:rFonts w:ascii="Times New Roman" w:hAnsi="Times New Roman" w:cs="Times New Roman"/>
          <w:color w:val="000000"/>
          <w:sz w:val="24"/>
          <w:szCs w:val="24"/>
          <w:shd w:val="clear" w:color="auto" w:fill="FFFFFF"/>
          <w:lang w:val="en-US"/>
        </w:rPr>
        <w:t>,</w:t>
      </w:r>
      <w:r w:rsidRPr="00DB3115">
        <w:rPr>
          <w:rFonts w:ascii="Times New Roman" w:hAnsi="Times New Roman" w:cs="Times New Roman"/>
          <w:color w:val="000000"/>
          <w:sz w:val="24"/>
          <w:szCs w:val="24"/>
          <w:shd w:val="clear" w:color="auto" w:fill="FFFFFF"/>
          <w:lang w:val="en-US"/>
        </w:rPr>
        <w:t xml:space="preserve"> A., </w:t>
      </w:r>
      <w:proofErr w:type="spellStart"/>
      <w:r w:rsidRPr="00DB3115">
        <w:rPr>
          <w:rFonts w:ascii="Times New Roman" w:hAnsi="Times New Roman" w:cs="Times New Roman"/>
          <w:color w:val="000000"/>
          <w:sz w:val="24"/>
          <w:szCs w:val="24"/>
          <w:shd w:val="clear" w:color="auto" w:fill="FFFFFF"/>
          <w:lang w:val="en-US"/>
        </w:rPr>
        <w:t>Bindels</w:t>
      </w:r>
      <w:proofErr w:type="spellEnd"/>
      <w:r w:rsidR="00680320">
        <w:rPr>
          <w:rFonts w:ascii="Times New Roman" w:hAnsi="Times New Roman" w:cs="Times New Roman"/>
          <w:color w:val="000000"/>
          <w:sz w:val="24"/>
          <w:szCs w:val="24"/>
          <w:shd w:val="clear" w:color="auto" w:fill="FFFFFF"/>
          <w:lang w:val="en-US"/>
        </w:rPr>
        <w:t>,</w:t>
      </w:r>
      <w:r w:rsidRPr="00DB3115">
        <w:rPr>
          <w:rFonts w:ascii="Times New Roman" w:hAnsi="Times New Roman" w:cs="Times New Roman"/>
          <w:color w:val="000000"/>
          <w:sz w:val="24"/>
          <w:szCs w:val="24"/>
          <w:shd w:val="clear" w:color="auto" w:fill="FFFFFF"/>
          <w:lang w:val="en-US"/>
        </w:rPr>
        <w:t xml:space="preserve"> J</w:t>
      </w:r>
      <w:r w:rsidR="00680320">
        <w:rPr>
          <w:rFonts w:ascii="Times New Roman" w:hAnsi="Times New Roman" w:cs="Times New Roman"/>
          <w:color w:val="000000"/>
          <w:sz w:val="24"/>
          <w:szCs w:val="24"/>
          <w:shd w:val="clear" w:color="auto" w:fill="FFFFFF"/>
          <w:lang w:val="en-US"/>
        </w:rPr>
        <w:t xml:space="preserve">. </w:t>
      </w:r>
      <w:r w:rsidRPr="00DB3115">
        <w:rPr>
          <w:rFonts w:ascii="Times New Roman" w:hAnsi="Times New Roman" w:cs="Times New Roman"/>
          <w:color w:val="000000"/>
          <w:sz w:val="24"/>
          <w:szCs w:val="24"/>
          <w:shd w:val="clear" w:color="auto" w:fill="FFFFFF"/>
          <w:lang w:val="en-US"/>
        </w:rPr>
        <w:t>C.</w:t>
      </w:r>
      <w:r w:rsidR="00680320">
        <w:rPr>
          <w:rFonts w:ascii="Times New Roman" w:hAnsi="Times New Roman" w:cs="Times New Roman"/>
          <w:color w:val="000000"/>
          <w:sz w:val="24"/>
          <w:szCs w:val="24"/>
          <w:shd w:val="clear" w:color="auto" w:fill="FFFFFF"/>
          <w:lang w:val="en-US"/>
        </w:rPr>
        <w:t xml:space="preserve"> y</w:t>
      </w:r>
      <w:r w:rsidRPr="00DB3115">
        <w:rPr>
          <w:rFonts w:ascii="Times New Roman" w:hAnsi="Times New Roman" w:cs="Times New Roman"/>
          <w:sz w:val="24"/>
          <w:szCs w:val="24"/>
          <w:lang w:val="en-US"/>
        </w:rPr>
        <w:t xml:space="preserve"> </w:t>
      </w:r>
      <w:proofErr w:type="spellStart"/>
      <w:r w:rsidRPr="00DB3115">
        <w:rPr>
          <w:rFonts w:ascii="Times New Roman" w:hAnsi="Times New Roman" w:cs="Times New Roman"/>
          <w:color w:val="000000"/>
          <w:sz w:val="24"/>
          <w:szCs w:val="24"/>
          <w:shd w:val="clear" w:color="auto" w:fill="FFFFFF"/>
          <w:lang w:val="en-US"/>
        </w:rPr>
        <w:t>Hofman</w:t>
      </w:r>
      <w:proofErr w:type="spellEnd"/>
      <w:r w:rsidR="00680320">
        <w:rPr>
          <w:rFonts w:ascii="Times New Roman" w:hAnsi="Times New Roman" w:cs="Times New Roman"/>
          <w:color w:val="000000"/>
          <w:sz w:val="24"/>
          <w:szCs w:val="24"/>
          <w:shd w:val="clear" w:color="auto" w:fill="FFFFFF"/>
          <w:lang w:val="en-US"/>
        </w:rPr>
        <w:t>,</w:t>
      </w:r>
      <w:r w:rsidRPr="00DB3115">
        <w:rPr>
          <w:rFonts w:ascii="Times New Roman" w:hAnsi="Times New Roman" w:cs="Times New Roman"/>
          <w:color w:val="000000"/>
          <w:sz w:val="24"/>
          <w:szCs w:val="24"/>
          <w:shd w:val="clear" w:color="auto" w:fill="FFFFFF"/>
          <w:lang w:val="en-US"/>
        </w:rPr>
        <w:t xml:space="preserve"> Z. (2005). </w:t>
      </w:r>
      <w:r w:rsidRPr="00DB3115">
        <w:rPr>
          <w:rFonts w:ascii="Times New Roman" w:hAnsi="Times New Roman" w:cs="Times New Roman"/>
          <w:color w:val="000000"/>
          <w:sz w:val="24"/>
          <w:szCs w:val="24"/>
          <w:shd w:val="clear" w:color="auto" w:fill="FFFFFF"/>
        </w:rPr>
        <w:t xml:space="preserve">Eficacia de la </w:t>
      </w:r>
      <w:proofErr w:type="spellStart"/>
      <w:r w:rsidRPr="00DB3115">
        <w:rPr>
          <w:rFonts w:ascii="Times New Roman" w:hAnsi="Times New Roman" w:cs="Times New Roman"/>
          <w:color w:val="000000"/>
          <w:sz w:val="24"/>
          <w:szCs w:val="24"/>
          <w:shd w:val="clear" w:color="auto" w:fill="FFFFFF"/>
        </w:rPr>
        <w:t>inmunonutrición</w:t>
      </w:r>
      <w:proofErr w:type="spellEnd"/>
      <w:r w:rsidRPr="00DB3115">
        <w:rPr>
          <w:rFonts w:ascii="Times New Roman" w:hAnsi="Times New Roman" w:cs="Times New Roman"/>
          <w:color w:val="000000"/>
          <w:sz w:val="24"/>
          <w:szCs w:val="24"/>
          <w:shd w:val="clear" w:color="auto" w:fill="FFFFFF"/>
        </w:rPr>
        <w:t xml:space="preserve"> en los pacientes críticos. </w:t>
      </w:r>
      <w:r w:rsidRPr="00DB3115">
        <w:rPr>
          <w:rFonts w:ascii="Times New Roman" w:hAnsi="Times New Roman" w:cs="Times New Roman"/>
          <w:i/>
          <w:color w:val="000000"/>
          <w:sz w:val="24"/>
          <w:szCs w:val="24"/>
          <w:shd w:val="clear" w:color="auto" w:fill="FFFFFF"/>
        </w:rPr>
        <w:t>Medicina intensiva</w:t>
      </w:r>
      <w:r w:rsidR="00680320">
        <w:rPr>
          <w:rFonts w:ascii="Times New Roman" w:hAnsi="Times New Roman" w:cs="Times New Roman"/>
          <w:i/>
          <w:color w:val="000000"/>
          <w:sz w:val="24"/>
          <w:szCs w:val="24"/>
          <w:shd w:val="clear" w:color="auto" w:fill="FFFFFF"/>
        </w:rPr>
        <w:t>,</w:t>
      </w:r>
      <w:r w:rsidR="00680320" w:rsidRPr="00DB3115">
        <w:rPr>
          <w:rFonts w:ascii="Times New Roman" w:hAnsi="Times New Roman" w:cs="Times New Roman"/>
          <w:color w:val="000000"/>
          <w:sz w:val="24"/>
          <w:szCs w:val="24"/>
          <w:shd w:val="clear" w:color="auto" w:fill="FFFFFF"/>
        </w:rPr>
        <w:t xml:space="preserve"> </w:t>
      </w:r>
      <w:r w:rsidRPr="00865610">
        <w:rPr>
          <w:rFonts w:ascii="Times New Roman" w:hAnsi="Times New Roman" w:cs="Times New Roman"/>
          <w:i/>
          <w:iCs/>
          <w:color w:val="000000"/>
          <w:sz w:val="24"/>
          <w:szCs w:val="24"/>
          <w:shd w:val="clear" w:color="auto" w:fill="FFFFFF"/>
        </w:rPr>
        <w:t>29</w:t>
      </w:r>
      <w:r w:rsidRPr="00865610">
        <w:rPr>
          <w:rFonts w:ascii="Times New Roman" w:hAnsi="Times New Roman" w:cs="Times New Roman"/>
          <w:color w:val="000000"/>
          <w:sz w:val="24"/>
          <w:szCs w:val="24"/>
          <w:shd w:val="clear" w:color="auto" w:fill="FFFFFF"/>
        </w:rPr>
        <w:t>(8),</w:t>
      </w:r>
      <w:r w:rsidR="00680320" w:rsidRPr="00865610">
        <w:rPr>
          <w:rFonts w:ascii="Times New Roman" w:hAnsi="Times New Roman" w:cs="Times New Roman"/>
          <w:color w:val="000000"/>
          <w:sz w:val="24"/>
          <w:szCs w:val="24"/>
          <w:shd w:val="clear" w:color="auto" w:fill="FFFFFF"/>
        </w:rPr>
        <w:t xml:space="preserve"> </w:t>
      </w:r>
      <w:r w:rsidRPr="00865610">
        <w:rPr>
          <w:rFonts w:ascii="Times New Roman" w:hAnsi="Times New Roman" w:cs="Times New Roman"/>
          <w:color w:val="000000"/>
          <w:sz w:val="24"/>
          <w:szCs w:val="24"/>
          <w:shd w:val="clear" w:color="auto" w:fill="FFFFFF"/>
        </w:rPr>
        <w:t>446-448.</w:t>
      </w:r>
    </w:p>
    <w:p w14:paraId="6D63E7CD" w14:textId="2014E32F" w:rsidR="00A6515B" w:rsidRPr="00505A5A" w:rsidRDefault="00A6515B" w:rsidP="003F3FAF">
      <w:pPr>
        <w:pStyle w:val="Prrafodelista"/>
        <w:autoSpaceDE w:val="0"/>
        <w:autoSpaceDN w:val="0"/>
        <w:adjustRightInd w:val="0"/>
        <w:spacing w:after="0" w:line="360" w:lineRule="auto"/>
        <w:ind w:left="709" w:right="49" w:hanging="567"/>
        <w:jc w:val="both"/>
        <w:rPr>
          <w:lang w:val="en-US"/>
        </w:rPr>
      </w:pPr>
      <w:proofErr w:type="spellStart"/>
      <w:r w:rsidRPr="00865610">
        <w:rPr>
          <w:rFonts w:ascii="Times New Roman" w:eastAsiaTheme="minorHAnsi" w:hAnsi="Times New Roman" w:cs="Times New Roman"/>
          <w:sz w:val="24"/>
          <w:szCs w:val="24"/>
          <w:lang w:val="en-US"/>
        </w:rPr>
        <w:t>Kompan</w:t>
      </w:r>
      <w:proofErr w:type="spellEnd"/>
      <w:r w:rsidR="00B817BC" w:rsidRPr="00865610">
        <w:rPr>
          <w:rFonts w:ascii="Times New Roman" w:eastAsiaTheme="minorHAnsi" w:hAnsi="Times New Roman" w:cs="Times New Roman"/>
          <w:sz w:val="24"/>
          <w:szCs w:val="24"/>
          <w:lang w:val="en-US"/>
        </w:rPr>
        <w:t>,</w:t>
      </w:r>
      <w:r w:rsidRPr="00865610">
        <w:rPr>
          <w:rFonts w:ascii="Times New Roman" w:eastAsiaTheme="minorHAnsi" w:hAnsi="Times New Roman" w:cs="Times New Roman"/>
          <w:sz w:val="24"/>
          <w:szCs w:val="24"/>
          <w:lang w:val="en-US"/>
        </w:rPr>
        <w:t xml:space="preserve"> L., </w:t>
      </w:r>
      <w:proofErr w:type="spellStart"/>
      <w:r w:rsidRPr="00865610">
        <w:rPr>
          <w:rFonts w:ascii="Times New Roman" w:eastAsiaTheme="minorHAnsi" w:hAnsi="Times New Roman" w:cs="Times New Roman"/>
          <w:sz w:val="24"/>
          <w:szCs w:val="24"/>
          <w:lang w:val="en-US"/>
        </w:rPr>
        <w:t>Kremzar</w:t>
      </w:r>
      <w:proofErr w:type="spellEnd"/>
      <w:r w:rsidR="00B817BC" w:rsidRPr="00865610">
        <w:rPr>
          <w:rFonts w:ascii="Times New Roman" w:eastAsiaTheme="minorHAnsi" w:hAnsi="Times New Roman" w:cs="Times New Roman"/>
          <w:sz w:val="24"/>
          <w:szCs w:val="24"/>
          <w:lang w:val="en-US"/>
        </w:rPr>
        <w:t>,</w:t>
      </w:r>
      <w:r w:rsidRPr="00865610">
        <w:rPr>
          <w:rFonts w:ascii="Times New Roman" w:eastAsiaTheme="minorHAnsi" w:hAnsi="Times New Roman" w:cs="Times New Roman"/>
          <w:sz w:val="24"/>
          <w:szCs w:val="24"/>
          <w:lang w:val="en-US"/>
        </w:rPr>
        <w:t xml:space="preserve"> B.</w:t>
      </w:r>
      <w:r w:rsidR="00B817BC" w:rsidRPr="00865610">
        <w:rPr>
          <w:rFonts w:ascii="Times New Roman" w:eastAsiaTheme="minorHAnsi" w:hAnsi="Times New Roman" w:cs="Times New Roman"/>
          <w:sz w:val="24"/>
          <w:szCs w:val="24"/>
          <w:lang w:val="en-US"/>
        </w:rPr>
        <w:t xml:space="preserve"> and</w:t>
      </w:r>
      <w:r w:rsidRPr="00865610">
        <w:rPr>
          <w:rFonts w:ascii="Times New Roman" w:eastAsiaTheme="minorHAnsi" w:hAnsi="Times New Roman" w:cs="Times New Roman"/>
          <w:sz w:val="24"/>
          <w:szCs w:val="24"/>
          <w:lang w:val="en-US"/>
        </w:rPr>
        <w:t xml:space="preserve"> </w:t>
      </w:r>
      <w:proofErr w:type="spellStart"/>
      <w:r w:rsidRPr="00865610">
        <w:rPr>
          <w:rFonts w:ascii="Times New Roman" w:eastAsiaTheme="minorHAnsi" w:hAnsi="Times New Roman" w:cs="Times New Roman"/>
          <w:sz w:val="24"/>
          <w:szCs w:val="24"/>
          <w:lang w:val="en-US"/>
        </w:rPr>
        <w:t>Gardzijev</w:t>
      </w:r>
      <w:proofErr w:type="spellEnd"/>
      <w:r w:rsidR="00B817BC" w:rsidRPr="00865610">
        <w:rPr>
          <w:rFonts w:ascii="Times New Roman" w:eastAsiaTheme="minorHAnsi" w:hAnsi="Times New Roman" w:cs="Times New Roman"/>
          <w:sz w:val="24"/>
          <w:szCs w:val="24"/>
          <w:lang w:val="en-US"/>
        </w:rPr>
        <w:t>,</w:t>
      </w:r>
      <w:r w:rsidRPr="00865610">
        <w:rPr>
          <w:rFonts w:ascii="Times New Roman" w:eastAsiaTheme="minorHAnsi" w:hAnsi="Times New Roman" w:cs="Times New Roman"/>
          <w:sz w:val="24"/>
          <w:szCs w:val="24"/>
          <w:lang w:val="en-US"/>
        </w:rPr>
        <w:t xml:space="preserve"> E. (1999). </w:t>
      </w:r>
      <w:r w:rsidRPr="00DB3115">
        <w:rPr>
          <w:rFonts w:ascii="Times New Roman" w:eastAsiaTheme="minorHAnsi" w:hAnsi="Times New Roman" w:cs="Times New Roman"/>
          <w:sz w:val="24"/>
          <w:szCs w:val="24"/>
          <w:lang w:val="en-US"/>
        </w:rPr>
        <w:t xml:space="preserve">Effects of early enteral nutrition on intestinal permeability and development of multiple organ failure after multiple trauma. </w:t>
      </w:r>
      <w:r w:rsidRPr="00DB3115">
        <w:rPr>
          <w:rFonts w:ascii="Times New Roman" w:eastAsiaTheme="minorHAnsi" w:hAnsi="Times New Roman" w:cs="Times New Roman"/>
          <w:i/>
          <w:iCs/>
          <w:sz w:val="24"/>
          <w:szCs w:val="24"/>
          <w:lang w:val="en-US"/>
        </w:rPr>
        <w:t>Intensive Care Med</w:t>
      </w:r>
      <w:r w:rsidR="00B817BC">
        <w:rPr>
          <w:rFonts w:ascii="Times New Roman" w:eastAsiaTheme="minorHAnsi" w:hAnsi="Times New Roman" w:cs="Times New Roman"/>
          <w:iCs/>
          <w:sz w:val="24"/>
          <w:szCs w:val="24"/>
          <w:lang w:val="en-US"/>
        </w:rPr>
        <w:t>,</w:t>
      </w:r>
      <w:r w:rsidR="00B817BC" w:rsidRPr="00DB3115">
        <w:rPr>
          <w:rFonts w:ascii="Times New Roman" w:eastAsiaTheme="minorHAnsi" w:hAnsi="Times New Roman" w:cs="Times New Roman"/>
          <w:iCs/>
          <w:sz w:val="24"/>
          <w:szCs w:val="24"/>
          <w:lang w:val="en-US"/>
        </w:rPr>
        <w:t xml:space="preserve"> </w:t>
      </w:r>
      <w:r w:rsidRPr="003F3FAF">
        <w:rPr>
          <w:rFonts w:ascii="Times New Roman" w:hAnsi="Times New Roman" w:cs="Times New Roman"/>
          <w:i/>
          <w:iCs/>
          <w:sz w:val="24"/>
          <w:szCs w:val="24"/>
          <w:lang w:val="en-US"/>
        </w:rPr>
        <w:t>25</w:t>
      </w:r>
      <w:r w:rsidRPr="00DB3115">
        <w:rPr>
          <w:rFonts w:ascii="Times New Roman" w:eastAsiaTheme="minorHAnsi" w:hAnsi="Times New Roman" w:cs="Times New Roman"/>
          <w:sz w:val="24"/>
          <w:szCs w:val="24"/>
          <w:lang w:val="en-US"/>
        </w:rPr>
        <w:t>(2)</w:t>
      </w:r>
      <w:r>
        <w:rPr>
          <w:rFonts w:ascii="Times New Roman" w:eastAsiaTheme="minorHAnsi" w:hAnsi="Times New Roman" w:cs="Times New Roman"/>
          <w:sz w:val="24"/>
          <w:szCs w:val="24"/>
          <w:lang w:val="en-US"/>
        </w:rPr>
        <w:t>,</w:t>
      </w:r>
      <w:r w:rsidR="00680320">
        <w:rPr>
          <w:rFonts w:ascii="Times New Roman" w:eastAsiaTheme="minorHAnsi" w:hAnsi="Times New Roman" w:cs="Times New Roman"/>
          <w:sz w:val="24"/>
          <w:szCs w:val="24"/>
          <w:lang w:val="en-US"/>
        </w:rPr>
        <w:t xml:space="preserve"> </w:t>
      </w:r>
      <w:r w:rsidRPr="00DB3115">
        <w:rPr>
          <w:rFonts w:ascii="Times New Roman" w:eastAsiaTheme="minorHAnsi" w:hAnsi="Times New Roman" w:cs="Times New Roman"/>
          <w:sz w:val="24"/>
          <w:szCs w:val="24"/>
          <w:lang w:val="en-US"/>
        </w:rPr>
        <w:t>157-61.</w:t>
      </w:r>
    </w:p>
    <w:p w14:paraId="7132252F" w14:textId="5EAD6591" w:rsidR="00A6515B" w:rsidRPr="00505A5A" w:rsidRDefault="00A6515B" w:rsidP="003F3FAF">
      <w:pPr>
        <w:pStyle w:val="Prrafodelista"/>
        <w:autoSpaceDE w:val="0"/>
        <w:autoSpaceDN w:val="0"/>
        <w:adjustRightInd w:val="0"/>
        <w:spacing w:after="0" w:line="360" w:lineRule="auto"/>
        <w:ind w:left="709" w:right="49" w:hanging="567"/>
        <w:jc w:val="both"/>
        <w:rPr>
          <w:lang w:val="en-US"/>
        </w:rPr>
      </w:pPr>
      <w:proofErr w:type="spellStart"/>
      <w:r w:rsidRPr="00DB3115">
        <w:rPr>
          <w:rFonts w:ascii="Times New Roman" w:hAnsi="Times New Roman" w:cs="Times New Roman"/>
          <w:sz w:val="24"/>
          <w:szCs w:val="24"/>
          <w:lang w:val="en-US"/>
        </w:rPr>
        <w:t>Leibson</w:t>
      </w:r>
      <w:proofErr w:type="spellEnd"/>
      <w:r w:rsidR="00E96C09">
        <w:rPr>
          <w:rFonts w:ascii="Times New Roman" w:hAnsi="Times New Roman" w:cs="Times New Roman"/>
          <w:sz w:val="24"/>
          <w:szCs w:val="24"/>
          <w:lang w:val="en-US"/>
        </w:rPr>
        <w:t>,</w:t>
      </w:r>
      <w:r w:rsidRPr="00DB3115">
        <w:rPr>
          <w:rFonts w:ascii="Times New Roman" w:hAnsi="Times New Roman" w:cs="Times New Roman"/>
          <w:sz w:val="24"/>
          <w:szCs w:val="24"/>
          <w:lang w:val="en-US"/>
        </w:rPr>
        <w:t xml:space="preserve"> C., Brown</w:t>
      </w:r>
      <w:r w:rsidR="00E96C09">
        <w:rPr>
          <w:rFonts w:ascii="Times New Roman" w:hAnsi="Times New Roman" w:cs="Times New Roman"/>
          <w:sz w:val="24"/>
          <w:szCs w:val="24"/>
          <w:lang w:val="en-US"/>
        </w:rPr>
        <w:t>,</w:t>
      </w:r>
      <w:r w:rsidRPr="00DB3115">
        <w:rPr>
          <w:rFonts w:ascii="Times New Roman" w:hAnsi="Times New Roman" w:cs="Times New Roman"/>
          <w:sz w:val="24"/>
          <w:szCs w:val="24"/>
          <w:lang w:val="en-US"/>
        </w:rPr>
        <w:t xml:space="preserve"> A., Hall</w:t>
      </w:r>
      <w:r w:rsidR="00E96C09">
        <w:rPr>
          <w:rFonts w:ascii="Times New Roman" w:hAnsi="Times New Roman" w:cs="Times New Roman"/>
          <w:sz w:val="24"/>
          <w:szCs w:val="24"/>
          <w:lang w:val="en-US"/>
        </w:rPr>
        <w:t>,</w:t>
      </w:r>
      <w:r w:rsidRPr="00DB3115">
        <w:rPr>
          <w:rFonts w:ascii="Times New Roman" w:hAnsi="Times New Roman" w:cs="Times New Roman"/>
          <w:sz w:val="24"/>
          <w:szCs w:val="24"/>
          <w:lang w:val="en-US"/>
        </w:rPr>
        <w:t xml:space="preserve"> K., </w:t>
      </w:r>
      <w:proofErr w:type="spellStart"/>
      <w:r w:rsidRPr="00DB3115">
        <w:rPr>
          <w:rFonts w:ascii="Times New Roman" w:hAnsi="Times New Roman" w:cs="Times New Roman"/>
          <w:sz w:val="24"/>
          <w:szCs w:val="24"/>
          <w:lang w:val="en-US"/>
        </w:rPr>
        <w:t>Ranson</w:t>
      </w:r>
      <w:proofErr w:type="spellEnd"/>
      <w:r w:rsidR="00E96C09">
        <w:rPr>
          <w:rFonts w:ascii="Times New Roman" w:hAnsi="Times New Roman" w:cs="Times New Roman"/>
          <w:sz w:val="24"/>
          <w:szCs w:val="24"/>
          <w:lang w:val="en-US"/>
        </w:rPr>
        <w:t>,</w:t>
      </w:r>
      <w:r w:rsidRPr="00DB3115">
        <w:rPr>
          <w:rFonts w:ascii="Times New Roman" w:hAnsi="Times New Roman" w:cs="Times New Roman"/>
          <w:sz w:val="24"/>
          <w:szCs w:val="24"/>
          <w:lang w:val="en-US"/>
        </w:rPr>
        <w:t xml:space="preserve"> J., </w:t>
      </w:r>
      <w:proofErr w:type="spellStart"/>
      <w:r w:rsidRPr="00DB3115">
        <w:rPr>
          <w:rFonts w:ascii="Times New Roman" w:hAnsi="Times New Roman" w:cs="Times New Roman"/>
          <w:sz w:val="24"/>
          <w:szCs w:val="24"/>
          <w:lang w:val="en-US"/>
        </w:rPr>
        <w:t>Mandreak</w:t>
      </w:r>
      <w:proofErr w:type="spellEnd"/>
      <w:r w:rsidR="00E96C09">
        <w:rPr>
          <w:rFonts w:ascii="Times New Roman" w:hAnsi="Times New Roman" w:cs="Times New Roman"/>
          <w:sz w:val="24"/>
          <w:szCs w:val="24"/>
          <w:lang w:val="en-US"/>
        </w:rPr>
        <w:t>,</w:t>
      </w:r>
      <w:r w:rsidRPr="00DB3115">
        <w:rPr>
          <w:rFonts w:ascii="Times New Roman" w:hAnsi="Times New Roman" w:cs="Times New Roman"/>
          <w:sz w:val="24"/>
          <w:szCs w:val="24"/>
          <w:lang w:val="en-US"/>
        </w:rPr>
        <w:t xml:space="preserve"> J., Osler</w:t>
      </w:r>
      <w:r w:rsidR="00E96C09">
        <w:rPr>
          <w:rFonts w:ascii="Times New Roman" w:hAnsi="Times New Roman" w:cs="Times New Roman"/>
          <w:sz w:val="24"/>
          <w:szCs w:val="24"/>
          <w:lang w:val="en-US"/>
        </w:rPr>
        <w:t>,</w:t>
      </w:r>
      <w:r w:rsidRPr="00DB3115">
        <w:rPr>
          <w:rFonts w:ascii="Times New Roman" w:hAnsi="Times New Roman" w:cs="Times New Roman"/>
          <w:sz w:val="24"/>
          <w:szCs w:val="24"/>
          <w:lang w:val="en-US"/>
        </w:rPr>
        <w:t xml:space="preserve"> T.</w:t>
      </w:r>
      <w:r w:rsidR="00E96C09">
        <w:rPr>
          <w:rFonts w:ascii="Times New Roman" w:hAnsi="Times New Roman" w:cs="Times New Roman"/>
          <w:sz w:val="24"/>
          <w:szCs w:val="24"/>
          <w:lang w:val="en-US"/>
        </w:rPr>
        <w:t xml:space="preserve"> and</w:t>
      </w:r>
      <w:r w:rsidRPr="00DB3115">
        <w:rPr>
          <w:rFonts w:ascii="Times New Roman" w:hAnsi="Times New Roman" w:cs="Times New Roman"/>
          <w:sz w:val="24"/>
          <w:szCs w:val="24"/>
          <w:lang w:val="en-US"/>
        </w:rPr>
        <w:t xml:space="preserve"> </w:t>
      </w:r>
      <w:proofErr w:type="spellStart"/>
      <w:r w:rsidRPr="00DB3115">
        <w:rPr>
          <w:rFonts w:ascii="Times New Roman" w:hAnsi="Times New Roman" w:cs="Times New Roman"/>
          <w:sz w:val="24"/>
          <w:szCs w:val="24"/>
          <w:lang w:val="en-US"/>
        </w:rPr>
        <w:t>Malec</w:t>
      </w:r>
      <w:proofErr w:type="spellEnd"/>
      <w:r w:rsidR="00E96C09">
        <w:rPr>
          <w:rFonts w:ascii="Times New Roman" w:hAnsi="Times New Roman" w:cs="Times New Roman"/>
          <w:sz w:val="24"/>
          <w:szCs w:val="24"/>
          <w:lang w:val="en-US"/>
        </w:rPr>
        <w:t>,</w:t>
      </w:r>
      <w:r w:rsidRPr="00DB3115">
        <w:rPr>
          <w:rFonts w:ascii="Times New Roman" w:hAnsi="Times New Roman" w:cs="Times New Roman"/>
          <w:sz w:val="24"/>
          <w:szCs w:val="24"/>
          <w:lang w:val="en-US"/>
        </w:rPr>
        <w:t xml:space="preserve"> J. (2012).  Medical care costs associated with traumatic brain injury over the full spectrum of disease: A controlled population-based study. </w:t>
      </w:r>
      <w:r w:rsidRPr="00DB3115">
        <w:rPr>
          <w:rFonts w:ascii="Times New Roman" w:hAnsi="Times New Roman" w:cs="Times New Roman"/>
          <w:i/>
          <w:sz w:val="24"/>
          <w:szCs w:val="24"/>
          <w:lang w:val="en-US"/>
        </w:rPr>
        <w:t>Journal of neurotrauma</w:t>
      </w:r>
      <w:r w:rsidR="00E96C09">
        <w:rPr>
          <w:rFonts w:ascii="Times New Roman" w:hAnsi="Times New Roman" w:cs="Times New Roman"/>
          <w:sz w:val="24"/>
          <w:szCs w:val="24"/>
          <w:lang w:val="en-US"/>
        </w:rPr>
        <w:t>,</w:t>
      </w:r>
      <w:r w:rsidR="00E96C09" w:rsidRPr="00DB3115">
        <w:rPr>
          <w:rFonts w:ascii="Times New Roman" w:hAnsi="Times New Roman" w:cs="Times New Roman"/>
          <w:sz w:val="24"/>
          <w:szCs w:val="24"/>
          <w:lang w:val="en-US"/>
        </w:rPr>
        <w:t xml:space="preserve"> </w:t>
      </w:r>
      <w:r w:rsidRPr="003F3FAF">
        <w:rPr>
          <w:rFonts w:ascii="Times New Roman" w:hAnsi="Times New Roman" w:cs="Times New Roman"/>
          <w:i/>
          <w:iCs/>
          <w:sz w:val="24"/>
          <w:szCs w:val="24"/>
          <w:lang w:val="en-US"/>
        </w:rPr>
        <w:t>29</w:t>
      </w:r>
      <w:r w:rsidRPr="00DB3115">
        <w:rPr>
          <w:rFonts w:ascii="Times New Roman" w:hAnsi="Times New Roman" w:cs="Times New Roman"/>
          <w:sz w:val="24"/>
          <w:szCs w:val="24"/>
          <w:lang w:val="en-US"/>
        </w:rPr>
        <w:t>(11)</w:t>
      </w:r>
      <w:r>
        <w:rPr>
          <w:rFonts w:ascii="Times New Roman" w:hAnsi="Times New Roman" w:cs="Times New Roman"/>
          <w:sz w:val="24"/>
          <w:szCs w:val="24"/>
          <w:lang w:val="en-US"/>
        </w:rPr>
        <w:t>,</w:t>
      </w:r>
      <w:r w:rsidR="00E96C09">
        <w:rPr>
          <w:rFonts w:ascii="Times New Roman" w:hAnsi="Times New Roman" w:cs="Times New Roman"/>
          <w:sz w:val="24"/>
          <w:szCs w:val="24"/>
          <w:lang w:val="en-US"/>
        </w:rPr>
        <w:t xml:space="preserve"> </w:t>
      </w:r>
      <w:r w:rsidRPr="00DB3115">
        <w:rPr>
          <w:rFonts w:ascii="Times New Roman" w:hAnsi="Times New Roman" w:cs="Times New Roman"/>
          <w:sz w:val="24"/>
          <w:szCs w:val="24"/>
          <w:lang w:val="en-US"/>
        </w:rPr>
        <w:t>2038-2049.</w:t>
      </w:r>
    </w:p>
    <w:p w14:paraId="69F9B566" w14:textId="21B035A2" w:rsidR="00A6515B" w:rsidRPr="00865610" w:rsidRDefault="00A6515B" w:rsidP="003F3FAF">
      <w:pPr>
        <w:pStyle w:val="Prrafodelista"/>
        <w:spacing w:after="0" w:line="360" w:lineRule="auto"/>
        <w:ind w:left="709" w:right="49" w:hanging="567"/>
        <w:jc w:val="both"/>
        <w:rPr>
          <w:shd w:val="clear" w:color="auto" w:fill="FFFFFF"/>
        </w:rPr>
      </w:pPr>
      <w:proofErr w:type="spellStart"/>
      <w:r w:rsidRPr="00DB3115">
        <w:rPr>
          <w:rFonts w:ascii="Times New Roman" w:eastAsia="Arial Unicode MS" w:hAnsi="Times New Roman" w:cs="Times New Roman"/>
          <w:sz w:val="24"/>
          <w:szCs w:val="24"/>
          <w:shd w:val="clear" w:color="auto" w:fill="FFFFFF"/>
          <w:lang w:val="en-US"/>
        </w:rPr>
        <w:t>MacFie</w:t>
      </w:r>
      <w:proofErr w:type="spellEnd"/>
      <w:r w:rsidRPr="00DB3115">
        <w:rPr>
          <w:rFonts w:ascii="Times New Roman" w:eastAsia="Arial Unicode MS" w:hAnsi="Times New Roman" w:cs="Times New Roman"/>
          <w:sz w:val="24"/>
          <w:szCs w:val="24"/>
          <w:shd w:val="clear" w:color="auto" w:fill="FFFFFF"/>
          <w:lang w:val="en-US"/>
        </w:rPr>
        <w:t xml:space="preserve"> J. (2000). Enteral versus parenteral nutrition: the significance of bacterial translocation and gut-barrier function. </w:t>
      </w:r>
      <w:proofErr w:type="spellStart"/>
      <w:r w:rsidRPr="00865610">
        <w:rPr>
          <w:rFonts w:ascii="Times New Roman" w:hAnsi="Times New Roman" w:cs="Times New Roman"/>
          <w:i/>
          <w:color w:val="000000"/>
          <w:sz w:val="24"/>
          <w:szCs w:val="24"/>
        </w:rPr>
        <w:t>Nutrition</w:t>
      </w:r>
      <w:proofErr w:type="spellEnd"/>
      <w:r w:rsidR="009F5D81" w:rsidRPr="00865610">
        <w:rPr>
          <w:rFonts w:ascii="Times New Roman" w:hAnsi="Times New Roman" w:cs="Times New Roman"/>
          <w:i/>
          <w:color w:val="000000"/>
          <w:sz w:val="24"/>
          <w:szCs w:val="24"/>
        </w:rPr>
        <w:t>,</w:t>
      </w:r>
      <w:r w:rsidR="009F5D81" w:rsidRPr="00865610">
        <w:rPr>
          <w:rFonts w:ascii="Times New Roman" w:hAnsi="Times New Roman" w:cs="Times New Roman"/>
          <w:color w:val="000000"/>
          <w:sz w:val="24"/>
          <w:szCs w:val="24"/>
        </w:rPr>
        <w:t xml:space="preserve"> </w:t>
      </w:r>
      <w:r w:rsidRPr="00865610">
        <w:rPr>
          <w:rFonts w:ascii="Times New Roman" w:hAnsi="Times New Roman" w:cs="Times New Roman"/>
          <w:i/>
          <w:iCs/>
          <w:color w:val="000000"/>
          <w:sz w:val="24"/>
          <w:szCs w:val="24"/>
        </w:rPr>
        <w:t>16</w:t>
      </w:r>
      <w:r w:rsidRPr="00865610">
        <w:rPr>
          <w:rFonts w:ascii="Times New Roman" w:hAnsi="Times New Roman" w:cs="Times New Roman"/>
          <w:color w:val="000000"/>
          <w:sz w:val="24"/>
          <w:szCs w:val="24"/>
        </w:rPr>
        <w:t>(7-8),</w:t>
      </w:r>
      <w:r w:rsidR="009F5D81" w:rsidRPr="00865610">
        <w:rPr>
          <w:rFonts w:ascii="Times New Roman" w:hAnsi="Times New Roman" w:cs="Times New Roman"/>
          <w:color w:val="000000"/>
          <w:sz w:val="24"/>
          <w:szCs w:val="24"/>
        </w:rPr>
        <w:t xml:space="preserve"> </w:t>
      </w:r>
      <w:r w:rsidRPr="00865610">
        <w:rPr>
          <w:rFonts w:ascii="Times New Roman" w:hAnsi="Times New Roman" w:cs="Times New Roman"/>
          <w:color w:val="000000"/>
          <w:sz w:val="24"/>
          <w:szCs w:val="24"/>
        </w:rPr>
        <w:t>606-611.</w:t>
      </w:r>
    </w:p>
    <w:p w14:paraId="40AA05BF" w14:textId="28EAD32A" w:rsidR="00A6515B" w:rsidRPr="009F5D81" w:rsidRDefault="00A6515B" w:rsidP="003F3FAF">
      <w:pPr>
        <w:pStyle w:val="Prrafodelista"/>
        <w:autoSpaceDE w:val="0"/>
        <w:autoSpaceDN w:val="0"/>
        <w:adjustRightInd w:val="0"/>
        <w:spacing w:after="0" w:line="360" w:lineRule="auto"/>
        <w:ind w:left="709" w:right="49" w:hanging="567"/>
        <w:jc w:val="both"/>
      </w:pPr>
      <w:proofErr w:type="spellStart"/>
      <w:r w:rsidRPr="00DB3115">
        <w:rPr>
          <w:rFonts w:ascii="Times New Roman" w:hAnsi="Times New Roman" w:cs="Times New Roman"/>
          <w:sz w:val="24"/>
          <w:szCs w:val="24"/>
        </w:rPr>
        <w:t>Martinuzzi</w:t>
      </w:r>
      <w:proofErr w:type="spellEnd"/>
      <w:r w:rsidR="00680320">
        <w:rPr>
          <w:rFonts w:ascii="Times New Roman" w:hAnsi="Times New Roman" w:cs="Times New Roman"/>
          <w:sz w:val="24"/>
          <w:szCs w:val="24"/>
        </w:rPr>
        <w:t>,</w:t>
      </w:r>
      <w:r w:rsidRPr="00DB3115">
        <w:rPr>
          <w:rFonts w:ascii="Times New Roman" w:hAnsi="Times New Roman" w:cs="Times New Roman"/>
          <w:sz w:val="24"/>
          <w:szCs w:val="24"/>
        </w:rPr>
        <w:t xml:space="preserve"> A.</w:t>
      </w:r>
      <w:r w:rsidR="00680320">
        <w:rPr>
          <w:rFonts w:ascii="Times New Roman" w:hAnsi="Times New Roman" w:cs="Times New Roman"/>
          <w:sz w:val="24"/>
          <w:szCs w:val="24"/>
        </w:rPr>
        <w:t xml:space="preserve"> </w:t>
      </w:r>
      <w:r w:rsidRPr="00DB3115">
        <w:rPr>
          <w:rFonts w:ascii="Times New Roman" w:hAnsi="Times New Roman" w:cs="Times New Roman"/>
          <w:sz w:val="24"/>
          <w:szCs w:val="24"/>
        </w:rPr>
        <w:t>L</w:t>
      </w:r>
      <w:r w:rsidR="00680320">
        <w:rPr>
          <w:rFonts w:ascii="Times New Roman" w:hAnsi="Times New Roman" w:cs="Times New Roman"/>
          <w:sz w:val="24"/>
          <w:szCs w:val="24"/>
        </w:rPr>
        <w:t>. y</w:t>
      </w:r>
      <w:r w:rsidRPr="00DB3115">
        <w:rPr>
          <w:rFonts w:ascii="Times New Roman" w:hAnsi="Times New Roman" w:cs="Times New Roman"/>
          <w:sz w:val="24"/>
          <w:szCs w:val="24"/>
        </w:rPr>
        <w:t xml:space="preserve"> </w:t>
      </w:r>
      <w:proofErr w:type="spellStart"/>
      <w:r w:rsidRPr="00DB3115">
        <w:rPr>
          <w:rFonts w:ascii="Times New Roman" w:hAnsi="Times New Roman" w:cs="Times New Roman"/>
          <w:sz w:val="24"/>
          <w:szCs w:val="24"/>
        </w:rPr>
        <w:t>Ferraresi</w:t>
      </w:r>
      <w:proofErr w:type="spellEnd"/>
      <w:r w:rsidR="00680320">
        <w:rPr>
          <w:rFonts w:ascii="Times New Roman" w:hAnsi="Times New Roman" w:cs="Times New Roman"/>
          <w:sz w:val="24"/>
          <w:szCs w:val="24"/>
        </w:rPr>
        <w:t>,</w:t>
      </w:r>
      <w:r w:rsidRPr="00DB3115">
        <w:rPr>
          <w:rFonts w:ascii="Times New Roman" w:hAnsi="Times New Roman" w:cs="Times New Roman"/>
          <w:sz w:val="24"/>
          <w:szCs w:val="24"/>
        </w:rPr>
        <w:t xml:space="preserve"> E. (2011). </w:t>
      </w:r>
      <w:proofErr w:type="spellStart"/>
      <w:r w:rsidRPr="00DB3115">
        <w:rPr>
          <w:rFonts w:ascii="Times New Roman" w:hAnsi="Times New Roman" w:cs="Times New Roman"/>
          <w:sz w:val="24"/>
          <w:szCs w:val="24"/>
        </w:rPr>
        <w:t>Inmunonutrición</w:t>
      </w:r>
      <w:proofErr w:type="spellEnd"/>
      <w:r w:rsidRPr="00DB3115">
        <w:rPr>
          <w:rFonts w:ascii="Times New Roman" w:hAnsi="Times New Roman" w:cs="Times New Roman"/>
          <w:sz w:val="24"/>
          <w:szCs w:val="24"/>
        </w:rPr>
        <w:t xml:space="preserve"> y trauma. </w:t>
      </w:r>
      <w:proofErr w:type="spellStart"/>
      <w:r w:rsidRPr="00DB3115">
        <w:rPr>
          <w:rFonts w:ascii="Times New Roman" w:hAnsi="Times New Roman" w:cs="Times New Roman"/>
          <w:i/>
          <w:sz w:val="24"/>
          <w:szCs w:val="24"/>
        </w:rPr>
        <w:t>Rev</w:t>
      </w:r>
      <w:proofErr w:type="spellEnd"/>
      <w:r w:rsidRPr="00DB3115">
        <w:rPr>
          <w:rFonts w:ascii="Times New Roman" w:hAnsi="Times New Roman" w:cs="Times New Roman"/>
          <w:i/>
          <w:sz w:val="24"/>
          <w:szCs w:val="24"/>
        </w:rPr>
        <w:t xml:space="preserve"> cubana</w:t>
      </w:r>
      <w:r w:rsidRPr="00DB3115">
        <w:rPr>
          <w:rFonts w:ascii="Times New Roman" w:hAnsi="Times New Roman" w:cs="Times New Roman"/>
          <w:sz w:val="24"/>
          <w:szCs w:val="24"/>
        </w:rPr>
        <w:t xml:space="preserve"> </w:t>
      </w:r>
      <w:proofErr w:type="spellStart"/>
      <w:r w:rsidRPr="00DB3115">
        <w:rPr>
          <w:rFonts w:ascii="Times New Roman" w:hAnsi="Times New Roman" w:cs="Times New Roman"/>
          <w:i/>
          <w:sz w:val="24"/>
          <w:szCs w:val="24"/>
        </w:rPr>
        <w:t>Aliment</w:t>
      </w:r>
      <w:proofErr w:type="spellEnd"/>
      <w:r w:rsidRPr="00DB3115">
        <w:rPr>
          <w:rFonts w:ascii="Times New Roman" w:hAnsi="Times New Roman" w:cs="Times New Roman"/>
          <w:i/>
          <w:sz w:val="24"/>
          <w:szCs w:val="24"/>
        </w:rPr>
        <w:t xml:space="preserve"> </w:t>
      </w:r>
      <w:proofErr w:type="spellStart"/>
      <w:r w:rsidRPr="00DB3115">
        <w:rPr>
          <w:rFonts w:ascii="Times New Roman" w:hAnsi="Times New Roman" w:cs="Times New Roman"/>
          <w:i/>
          <w:sz w:val="24"/>
          <w:szCs w:val="24"/>
        </w:rPr>
        <w:t>Nutr</w:t>
      </w:r>
      <w:proofErr w:type="spellEnd"/>
      <w:r w:rsidR="00B817BC">
        <w:rPr>
          <w:rFonts w:ascii="Times New Roman" w:hAnsi="Times New Roman" w:cs="Times New Roman"/>
          <w:i/>
          <w:sz w:val="24"/>
          <w:szCs w:val="24"/>
        </w:rPr>
        <w:t>,</w:t>
      </w:r>
      <w:r w:rsidR="00B817BC" w:rsidRPr="00DB3115">
        <w:rPr>
          <w:rFonts w:ascii="Times New Roman" w:hAnsi="Times New Roman" w:cs="Times New Roman"/>
          <w:sz w:val="24"/>
          <w:szCs w:val="24"/>
        </w:rPr>
        <w:t xml:space="preserve"> </w:t>
      </w:r>
      <w:r w:rsidRPr="003F3FAF">
        <w:rPr>
          <w:rFonts w:ascii="Times New Roman" w:hAnsi="Times New Roman" w:cs="Times New Roman"/>
          <w:i/>
          <w:iCs/>
          <w:sz w:val="24"/>
          <w:szCs w:val="24"/>
        </w:rPr>
        <w:t>21</w:t>
      </w:r>
      <w:r w:rsidRPr="00DB3115">
        <w:rPr>
          <w:rFonts w:ascii="Times New Roman" w:hAnsi="Times New Roman" w:cs="Times New Roman"/>
          <w:sz w:val="24"/>
          <w:szCs w:val="24"/>
        </w:rPr>
        <w:t>(1)</w:t>
      </w:r>
      <w:r>
        <w:rPr>
          <w:rFonts w:ascii="Times New Roman" w:hAnsi="Times New Roman" w:cs="Times New Roman"/>
          <w:sz w:val="24"/>
          <w:szCs w:val="24"/>
        </w:rPr>
        <w:t>,</w:t>
      </w:r>
      <w:r w:rsidR="00680320">
        <w:rPr>
          <w:rFonts w:ascii="Times New Roman" w:hAnsi="Times New Roman" w:cs="Times New Roman"/>
          <w:sz w:val="24"/>
          <w:szCs w:val="24"/>
        </w:rPr>
        <w:t xml:space="preserve"> </w:t>
      </w:r>
      <w:r w:rsidRPr="00DB3115">
        <w:rPr>
          <w:rFonts w:ascii="Times New Roman" w:hAnsi="Times New Roman" w:cs="Times New Roman"/>
          <w:sz w:val="24"/>
          <w:szCs w:val="24"/>
        </w:rPr>
        <w:t>129-146.</w:t>
      </w:r>
    </w:p>
    <w:p w14:paraId="258DD8CA" w14:textId="301A824B" w:rsidR="00A6515B" w:rsidRPr="00505A5A" w:rsidRDefault="00A6515B" w:rsidP="003F3FAF">
      <w:pPr>
        <w:pStyle w:val="Prrafodelista"/>
        <w:autoSpaceDE w:val="0"/>
        <w:autoSpaceDN w:val="0"/>
        <w:adjustRightInd w:val="0"/>
        <w:spacing w:after="0" w:line="360" w:lineRule="auto"/>
        <w:ind w:left="709" w:right="49" w:hanging="567"/>
        <w:jc w:val="both"/>
      </w:pPr>
      <w:proofErr w:type="spellStart"/>
      <w:r w:rsidRPr="00DB3115">
        <w:rPr>
          <w:rFonts w:ascii="Times New Roman" w:hAnsi="Times New Roman" w:cs="Times New Roman"/>
          <w:sz w:val="24"/>
          <w:szCs w:val="24"/>
        </w:rPr>
        <w:t>Mesejo</w:t>
      </w:r>
      <w:proofErr w:type="spellEnd"/>
      <w:r w:rsidR="00680320">
        <w:rPr>
          <w:rFonts w:ascii="Times New Roman" w:hAnsi="Times New Roman" w:cs="Times New Roman"/>
          <w:sz w:val="24"/>
          <w:szCs w:val="24"/>
        </w:rPr>
        <w:t>,</w:t>
      </w:r>
      <w:r w:rsidRPr="00DB3115">
        <w:rPr>
          <w:rFonts w:ascii="Times New Roman" w:hAnsi="Times New Roman" w:cs="Times New Roman"/>
          <w:sz w:val="24"/>
          <w:szCs w:val="24"/>
        </w:rPr>
        <w:t xml:space="preserve"> A.</w:t>
      </w:r>
      <w:r w:rsidR="00680320">
        <w:rPr>
          <w:rFonts w:ascii="Times New Roman" w:hAnsi="Times New Roman" w:cs="Times New Roman"/>
          <w:sz w:val="24"/>
          <w:szCs w:val="24"/>
        </w:rPr>
        <w:t xml:space="preserve"> y</w:t>
      </w:r>
      <w:r w:rsidRPr="00DB3115">
        <w:rPr>
          <w:rFonts w:ascii="Times New Roman" w:hAnsi="Times New Roman" w:cs="Times New Roman"/>
          <w:sz w:val="24"/>
          <w:szCs w:val="24"/>
        </w:rPr>
        <w:t xml:space="preserve"> Blasco</w:t>
      </w:r>
      <w:r w:rsidR="00680320">
        <w:rPr>
          <w:rFonts w:ascii="Times New Roman" w:hAnsi="Times New Roman" w:cs="Times New Roman"/>
          <w:sz w:val="24"/>
          <w:szCs w:val="24"/>
        </w:rPr>
        <w:t>,</w:t>
      </w:r>
      <w:r w:rsidRPr="00DB3115">
        <w:rPr>
          <w:rFonts w:ascii="Times New Roman" w:hAnsi="Times New Roman" w:cs="Times New Roman"/>
          <w:sz w:val="24"/>
          <w:szCs w:val="24"/>
        </w:rPr>
        <w:t xml:space="preserve"> M. (2000). M</w:t>
      </w:r>
      <w:r w:rsidRPr="003F3FAF">
        <w:rPr>
          <w:rFonts w:ascii="Times New Roman" w:hAnsi="Times New Roman" w:cs="Times New Roman"/>
          <w:i/>
          <w:iCs/>
          <w:sz w:val="24"/>
          <w:szCs w:val="24"/>
        </w:rPr>
        <w:t>anual básico de Nutrición Clínica y Dietética</w:t>
      </w:r>
      <w:r w:rsidRPr="00DB3115">
        <w:rPr>
          <w:rFonts w:ascii="Times New Roman" w:hAnsi="Times New Roman" w:cs="Times New Roman"/>
          <w:sz w:val="24"/>
          <w:szCs w:val="24"/>
        </w:rPr>
        <w:t xml:space="preserve">. </w:t>
      </w:r>
      <w:r w:rsidR="00680320">
        <w:rPr>
          <w:rFonts w:ascii="Times New Roman" w:hAnsi="Times New Roman" w:cs="Times New Roman"/>
          <w:sz w:val="24"/>
          <w:szCs w:val="24"/>
        </w:rPr>
        <w:t xml:space="preserve">Valencia, España: </w:t>
      </w:r>
      <w:r w:rsidRPr="00DB3115">
        <w:rPr>
          <w:rFonts w:ascii="Times New Roman" w:hAnsi="Times New Roman" w:cs="Times New Roman"/>
          <w:sz w:val="24"/>
          <w:szCs w:val="24"/>
        </w:rPr>
        <w:t xml:space="preserve">Generalitat Valenciana, </w:t>
      </w:r>
      <w:proofErr w:type="spellStart"/>
      <w:r w:rsidRPr="00DB3115">
        <w:rPr>
          <w:rFonts w:ascii="Times New Roman" w:hAnsi="Times New Roman" w:cs="Times New Roman"/>
          <w:sz w:val="24"/>
          <w:szCs w:val="24"/>
        </w:rPr>
        <w:t>Conselleria</w:t>
      </w:r>
      <w:proofErr w:type="spellEnd"/>
      <w:r w:rsidRPr="00DB3115">
        <w:rPr>
          <w:rFonts w:ascii="Times New Roman" w:hAnsi="Times New Roman" w:cs="Times New Roman"/>
          <w:sz w:val="24"/>
          <w:szCs w:val="24"/>
        </w:rPr>
        <w:t xml:space="preserve"> de </w:t>
      </w:r>
      <w:proofErr w:type="spellStart"/>
      <w:r w:rsidRPr="00DB3115">
        <w:rPr>
          <w:rFonts w:ascii="Times New Roman" w:hAnsi="Times New Roman" w:cs="Times New Roman"/>
          <w:sz w:val="24"/>
          <w:szCs w:val="24"/>
        </w:rPr>
        <w:t>Sanitat</w:t>
      </w:r>
      <w:proofErr w:type="spellEnd"/>
      <w:r w:rsidR="00680320">
        <w:rPr>
          <w:rFonts w:ascii="Times New Roman" w:hAnsi="Times New Roman" w:cs="Times New Roman"/>
          <w:sz w:val="24"/>
          <w:szCs w:val="24"/>
        </w:rPr>
        <w:t>.</w:t>
      </w:r>
      <w:r w:rsidRPr="00DB3115">
        <w:rPr>
          <w:rFonts w:ascii="Times New Roman" w:hAnsi="Times New Roman" w:cs="Times New Roman"/>
          <w:sz w:val="24"/>
          <w:szCs w:val="24"/>
        </w:rPr>
        <w:t xml:space="preserve"> Recuperado d</w:t>
      </w:r>
      <w:r w:rsidRPr="00A6515B">
        <w:rPr>
          <w:rFonts w:ascii="Times New Roman" w:hAnsi="Times New Roman" w:cs="Times New Roman"/>
          <w:sz w:val="24"/>
          <w:szCs w:val="24"/>
        </w:rPr>
        <w:t xml:space="preserve">e </w:t>
      </w:r>
      <w:hyperlink r:id="rId13" w:history="1">
        <w:r w:rsidRPr="00A6515B">
          <w:rPr>
            <w:rStyle w:val="Hipervnculo"/>
            <w:rFonts w:ascii="Times New Roman" w:hAnsi="Times New Roman" w:cs="Times New Roman"/>
            <w:color w:val="auto"/>
            <w:sz w:val="24"/>
            <w:szCs w:val="24"/>
          </w:rPr>
          <w:t>https://www.mxgo.net/e-</w:t>
        </w:r>
        <w:r w:rsidRPr="00A6515B">
          <w:rPr>
            <w:rStyle w:val="Hipervnculo"/>
            <w:rFonts w:ascii="Times New Roman" w:hAnsi="Times New Roman" w:cs="Times New Roman"/>
            <w:color w:val="auto"/>
            <w:sz w:val="24"/>
            <w:szCs w:val="24"/>
          </w:rPr>
          <w:lastRenderedPageBreak/>
          <w:t>booksfree180511/8saludyestadofisico/Mesejo%20Arizmendi%20-%20Manual%20Basico%20De%20Nutricion%20Clinica%20Y%20Dietetica.pdf</w:t>
        </w:r>
      </w:hyperlink>
      <w:r w:rsidR="00680320">
        <w:rPr>
          <w:rStyle w:val="Hipervnculo"/>
          <w:rFonts w:ascii="Times New Roman" w:hAnsi="Times New Roman" w:cs="Times New Roman"/>
          <w:color w:val="auto"/>
          <w:sz w:val="24"/>
          <w:szCs w:val="24"/>
        </w:rPr>
        <w:t>.</w:t>
      </w:r>
    </w:p>
    <w:p w14:paraId="3F226E5A" w14:textId="25F58C06" w:rsidR="00A6515B" w:rsidRPr="00505A5A" w:rsidRDefault="00A6515B" w:rsidP="003F3FAF">
      <w:pPr>
        <w:pStyle w:val="Prrafodelista"/>
        <w:autoSpaceDE w:val="0"/>
        <w:autoSpaceDN w:val="0"/>
        <w:adjustRightInd w:val="0"/>
        <w:spacing w:after="0" w:line="360" w:lineRule="auto"/>
        <w:ind w:left="709" w:right="49" w:hanging="567"/>
        <w:jc w:val="both"/>
      </w:pPr>
      <w:r w:rsidRPr="00DB3115">
        <w:rPr>
          <w:rFonts w:ascii="Times New Roman" w:hAnsi="Times New Roman" w:cs="Times New Roman"/>
          <w:color w:val="000000"/>
          <w:sz w:val="24"/>
          <w:szCs w:val="24"/>
          <w:shd w:val="clear" w:color="auto" w:fill="FFFFFF"/>
          <w:lang w:val="en-US"/>
        </w:rPr>
        <w:t>Minard</w:t>
      </w:r>
      <w:r w:rsidR="00B7768F">
        <w:rPr>
          <w:rFonts w:ascii="Times New Roman" w:hAnsi="Times New Roman" w:cs="Times New Roman"/>
          <w:color w:val="000000"/>
          <w:sz w:val="24"/>
          <w:szCs w:val="24"/>
          <w:shd w:val="clear" w:color="auto" w:fill="FFFFFF"/>
          <w:lang w:val="en-US"/>
        </w:rPr>
        <w:t>,</w:t>
      </w:r>
      <w:r w:rsidRPr="00DB3115">
        <w:rPr>
          <w:rFonts w:ascii="Times New Roman" w:hAnsi="Times New Roman" w:cs="Times New Roman"/>
          <w:color w:val="000000"/>
          <w:sz w:val="24"/>
          <w:szCs w:val="24"/>
          <w:shd w:val="clear" w:color="auto" w:fill="FFFFFF"/>
          <w:lang w:val="en-US"/>
        </w:rPr>
        <w:t xml:space="preserve"> G., </w:t>
      </w:r>
      <w:proofErr w:type="spellStart"/>
      <w:r w:rsidRPr="00DB3115">
        <w:rPr>
          <w:rFonts w:ascii="Times New Roman" w:hAnsi="Times New Roman" w:cs="Times New Roman"/>
          <w:color w:val="000000"/>
          <w:sz w:val="24"/>
          <w:szCs w:val="24"/>
          <w:shd w:val="clear" w:color="auto" w:fill="FFFFFF"/>
          <w:lang w:val="en-US"/>
        </w:rPr>
        <w:t>Kudsk</w:t>
      </w:r>
      <w:proofErr w:type="spellEnd"/>
      <w:r w:rsidR="00B7768F">
        <w:rPr>
          <w:rFonts w:ascii="Times New Roman" w:hAnsi="Times New Roman" w:cs="Times New Roman"/>
          <w:color w:val="000000"/>
          <w:sz w:val="24"/>
          <w:szCs w:val="24"/>
          <w:shd w:val="clear" w:color="auto" w:fill="FFFFFF"/>
          <w:lang w:val="en-US"/>
        </w:rPr>
        <w:t>,</w:t>
      </w:r>
      <w:r w:rsidRPr="00DB3115">
        <w:rPr>
          <w:rFonts w:ascii="Times New Roman" w:hAnsi="Times New Roman" w:cs="Times New Roman"/>
          <w:color w:val="000000"/>
          <w:sz w:val="24"/>
          <w:szCs w:val="24"/>
          <w:shd w:val="clear" w:color="auto" w:fill="FFFFFF"/>
          <w:lang w:val="en-US"/>
        </w:rPr>
        <w:t xml:space="preserve"> K.</w:t>
      </w:r>
      <w:r w:rsidR="00B7768F">
        <w:rPr>
          <w:rFonts w:ascii="Times New Roman" w:hAnsi="Times New Roman" w:cs="Times New Roman"/>
          <w:color w:val="000000"/>
          <w:sz w:val="24"/>
          <w:szCs w:val="24"/>
          <w:shd w:val="clear" w:color="auto" w:fill="FFFFFF"/>
          <w:lang w:val="en-US"/>
        </w:rPr>
        <w:t xml:space="preserve"> </w:t>
      </w:r>
      <w:r w:rsidRPr="00DB3115">
        <w:rPr>
          <w:rFonts w:ascii="Times New Roman" w:hAnsi="Times New Roman" w:cs="Times New Roman"/>
          <w:color w:val="000000"/>
          <w:sz w:val="24"/>
          <w:szCs w:val="24"/>
          <w:shd w:val="clear" w:color="auto" w:fill="FFFFFF"/>
          <w:lang w:val="en-US"/>
        </w:rPr>
        <w:t>A., Melton</w:t>
      </w:r>
      <w:r w:rsidR="00B7768F">
        <w:rPr>
          <w:rFonts w:ascii="Times New Roman" w:hAnsi="Times New Roman" w:cs="Times New Roman"/>
          <w:color w:val="000000"/>
          <w:sz w:val="24"/>
          <w:szCs w:val="24"/>
          <w:shd w:val="clear" w:color="auto" w:fill="FFFFFF"/>
          <w:lang w:val="en-US"/>
        </w:rPr>
        <w:t>,</w:t>
      </w:r>
      <w:r w:rsidRPr="00DB3115">
        <w:rPr>
          <w:rFonts w:ascii="Times New Roman" w:hAnsi="Times New Roman" w:cs="Times New Roman"/>
          <w:color w:val="000000"/>
          <w:sz w:val="24"/>
          <w:szCs w:val="24"/>
          <w:shd w:val="clear" w:color="auto" w:fill="FFFFFF"/>
          <w:lang w:val="en-US"/>
        </w:rPr>
        <w:t xml:space="preserve"> S., Patton</w:t>
      </w:r>
      <w:r w:rsidR="00B7768F">
        <w:rPr>
          <w:rFonts w:ascii="Times New Roman" w:hAnsi="Times New Roman" w:cs="Times New Roman"/>
          <w:color w:val="000000"/>
          <w:sz w:val="24"/>
          <w:szCs w:val="24"/>
          <w:shd w:val="clear" w:color="auto" w:fill="FFFFFF"/>
          <w:lang w:val="en-US"/>
        </w:rPr>
        <w:t>,</w:t>
      </w:r>
      <w:r w:rsidRPr="00DB3115">
        <w:rPr>
          <w:rFonts w:ascii="Times New Roman" w:hAnsi="Times New Roman" w:cs="Times New Roman"/>
          <w:color w:val="000000"/>
          <w:sz w:val="24"/>
          <w:szCs w:val="24"/>
          <w:shd w:val="clear" w:color="auto" w:fill="FFFFFF"/>
          <w:lang w:val="en-US"/>
        </w:rPr>
        <w:t xml:space="preserve"> J.</w:t>
      </w:r>
      <w:r w:rsidR="00B7768F">
        <w:rPr>
          <w:rFonts w:ascii="Times New Roman" w:hAnsi="Times New Roman" w:cs="Times New Roman"/>
          <w:color w:val="000000"/>
          <w:sz w:val="24"/>
          <w:szCs w:val="24"/>
          <w:shd w:val="clear" w:color="auto" w:fill="FFFFFF"/>
          <w:lang w:val="en-US"/>
        </w:rPr>
        <w:t xml:space="preserve"> </w:t>
      </w:r>
      <w:r w:rsidRPr="00DB3115">
        <w:rPr>
          <w:rFonts w:ascii="Times New Roman" w:hAnsi="Times New Roman" w:cs="Times New Roman"/>
          <w:color w:val="000000"/>
          <w:sz w:val="24"/>
          <w:szCs w:val="24"/>
          <w:shd w:val="clear" w:color="auto" w:fill="FFFFFF"/>
          <w:lang w:val="en-US"/>
        </w:rPr>
        <w:t>H.</w:t>
      </w:r>
      <w:r w:rsidR="00B7768F">
        <w:rPr>
          <w:rFonts w:ascii="Times New Roman" w:hAnsi="Times New Roman" w:cs="Times New Roman"/>
          <w:color w:val="000000"/>
          <w:sz w:val="24"/>
          <w:szCs w:val="24"/>
          <w:shd w:val="clear" w:color="auto" w:fill="FFFFFF"/>
          <w:lang w:val="en-US"/>
        </w:rPr>
        <w:t xml:space="preserve"> and </w:t>
      </w:r>
      <w:r w:rsidRPr="00DB3115">
        <w:rPr>
          <w:rFonts w:ascii="Times New Roman" w:hAnsi="Times New Roman" w:cs="Times New Roman"/>
          <w:color w:val="000000"/>
          <w:sz w:val="24"/>
          <w:szCs w:val="24"/>
          <w:shd w:val="clear" w:color="auto" w:fill="FFFFFF"/>
          <w:lang w:val="en-US"/>
        </w:rPr>
        <w:t>Tolley</w:t>
      </w:r>
      <w:r w:rsidR="00B7768F">
        <w:rPr>
          <w:rFonts w:ascii="Times New Roman" w:hAnsi="Times New Roman" w:cs="Times New Roman"/>
          <w:color w:val="000000"/>
          <w:sz w:val="24"/>
          <w:szCs w:val="24"/>
          <w:shd w:val="clear" w:color="auto" w:fill="FFFFFF"/>
          <w:lang w:val="en-US"/>
        </w:rPr>
        <w:t>,</w:t>
      </w:r>
      <w:r w:rsidRPr="00DB3115">
        <w:rPr>
          <w:rFonts w:ascii="Times New Roman" w:hAnsi="Times New Roman" w:cs="Times New Roman"/>
          <w:color w:val="000000"/>
          <w:sz w:val="24"/>
          <w:szCs w:val="24"/>
          <w:shd w:val="clear" w:color="auto" w:fill="FFFFFF"/>
          <w:lang w:val="en-US"/>
        </w:rPr>
        <w:t xml:space="preserve"> E.</w:t>
      </w:r>
      <w:r w:rsidR="00B7768F">
        <w:rPr>
          <w:rFonts w:ascii="Times New Roman" w:hAnsi="Times New Roman" w:cs="Times New Roman"/>
          <w:color w:val="000000"/>
          <w:sz w:val="24"/>
          <w:szCs w:val="24"/>
          <w:shd w:val="clear" w:color="auto" w:fill="FFFFFF"/>
          <w:lang w:val="en-US"/>
        </w:rPr>
        <w:t xml:space="preserve"> </w:t>
      </w:r>
      <w:r w:rsidRPr="00DB3115">
        <w:rPr>
          <w:rFonts w:ascii="Times New Roman" w:hAnsi="Times New Roman" w:cs="Times New Roman"/>
          <w:color w:val="000000"/>
          <w:sz w:val="24"/>
          <w:szCs w:val="24"/>
          <w:shd w:val="clear" w:color="auto" w:fill="FFFFFF"/>
          <w:lang w:val="en-US"/>
        </w:rPr>
        <w:t xml:space="preserve">A. (2000). </w:t>
      </w:r>
      <w:r w:rsidRPr="00DB3115">
        <w:rPr>
          <w:rStyle w:val="ref-title"/>
          <w:rFonts w:ascii="Times New Roman" w:hAnsi="Times New Roman" w:cs="Times New Roman"/>
          <w:color w:val="000000"/>
          <w:sz w:val="24"/>
          <w:szCs w:val="24"/>
          <w:shd w:val="clear" w:color="auto" w:fill="FFFFFF"/>
          <w:lang w:val="en-US"/>
        </w:rPr>
        <w:t>Early versus delayed feeding with an immune-enhancing diet in patients with severe head injuries</w:t>
      </w:r>
      <w:r w:rsidRPr="00DB3115">
        <w:rPr>
          <w:rFonts w:ascii="Times New Roman" w:hAnsi="Times New Roman" w:cs="Times New Roman"/>
          <w:color w:val="000000"/>
          <w:sz w:val="24"/>
          <w:szCs w:val="24"/>
          <w:shd w:val="clear" w:color="auto" w:fill="FFFFFF"/>
          <w:lang w:val="en-US"/>
        </w:rPr>
        <w:t xml:space="preserve">. </w:t>
      </w:r>
      <w:r w:rsidRPr="00A6515B">
        <w:rPr>
          <w:rStyle w:val="ref-journal"/>
          <w:rFonts w:ascii="Times New Roman" w:hAnsi="Times New Roman" w:cs="Times New Roman"/>
          <w:i/>
          <w:color w:val="000000"/>
          <w:sz w:val="24"/>
          <w:szCs w:val="24"/>
          <w:shd w:val="clear" w:color="auto" w:fill="FFFFFF"/>
        </w:rPr>
        <w:t xml:space="preserve">JPEN J </w:t>
      </w:r>
      <w:proofErr w:type="spellStart"/>
      <w:r w:rsidRPr="00A6515B">
        <w:rPr>
          <w:rStyle w:val="ref-journal"/>
          <w:rFonts w:ascii="Times New Roman" w:hAnsi="Times New Roman" w:cs="Times New Roman"/>
          <w:i/>
          <w:color w:val="000000"/>
          <w:sz w:val="24"/>
          <w:szCs w:val="24"/>
          <w:shd w:val="clear" w:color="auto" w:fill="FFFFFF"/>
        </w:rPr>
        <w:t>Parenter</w:t>
      </w:r>
      <w:proofErr w:type="spellEnd"/>
      <w:r w:rsidRPr="00A6515B">
        <w:rPr>
          <w:rStyle w:val="ref-journal"/>
          <w:rFonts w:ascii="Times New Roman" w:hAnsi="Times New Roman" w:cs="Times New Roman"/>
          <w:i/>
          <w:color w:val="000000"/>
          <w:sz w:val="24"/>
          <w:szCs w:val="24"/>
          <w:shd w:val="clear" w:color="auto" w:fill="FFFFFF"/>
        </w:rPr>
        <w:t xml:space="preserve"> Enteral </w:t>
      </w:r>
      <w:proofErr w:type="spellStart"/>
      <w:r w:rsidRPr="00A6515B">
        <w:rPr>
          <w:rStyle w:val="ref-journal"/>
          <w:rFonts w:ascii="Times New Roman" w:hAnsi="Times New Roman" w:cs="Times New Roman"/>
          <w:i/>
          <w:color w:val="000000"/>
          <w:sz w:val="24"/>
          <w:szCs w:val="24"/>
          <w:shd w:val="clear" w:color="auto" w:fill="FFFFFF"/>
        </w:rPr>
        <w:t>Nutr</w:t>
      </w:r>
      <w:proofErr w:type="spellEnd"/>
      <w:r w:rsidR="00B7768F">
        <w:rPr>
          <w:rStyle w:val="ref-journal"/>
          <w:rFonts w:ascii="Times New Roman" w:hAnsi="Times New Roman" w:cs="Times New Roman"/>
          <w:color w:val="000000"/>
          <w:sz w:val="24"/>
          <w:szCs w:val="24"/>
          <w:shd w:val="clear" w:color="auto" w:fill="FFFFFF"/>
        </w:rPr>
        <w:t>,</w:t>
      </w:r>
      <w:r w:rsidR="00B7768F" w:rsidRPr="00A6515B">
        <w:rPr>
          <w:rStyle w:val="ref-journal"/>
          <w:rFonts w:ascii="Times New Roman" w:hAnsi="Times New Roman" w:cs="Times New Roman"/>
          <w:color w:val="000000"/>
          <w:sz w:val="24"/>
          <w:szCs w:val="24"/>
          <w:shd w:val="clear" w:color="auto" w:fill="FFFFFF"/>
        </w:rPr>
        <w:t xml:space="preserve"> </w:t>
      </w:r>
      <w:r w:rsidRPr="003F3FAF">
        <w:rPr>
          <w:rStyle w:val="ref-vol"/>
          <w:rFonts w:ascii="Times New Roman" w:hAnsi="Times New Roman" w:cs="Times New Roman"/>
          <w:i/>
          <w:iCs/>
          <w:color w:val="000000"/>
          <w:sz w:val="24"/>
          <w:szCs w:val="24"/>
          <w:shd w:val="clear" w:color="auto" w:fill="FFFFFF"/>
        </w:rPr>
        <w:t>24</w:t>
      </w:r>
      <w:r w:rsidRPr="00A6515B">
        <w:rPr>
          <w:rStyle w:val="ref-vol"/>
          <w:rFonts w:ascii="Times New Roman" w:hAnsi="Times New Roman" w:cs="Times New Roman"/>
          <w:color w:val="000000"/>
          <w:sz w:val="24"/>
          <w:szCs w:val="24"/>
          <w:shd w:val="clear" w:color="auto" w:fill="FFFFFF"/>
        </w:rPr>
        <w:t>(3)</w:t>
      </w:r>
      <w:r w:rsidRPr="00A6515B">
        <w:rPr>
          <w:rFonts w:ascii="Times New Roman" w:hAnsi="Times New Roman" w:cs="Times New Roman"/>
          <w:color w:val="000000"/>
          <w:sz w:val="24"/>
          <w:szCs w:val="24"/>
          <w:shd w:val="clear" w:color="auto" w:fill="FFFFFF"/>
        </w:rPr>
        <w:t>,145–149.</w:t>
      </w:r>
    </w:p>
    <w:p w14:paraId="6BB4F570" w14:textId="6C4CBC11" w:rsidR="00A6515B" w:rsidRPr="00505A5A" w:rsidRDefault="00A6515B" w:rsidP="003F3FAF">
      <w:pPr>
        <w:pStyle w:val="Prrafodelista"/>
        <w:autoSpaceDE w:val="0"/>
        <w:autoSpaceDN w:val="0"/>
        <w:adjustRightInd w:val="0"/>
        <w:spacing w:after="0" w:line="360" w:lineRule="auto"/>
        <w:ind w:left="709" w:right="49" w:hanging="567"/>
        <w:jc w:val="both"/>
      </w:pPr>
      <w:r w:rsidRPr="00DB3115">
        <w:rPr>
          <w:rFonts w:ascii="Times New Roman" w:hAnsi="Times New Roman" w:cs="Times New Roman"/>
          <w:sz w:val="24"/>
          <w:szCs w:val="24"/>
        </w:rPr>
        <w:t>Montoya</w:t>
      </w:r>
      <w:r w:rsidR="00B817BC">
        <w:rPr>
          <w:rFonts w:ascii="Times New Roman" w:hAnsi="Times New Roman" w:cs="Times New Roman"/>
          <w:sz w:val="24"/>
          <w:szCs w:val="24"/>
        </w:rPr>
        <w:t>,</w:t>
      </w:r>
      <w:r w:rsidRPr="00DB3115">
        <w:rPr>
          <w:rFonts w:ascii="Times New Roman" w:hAnsi="Times New Roman" w:cs="Times New Roman"/>
          <w:sz w:val="24"/>
          <w:szCs w:val="24"/>
        </w:rPr>
        <w:t xml:space="preserve"> S.</w:t>
      </w:r>
      <w:r w:rsidR="00B817BC">
        <w:rPr>
          <w:rFonts w:ascii="Times New Roman" w:hAnsi="Times New Roman" w:cs="Times New Roman"/>
          <w:sz w:val="24"/>
          <w:szCs w:val="24"/>
        </w:rPr>
        <w:t xml:space="preserve"> and</w:t>
      </w:r>
      <w:r w:rsidRPr="00DB3115">
        <w:rPr>
          <w:rFonts w:ascii="Times New Roman" w:hAnsi="Times New Roman" w:cs="Times New Roman"/>
          <w:sz w:val="24"/>
          <w:szCs w:val="24"/>
        </w:rPr>
        <w:t xml:space="preserve"> Múnera</w:t>
      </w:r>
      <w:r w:rsidR="00B817BC">
        <w:rPr>
          <w:rFonts w:ascii="Times New Roman" w:hAnsi="Times New Roman" w:cs="Times New Roman"/>
          <w:sz w:val="24"/>
          <w:szCs w:val="24"/>
        </w:rPr>
        <w:t>,</w:t>
      </w:r>
      <w:r w:rsidR="00B817BC" w:rsidRPr="00DB3115">
        <w:rPr>
          <w:rFonts w:ascii="Times New Roman" w:hAnsi="Times New Roman" w:cs="Times New Roman"/>
          <w:sz w:val="24"/>
          <w:szCs w:val="24"/>
        </w:rPr>
        <w:t xml:space="preserve"> </w:t>
      </w:r>
      <w:r w:rsidRPr="00DB3115">
        <w:rPr>
          <w:rFonts w:ascii="Times New Roman" w:hAnsi="Times New Roman" w:cs="Times New Roman"/>
          <w:sz w:val="24"/>
          <w:szCs w:val="24"/>
        </w:rPr>
        <w:t xml:space="preserve">N. (2014) Efecto de la intervención nutricional temprana en el resultado clínico de pacientes en riesgo nutricional. </w:t>
      </w:r>
      <w:r w:rsidRPr="00DB3115">
        <w:rPr>
          <w:rFonts w:ascii="Times New Roman" w:hAnsi="Times New Roman" w:cs="Times New Roman"/>
          <w:i/>
          <w:sz w:val="24"/>
          <w:szCs w:val="24"/>
        </w:rPr>
        <w:t>Nutrición hospitalaria</w:t>
      </w:r>
      <w:r w:rsidR="00B817BC">
        <w:rPr>
          <w:rFonts w:ascii="Times New Roman" w:hAnsi="Times New Roman" w:cs="Times New Roman"/>
          <w:i/>
          <w:sz w:val="24"/>
          <w:szCs w:val="24"/>
        </w:rPr>
        <w:t>,</w:t>
      </w:r>
      <w:r w:rsidR="00B817BC" w:rsidRPr="00DB3115">
        <w:rPr>
          <w:rFonts w:ascii="Times New Roman" w:hAnsi="Times New Roman" w:cs="Times New Roman"/>
          <w:sz w:val="24"/>
          <w:szCs w:val="24"/>
        </w:rPr>
        <w:t xml:space="preserve"> </w:t>
      </w:r>
      <w:r w:rsidRPr="003F3FAF">
        <w:rPr>
          <w:rFonts w:ascii="Times New Roman" w:hAnsi="Times New Roman" w:cs="Times New Roman"/>
          <w:i/>
          <w:iCs/>
          <w:sz w:val="24"/>
          <w:szCs w:val="24"/>
        </w:rPr>
        <w:t>29</w:t>
      </w:r>
      <w:r w:rsidRPr="00DB3115">
        <w:rPr>
          <w:rFonts w:ascii="Times New Roman" w:hAnsi="Times New Roman" w:cs="Times New Roman"/>
          <w:sz w:val="24"/>
          <w:szCs w:val="24"/>
        </w:rPr>
        <w:t>(2)</w:t>
      </w:r>
      <w:r>
        <w:rPr>
          <w:rFonts w:ascii="Times New Roman" w:hAnsi="Times New Roman" w:cs="Times New Roman"/>
          <w:sz w:val="24"/>
          <w:szCs w:val="24"/>
        </w:rPr>
        <w:t>,</w:t>
      </w:r>
      <w:r w:rsidRPr="00DB3115">
        <w:rPr>
          <w:rFonts w:ascii="Times New Roman" w:hAnsi="Times New Roman" w:cs="Times New Roman"/>
          <w:sz w:val="24"/>
          <w:szCs w:val="24"/>
        </w:rPr>
        <w:t>427-436.</w:t>
      </w:r>
    </w:p>
    <w:p w14:paraId="5594C25A" w14:textId="21C1E5ED" w:rsidR="00A6515B" w:rsidRPr="00505A5A" w:rsidRDefault="00A6515B" w:rsidP="003F3FAF">
      <w:pPr>
        <w:pStyle w:val="Prrafodelista"/>
        <w:spacing w:after="0" w:line="360" w:lineRule="auto"/>
        <w:ind w:left="709" w:right="49" w:hanging="567"/>
        <w:jc w:val="both"/>
        <w:rPr>
          <w:lang w:val="fr-FR"/>
        </w:rPr>
      </w:pPr>
      <w:proofErr w:type="spellStart"/>
      <w:r w:rsidRPr="00DB3115">
        <w:rPr>
          <w:rFonts w:ascii="Times New Roman" w:hAnsi="Times New Roman" w:cs="Times New Roman"/>
          <w:sz w:val="24"/>
          <w:szCs w:val="24"/>
        </w:rPr>
        <w:t>Ninska</w:t>
      </w:r>
      <w:proofErr w:type="spellEnd"/>
      <w:r w:rsidR="00B817BC">
        <w:rPr>
          <w:rFonts w:ascii="Times New Roman" w:hAnsi="Times New Roman" w:cs="Times New Roman"/>
          <w:sz w:val="24"/>
          <w:szCs w:val="24"/>
        </w:rPr>
        <w:t>,</w:t>
      </w:r>
      <w:r w:rsidRPr="00DB3115">
        <w:rPr>
          <w:rFonts w:ascii="Times New Roman" w:hAnsi="Times New Roman" w:cs="Times New Roman"/>
          <w:sz w:val="24"/>
          <w:szCs w:val="24"/>
        </w:rPr>
        <w:t xml:space="preserve"> A., Camargo</w:t>
      </w:r>
      <w:r w:rsidR="00B817BC">
        <w:rPr>
          <w:rFonts w:ascii="Times New Roman" w:hAnsi="Times New Roman" w:cs="Times New Roman"/>
          <w:sz w:val="24"/>
          <w:szCs w:val="24"/>
        </w:rPr>
        <w:t>,</w:t>
      </w:r>
      <w:r w:rsidRPr="00DB3115">
        <w:rPr>
          <w:rFonts w:ascii="Times New Roman" w:hAnsi="Times New Roman" w:cs="Times New Roman"/>
          <w:sz w:val="24"/>
          <w:szCs w:val="24"/>
        </w:rPr>
        <w:t xml:space="preserve"> R.</w:t>
      </w:r>
      <w:r w:rsidR="00B817BC">
        <w:rPr>
          <w:rFonts w:ascii="Times New Roman" w:hAnsi="Times New Roman" w:cs="Times New Roman"/>
          <w:sz w:val="24"/>
          <w:szCs w:val="24"/>
        </w:rPr>
        <w:t xml:space="preserve"> y</w:t>
      </w:r>
      <w:r w:rsidRPr="00DB3115">
        <w:rPr>
          <w:rFonts w:ascii="Times New Roman" w:hAnsi="Times New Roman" w:cs="Times New Roman"/>
          <w:sz w:val="24"/>
          <w:szCs w:val="24"/>
        </w:rPr>
        <w:t xml:space="preserve"> Vargas</w:t>
      </w:r>
      <w:r w:rsidR="00B817BC">
        <w:rPr>
          <w:rFonts w:ascii="Times New Roman" w:hAnsi="Times New Roman" w:cs="Times New Roman"/>
          <w:sz w:val="24"/>
          <w:szCs w:val="24"/>
        </w:rPr>
        <w:t>,</w:t>
      </w:r>
      <w:r w:rsidRPr="00DB3115">
        <w:rPr>
          <w:rFonts w:ascii="Times New Roman" w:hAnsi="Times New Roman" w:cs="Times New Roman"/>
          <w:sz w:val="24"/>
          <w:szCs w:val="24"/>
        </w:rPr>
        <w:t xml:space="preserve"> R. (2013). Caracterización del estado nutricional de pacientes adultos que ingresaron a una unidad de cuidado intensivo polivalente en la ciudad de Barranquilla. </w:t>
      </w:r>
      <w:r w:rsidRPr="00DB3115">
        <w:rPr>
          <w:rFonts w:ascii="Times New Roman" w:hAnsi="Times New Roman" w:cs="Times New Roman"/>
          <w:i/>
          <w:sz w:val="24"/>
          <w:szCs w:val="24"/>
          <w:lang w:val="fr-FR"/>
        </w:rPr>
        <w:t>Acta Colombiana de Cuidado Intensivo</w:t>
      </w:r>
      <w:r w:rsidR="00B817BC">
        <w:rPr>
          <w:rFonts w:ascii="Times New Roman" w:hAnsi="Times New Roman" w:cs="Times New Roman"/>
          <w:sz w:val="24"/>
          <w:szCs w:val="24"/>
          <w:lang w:val="fr-FR"/>
        </w:rPr>
        <w:t>,</w:t>
      </w:r>
      <w:r w:rsidR="00B817BC" w:rsidRPr="00DB3115">
        <w:rPr>
          <w:rFonts w:ascii="Times New Roman" w:hAnsi="Times New Roman" w:cs="Times New Roman"/>
          <w:sz w:val="24"/>
          <w:szCs w:val="24"/>
          <w:lang w:val="fr-FR"/>
        </w:rPr>
        <w:t xml:space="preserve"> </w:t>
      </w:r>
      <w:r w:rsidRPr="003F3FAF">
        <w:rPr>
          <w:rFonts w:ascii="Times New Roman" w:hAnsi="Times New Roman" w:cs="Times New Roman"/>
          <w:i/>
          <w:iCs/>
          <w:sz w:val="24"/>
          <w:szCs w:val="24"/>
          <w:lang w:val="fr-FR"/>
        </w:rPr>
        <w:t>13</w:t>
      </w:r>
      <w:r w:rsidRPr="00DB3115">
        <w:rPr>
          <w:rFonts w:ascii="Times New Roman" w:hAnsi="Times New Roman" w:cs="Times New Roman"/>
          <w:sz w:val="24"/>
          <w:szCs w:val="24"/>
          <w:lang w:val="fr-FR"/>
        </w:rPr>
        <w:t>(3)</w:t>
      </w:r>
      <w:r>
        <w:rPr>
          <w:rFonts w:ascii="Times New Roman" w:hAnsi="Times New Roman" w:cs="Times New Roman"/>
          <w:sz w:val="24"/>
          <w:szCs w:val="24"/>
          <w:lang w:val="fr-FR"/>
        </w:rPr>
        <w:t>,</w:t>
      </w:r>
      <w:r w:rsidRPr="00DB3115">
        <w:rPr>
          <w:rFonts w:ascii="Times New Roman" w:hAnsi="Times New Roman" w:cs="Times New Roman"/>
          <w:sz w:val="24"/>
          <w:szCs w:val="24"/>
          <w:lang w:val="fr-FR"/>
        </w:rPr>
        <w:t>153-168.</w:t>
      </w:r>
    </w:p>
    <w:p w14:paraId="1E6BD5BB" w14:textId="47866307" w:rsidR="00A6515B" w:rsidRPr="00865610" w:rsidRDefault="00A6515B" w:rsidP="003F3FAF">
      <w:pPr>
        <w:pStyle w:val="Prrafodelista"/>
        <w:autoSpaceDE w:val="0"/>
        <w:autoSpaceDN w:val="0"/>
        <w:adjustRightInd w:val="0"/>
        <w:spacing w:after="0" w:line="360" w:lineRule="auto"/>
        <w:ind w:left="709" w:right="49" w:hanging="567"/>
        <w:jc w:val="both"/>
        <w:rPr>
          <w:rFonts w:eastAsiaTheme="minorHAnsi"/>
          <w:lang w:val="en-US"/>
        </w:rPr>
      </w:pPr>
      <w:proofErr w:type="spellStart"/>
      <w:r w:rsidRPr="00865610">
        <w:rPr>
          <w:rFonts w:ascii="Times New Roman" w:eastAsiaTheme="minorHAnsi" w:hAnsi="Times New Roman" w:cs="Times New Roman"/>
          <w:sz w:val="24"/>
          <w:szCs w:val="24"/>
          <w:lang w:val="en-US"/>
        </w:rPr>
        <w:t>Omura</w:t>
      </w:r>
      <w:proofErr w:type="spellEnd"/>
      <w:r w:rsidR="00B817BC" w:rsidRPr="00865610">
        <w:rPr>
          <w:rFonts w:ascii="Times New Roman" w:eastAsiaTheme="minorHAnsi" w:hAnsi="Times New Roman" w:cs="Times New Roman"/>
          <w:sz w:val="24"/>
          <w:szCs w:val="24"/>
          <w:lang w:val="en-US"/>
        </w:rPr>
        <w:t>,</w:t>
      </w:r>
      <w:r w:rsidRPr="00865610">
        <w:rPr>
          <w:rFonts w:ascii="Times New Roman" w:eastAsiaTheme="minorHAnsi" w:hAnsi="Times New Roman" w:cs="Times New Roman"/>
          <w:sz w:val="24"/>
          <w:szCs w:val="24"/>
          <w:lang w:val="en-US"/>
        </w:rPr>
        <w:t xml:space="preserve"> K., Hirano</w:t>
      </w:r>
      <w:r w:rsidR="00B817BC" w:rsidRPr="00865610">
        <w:rPr>
          <w:rFonts w:ascii="Times New Roman" w:eastAsiaTheme="minorHAnsi" w:hAnsi="Times New Roman" w:cs="Times New Roman"/>
          <w:sz w:val="24"/>
          <w:szCs w:val="24"/>
          <w:lang w:val="en-US"/>
        </w:rPr>
        <w:t>,</w:t>
      </w:r>
      <w:r w:rsidRPr="00865610">
        <w:rPr>
          <w:rFonts w:ascii="Times New Roman" w:eastAsiaTheme="minorHAnsi" w:hAnsi="Times New Roman" w:cs="Times New Roman"/>
          <w:sz w:val="24"/>
          <w:szCs w:val="24"/>
          <w:lang w:val="en-US"/>
        </w:rPr>
        <w:t xml:space="preserve"> K., </w:t>
      </w:r>
      <w:proofErr w:type="spellStart"/>
      <w:r w:rsidRPr="00865610">
        <w:rPr>
          <w:rFonts w:ascii="Times New Roman" w:eastAsiaTheme="minorHAnsi" w:hAnsi="Times New Roman" w:cs="Times New Roman"/>
          <w:sz w:val="24"/>
          <w:szCs w:val="24"/>
          <w:lang w:val="en-US"/>
        </w:rPr>
        <w:t>Kanehira</w:t>
      </w:r>
      <w:proofErr w:type="spellEnd"/>
      <w:r w:rsidR="00B817BC" w:rsidRPr="00865610">
        <w:rPr>
          <w:rFonts w:ascii="Times New Roman" w:eastAsiaTheme="minorHAnsi" w:hAnsi="Times New Roman" w:cs="Times New Roman"/>
          <w:sz w:val="24"/>
          <w:szCs w:val="24"/>
          <w:lang w:val="en-US"/>
        </w:rPr>
        <w:t>,</w:t>
      </w:r>
      <w:r w:rsidRPr="00865610">
        <w:rPr>
          <w:rFonts w:ascii="Times New Roman" w:eastAsiaTheme="minorHAnsi" w:hAnsi="Times New Roman" w:cs="Times New Roman"/>
          <w:sz w:val="24"/>
          <w:szCs w:val="24"/>
          <w:lang w:val="en-US"/>
        </w:rPr>
        <w:t xml:space="preserve"> E., </w:t>
      </w:r>
      <w:proofErr w:type="spellStart"/>
      <w:r w:rsidRPr="00865610">
        <w:rPr>
          <w:rFonts w:ascii="Times New Roman" w:eastAsiaTheme="minorHAnsi" w:hAnsi="Times New Roman" w:cs="Times New Roman"/>
          <w:sz w:val="24"/>
          <w:szCs w:val="24"/>
          <w:lang w:val="en-US"/>
        </w:rPr>
        <w:t>Kaito</w:t>
      </w:r>
      <w:proofErr w:type="spellEnd"/>
      <w:r w:rsidR="00B817BC" w:rsidRPr="00865610">
        <w:rPr>
          <w:rFonts w:ascii="Times New Roman" w:eastAsiaTheme="minorHAnsi" w:hAnsi="Times New Roman" w:cs="Times New Roman"/>
          <w:sz w:val="24"/>
          <w:szCs w:val="24"/>
          <w:lang w:val="en-US"/>
        </w:rPr>
        <w:t>,</w:t>
      </w:r>
      <w:r w:rsidRPr="00865610">
        <w:rPr>
          <w:rFonts w:ascii="Times New Roman" w:eastAsiaTheme="minorHAnsi" w:hAnsi="Times New Roman" w:cs="Times New Roman"/>
          <w:sz w:val="24"/>
          <w:szCs w:val="24"/>
          <w:lang w:val="en-US"/>
        </w:rPr>
        <w:t xml:space="preserve"> K., Tamura</w:t>
      </w:r>
      <w:r w:rsidR="00B817BC" w:rsidRPr="00865610">
        <w:rPr>
          <w:rFonts w:ascii="Times New Roman" w:eastAsiaTheme="minorHAnsi" w:hAnsi="Times New Roman" w:cs="Times New Roman"/>
          <w:sz w:val="24"/>
          <w:szCs w:val="24"/>
          <w:lang w:val="en-US"/>
        </w:rPr>
        <w:t>,</w:t>
      </w:r>
      <w:r w:rsidRPr="00865610">
        <w:rPr>
          <w:rFonts w:ascii="Times New Roman" w:eastAsiaTheme="minorHAnsi" w:hAnsi="Times New Roman" w:cs="Times New Roman"/>
          <w:sz w:val="24"/>
          <w:szCs w:val="24"/>
          <w:lang w:val="en-US"/>
        </w:rPr>
        <w:t xml:space="preserve"> M., Nishida</w:t>
      </w:r>
      <w:r w:rsidR="00B817BC" w:rsidRPr="00865610">
        <w:rPr>
          <w:rFonts w:ascii="Times New Roman" w:eastAsiaTheme="minorHAnsi" w:hAnsi="Times New Roman" w:cs="Times New Roman"/>
          <w:sz w:val="24"/>
          <w:szCs w:val="24"/>
          <w:lang w:val="en-US"/>
        </w:rPr>
        <w:t>,</w:t>
      </w:r>
      <w:r w:rsidRPr="00865610">
        <w:rPr>
          <w:rFonts w:ascii="Times New Roman" w:eastAsiaTheme="minorHAnsi" w:hAnsi="Times New Roman" w:cs="Times New Roman"/>
          <w:sz w:val="24"/>
          <w:szCs w:val="24"/>
          <w:lang w:val="en-US"/>
        </w:rPr>
        <w:t xml:space="preserve"> S., Kawakami</w:t>
      </w:r>
      <w:r w:rsidR="00B817BC" w:rsidRPr="00865610">
        <w:rPr>
          <w:rFonts w:ascii="Times New Roman" w:eastAsiaTheme="minorHAnsi" w:hAnsi="Times New Roman" w:cs="Times New Roman"/>
          <w:sz w:val="24"/>
          <w:szCs w:val="24"/>
          <w:lang w:val="en-US"/>
        </w:rPr>
        <w:t>,</w:t>
      </w:r>
      <w:r w:rsidRPr="00865610">
        <w:rPr>
          <w:rFonts w:ascii="Times New Roman" w:eastAsiaTheme="minorHAnsi" w:hAnsi="Times New Roman" w:cs="Times New Roman"/>
          <w:sz w:val="24"/>
          <w:szCs w:val="24"/>
          <w:lang w:val="en-US"/>
        </w:rPr>
        <w:t xml:space="preserve"> K.</w:t>
      </w:r>
      <w:r w:rsidR="00B817BC" w:rsidRPr="00865610">
        <w:rPr>
          <w:rFonts w:ascii="Times New Roman" w:eastAsiaTheme="minorHAnsi" w:hAnsi="Times New Roman" w:cs="Times New Roman"/>
          <w:sz w:val="24"/>
          <w:szCs w:val="24"/>
          <w:lang w:val="en-US"/>
        </w:rPr>
        <w:t xml:space="preserve"> and</w:t>
      </w:r>
      <w:r w:rsidRPr="00865610">
        <w:rPr>
          <w:rFonts w:ascii="Times New Roman" w:hAnsi="Times New Roman" w:cs="Times New Roman"/>
          <w:sz w:val="24"/>
          <w:szCs w:val="24"/>
          <w:lang w:val="en-US"/>
        </w:rPr>
        <w:t xml:space="preserve"> </w:t>
      </w:r>
      <w:r w:rsidRPr="00865610">
        <w:rPr>
          <w:rFonts w:ascii="Times New Roman" w:eastAsiaTheme="minorHAnsi" w:hAnsi="Times New Roman" w:cs="Times New Roman"/>
          <w:sz w:val="24"/>
          <w:szCs w:val="24"/>
          <w:lang w:val="en-US"/>
        </w:rPr>
        <w:t>Watanabe</w:t>
      </w:r>
      <w:r w:rsidR="00B817BC" w:rsidRPr="00865610">
        <w:rPr>
          <w:rFonts w:ascii="Times New Roman" w:eastAsiaTheme="minorHAnsi" w:hAnsi="Times New Roman" w:cs="Times New Roman"/>
          <w:sz w:val="24"/>
          <w:szCs w:val="24"/>
          <w:lang w:val="en-US"/>
        </w:rPr>
        <w:t>,</w:t>
      </w:r>
      <w:r w:rsidRPr="00865610">
        <w:rPr>
          <w:rFonts w:ascii="Times New Roman" w:eastAsiaTheme="minorHAnsi" w:hAnsi="Times New Roman" w:cs="Times New Roman"/>
          <w:sz w:val="24"/>
          <w:szCs w:val="24"/>
          <w:lang w:val="en-US"/>
        </w:rPr>
        <w:t xml:space="preserve"> Y. (2000) Small amount of low-residue diet with parenteral nutrition can prevent decreases in intestinal mucosal integrity</w:t>
      </w:r>
      <w:r w:rsidR="00B817BC" w:rsidRPr="00865610">
        <w:rPr>
          <w:rFonts w:ascii="Times New Roman" w:eastAsiaTheme="minorHAnsi" w:hAnsi="Times New Roman" w:cs="Times New Roman"/>
          <w:sz w:val="24"/>
          <w:szCs w:val="24"/>
          <w:lang w:val="en-US"/>
        </w:rPr>
        <w:t xml:space="preserve">, </w:t>
      </w:r>
      <w:r w:rsidRPr="00865610">
        <w:rPr>
          <w:rFonts w:ascii="Times New Roman" w:eastAsiaTheme="minorHAnsi" w:hAnsi="Times New Roman" w:cs="Times New Roman"/>
          <w:i/>
          <w:sz w:val="24"/>
          <w:szCs w:val="24"/>
          <w:lang w:val="en-US"/>
        </w:rPr>
        <w:t>Am Surg</w:t>
      </w:r>
      <w:r w:rsidRPr="00865610">
        <w:rPr>
          <w:rFonts w:ascii="Times New Roman" w:eastAsiaTheme="minorHAnsi" w:hAnsi="Times New Roman" w:cs="Times New Roman"/>
          <w:sz w:val="24"/>
          <w:szCs w:val="24"/>
          <w:lang w:val="en-US"/>
        </w:rPr>
        <w:t>, 231,</w:t>
      </w:r>
      <w:r w:rsidR="00B817BC" w:rsidRPr="00865610">
        <w:rPr>
          <w:rFonts w:ascii="Times New Roman" w:eastAsiaTheme="minorHAnsi" w:hAnsi="Times New Roman" w:cs="Times New Roman"/>
          <w:sz w:val="24"/>
          <w:szCs w:val="24"/>
          <w:lang w:val="en-US"/>
        </w:rPr>
        <w:t xml:space="preserve"> </w:t>
      </w:r>
      <w:r w:rsidRPr="00865610">
        <w:rPr>
          <w:rFonts w:ascii="Times New Roman" w:eastAsiaTheme="minorHAnsi" w:hAnsi="Times New Roman" w:cs="Times New Roman"/>
          <w:sz w:val="24"/>
          <w:szCs w:val="24"/>
          <w:lang w:val="en-US"/>
        </w:rPr>
        <w:t>112-</w:t>
      </w:r>
      <w:r w:rsidR="00B817BC" w:rsidRPr="00865610">
        <w:rPr>
          <w:rFonts w:ascii="Times New Roman" w:eastAsiaTheme="minorHAnsi" w:hAnsi="Times New Roman" w:cs="Times New Roman"/>
          <w:sz w:val="24"/>
          <w:szCs w:val="24"/>
          <w:lang w:val="en-US"/>
        </w:rPr>
        <w:t>11</w:t>
      </w:r>
      <w:r w:rsidRPr="00865610">
        <w:rPr>
          <w:rFonts w:ascii="Times New Roman" w:eastAsiaTheme="minorHAnsi" w:hAnsi="Times New Roman" w:cs="Times New Roman"/>
          <w:sz w:val="24"/>
          <w:szCs w:val="24"/>
          <w:lang w:val="en-US"/>
        </w:rPr>
        <w:t>8.</w:t>
      </w:r>
    </w:p>
    <w:p w14:paraId="6F659303" w14:textId="5F001945" w:rsidR="00A6515B" w:rsidRPr="003F3FAF" w:rsidRDefault="00A6515B" w:rsidP="003F3FAF">
      <w:pPr>
        <w:pStyle w:val="Prrafodelista"/>
        <w:autoSpaceDE w:val="0"/>
        <w:autoSpaceDN w:val="0"/>
        <w:adjustRightInd w:val="0"/>
        <w:spacing w:after="0" w:line="360" w:lineRule="auto"/>
        <w:ind w:left="709" w:right="49" w:hanging="567"/>
        <w:jc w:val="both"/>
        <w:rPr>
          <w:rStyle w:val="Hipervnculo"/>
          <w:rFonts w:ascii="Times New Roman" w:hAnsi="Times New Roman" w:cs="Times New Roman"/>
          <w:color w:val="auto"/>
          <w:sz w:val="24"/>
          <w:szCs w:val="24"/>
          <w:u w:val="none"/>
        </w:rPr>
      </w:pPr>
      <w:r w:rsidRPr="00DB3115">
        <w:rPr>
          <w:rFonts w:ascii="Times New Roman" w:hAnsi="Times New Roman" w:cs="Times New Roman"/>
          <w:bCs/>
          <w:sz w:val="24"/>
          <w:szCs w:val="24"/>
        </w:rPr>
        <w:t>Ponce</w:t>
      </w:r>
      <w:r w:rsidR="00B817BC">
        <w:rPr>
          <w:rFonts w:ascii="Times New Roman" w:hAnsi="Times New Roman" w:cs="Times New Roman"/>
          <w:bCs/>
          <w:sz w:val="24"/>
          <w:szCs w:val="24"/>
        </w:rPr>
        <w:t>,</w:t>
      </w:r>
      <w:r w:rsidRPr="00DB3115">
        <w:rPr>
          <w:rFonts w:ascii="Times New Roman" w:hAnsi="Times New Roman" w:cs="Times New Roman"/>
          <w:bCs/>
          <w:sz w:val="24"/>
          <w:szCs w:val="24"/>
        </w:rPr>
        <w:t xml:space="preserve"> G., Cornejo</w:t>
      </w:r>
      <w:r w:rsidR="00B817BC">
        <w:rPr>
          <w:rFonts w:ascii="Times New Roman" w:hAnsi="Times New Roman" w:cs="Times New Roman"/>
          <w:bCs/>
          <w:sz w:val="24"/>
          <w:szCs w:val="24"/>
        </w:rPr>
        <w:t>,</w:t>
      </w:r>
      <w:r w:rsidRPr="00DB3115">
        <w:rPr>
          <w:rFonts w:ascii="Times New Roman" w:hAnsi="Times New Roman" w:cs="Times New Roman"/>
          <w:bCs/>
          <w:sz w:val="24"/>
          <w:szCs w:val="24"/>
        </w:rPr>
        <w:t xml:space="preserve"> J.</w:t>
      </w:r>
      <w:r w:rsidR="00B817BC">
        <w:rPr>
          <w:rFonts w:ascii="Times New Roman" w:hAnsi="Times New Roman" w:cs="Times New Roman"/>
          <w:bCs/>
          <w:sz w:val="24"/>
          <w:szCs w:val="24"/>
        </w:rPr>
        <w:t xml:space="preserve"> </w:t>
      </w:r>
      <w:r w:rsidRPr="00DB3115">
        <w:rPr>
          <w:rFonts w:ascii="Times New Roman" w:hAnsi="Times New Roman" w:cs="Times New Roman"/>
          <w:bCs/>
          <w:sz w:val="24"/>
          <w:szCs w:val="24"/>
        </w:rPr>
        <w:t>M., Pérez</w:t>
      </w:r>
      <w:r w:rsidR="00B817BC">
        <w:rPr>
          <w:rFonts w:ascii="Times New Roman" w:hAnsi="Times New Roman" w:cs="Times New Roman"/>
          <w:bCs/>
          <w:sz w:val="24"/>
          <w:szCs w:val="24"/>
        </w:rPr>
        <w:t>,</w:t>
      </w:r>
      <w:r w:rsidRPr="00DB3115">
        <w:rPr>
          <w:rFonts w:ascii="Times New Roman" w:hAnsi="Times New Roman" w:cs="Times New Roman"/>
          <w:bCs/>
          <w:sz w:val="24"/>
          <w:szCs w:val="24"/>
        </w:rPr>
        <w:t xml:space="preserve"> M.</w:t>
      </w:r>
      <w:r w:rsidR="00B817BC">
        <w:rPr>
          <w:rFonts w:ascii="Times New Roman" w:hAnsi="Times New Roman" w:cs="Times New Roman"/>
          <w:bCs/>
          <w:sz w:val="24"/>
          <w:szCs w:val="24"/>
        </w:rPr>
        <w:t xml:space="preserve"> </w:t>
      </w:r>
      <w:r w:rsidRPr="00DB3115">
        <w:rPr>
          <w:rFonts w:ascii="Times New Roman" w:hAnsi="Times New Roman" w:cs="Times New Roman"/>
          <w:bCs/>
          <w:sz w:val="24"/>
          <w:szCs w:val="24"/>
        </w:rPr>
        <w:t>E.</w:t>
      </w:r>
      <w:r w:rsidR="00B817BC">
        <w:rPr>
          <w:rFonts w:ascii="Times New Roman" w:hAnsi="Times New Roman" w:cs="Times New Roman"/>
          <w:bCs/>
          <w:sz w:val="24"/>
          <w:szCs w:val="24"/>
        </w:rPr>
        <w:t xml:space="preserve"> y</w:t>
      </w:r>
      <w:r w:rsidRPr="00DB3115">
        <w:rPr>
          <w:rFonts w:ascii="Times New Roman" w:hAnsi="Times New Roman" w:cs="Times New Roman"/>
          <w:sz w:val="24"/>
          <w:szCs w:val="24"/>
        </w:rPr>
        <w:t xml:space="preserve"> </w:t>
      </w:r>
      <w:r w:rsidRPr="00DB3115">
        <w:rPr>
          <w:rFonts w:ascii="Times New Roman" w:hAnsi="Times New Roman" w:cs="Times New Roman"/>
          <w:bCs/>
          <w:sz w:val="24"/>
          <w:szCs w:val="24"/>
        </w:rPr>
        <w:t>Mayagoitia</w:t>
      </w:r>
      <w:r w:rsidR="00B817BC">
        <w:rPr>
          <w:rFonts w:ascii="Times New Roman" w:hAnsi="Times New Roman" w:cs="Times New Roman"/>
          <w:bCs/>
          <w:sz w:val="24"/>
          <w:szCs w:val="24"/>
        </w:rPr>
        <w:t>,</w:t>
      </w:r>
      <w:r w:rsidRPr="00DB3115">
        <w:rPr>
          <w:rFonts w:ascii="Times New Roman" w:hAnsi="Times New Roman" w:cs="Times New Roman"/>
          <w:bCs/>
          <w:sz w:val="24"/>
          <w:szCs w:val="24"/>
        </w:rPr>
        <w:t xml:space="preserve"> J.</w:t>
      </w:r>
      <w:r w:rsidR="00B817BC">
        <w:rPr>
          <w:rFonts w:ascii="Times New Roman" w:hAnsi="Times New Roman" w:cs="Times New Roman"/>
          <w:bCs/>
          <w:sz w:val="24"/>
          <w:szCs w:val="24"/>
        </w:rPr>
        <w:t xml:space="preserve"> </w:t>
      </w:r>
      <w:r w:rsidRPr="00DB3115">
        <w:rPr>
          <w:rFonts w:ascii="Times New Roman" w:hAnsi="Times New Roman" w:cs="Times New Roman"/>
          <w:bCs/>
          <w:sz w:val="24"/>
          <w:szCs w:val="24"/>
        </w:rPr>
        <w:t>J.</w:t>
      </w:r>
      <w:r w:rsidRPr="00DB3115">
        <w:rPr>
          <w:rFonts w:ascii="Times New Roman" w:hAnsi="Times New Roman" w:cs="Times New Roman"/>
          <w:sz w:val="24"/>
          <w:szCs w:val="24"/>
        </w:rPr>
        <w:t xml:space="preserve"> (2015). </w:t>
      </w:r>
      <w:r w:rsidRPr="00DB3115">
        <w:rPr>
          <w:rFonts w:ascii="Times New Roman" w:hAnsi="Times New Roman" w:cs="Times New Roman"/>
          <w:bCs/>
          <w:sz w:val="24"/>
          <w:szCs w:val="24"/>
        </w:rPr>
        <w:t xml:space="preserve">Nutrición enteral temprana en el paciente con traumatismo craneoencefálico: revisión sistemática de ensayos clínicos. </w:t>
      </w:r>
      <w:r w:rsidRPr="00DB3115">
        <w:rPr>
          <w:rFonts w:ascii="Times New Roman" w:hAnsi="Times New Roman" w:cs="Times New Roman"/>
          <w:bCs/>
          <w:i/>
          <w:sz w:val="24"/>
          <w:szCs w:val="24"/>
        </w:rPr>
        <w:t>Revista Iberoamericana de Ciencias de la Salud</w:t>
      </w:r>
      <w:r w:rsidR="00B817BC">
        <w:rPr>
          <w:rFonts w:ascii="Times New Roman" w:hAnsi="Times New Roman" w:cs="Times New Roman"/>
          <w:bCs/>
          <w:sz w:val="24"/>
          <w:szCs w:val="24"/>
        </w:rPr>
        <w:t xml:space="preserve">, </w:t>
      </w:r>
      <w:r w:rsidRPr="003F3FAF">
        <w:rPr>
          <w:rFonts w:ascii="Times New Roman" w:hAnsi="Times New Roman" w:cs="Times New Roman"/>
          <w:bCs/>
          <w:i/>
          <w:iCs/>
          <w:sz w:val="24"/>
          <w:szCs w:val="24"/>
        </w:rPr>
        <w:t>4</w:t>
      </w:r>
      <w:r w:rsidRPr="00DB3115">
        <w:rPr>
          <w:rFonts w:ascii="Times New Roman" w:hAnsi="Times New Roman" w:cs="Times New Roman"/>
          <w:bCs/>
          <w:sz w:val="24"/>
          <w:szCs w:val="24"/>
        </w:rPr>
        <w:t>(7)</w:t>
      </w:r>
      <w:r>
        <w:rPr>
          <w:rFonts w:ascii="Times New Roman" w:hAnsi="Times New Roman" w:cs="Times New Roman"/>
          <w:bCs/>
          <w:sz w:val="24"/>
          <w:szCs w:val="24"/>
        </w:rPr>
        <w:t>,</w:t>
      </w:r>
      <w:r w:rsidR="00B817BC">
        <w:rPr>
          <w:rFonts w:ascii="Times New Roman" w:hAnsi="Times New Roman" w:cs="Times New Roman"/>
          <w:bCs/>
          <w:sz w:val="24"/>
          <w:szCs w:val="24"/>
        </w:rPr>
        <w:t xml:space="preserve"> </w:t>
      </w:r>
      <w:r w:rsidRPr="00DB3115">
        <w:rPr>
          <w:rFonts w:ascii="Times New Roman" w:hAnsi="Times New Roman" w:cs="Times New Roman"/>
          <w:bCs/>
          <w:sz w:val="24"/>
          <w:szCs w:val="24"/>
        </w:rPr>
        <w:t>1-17.</w:t>
      </w:r>
    </w:p>
    <w:p w14:paraId="1C22EF91" w14:textId="2A474366" w:rsidR="00A6515B" w:rsidRPr="00505A5A" w:rsidRDefault="00A6515B" w:rsidP="003F3FAF">
      <w:pPr>
        <w:pStyle w:val="Prrafodelista"/>
        <w:autoSpaceDE w:val="0"/>
        <w:autoSpaceDN w:val="0"/>
        <w:adjustRightInd w:val="0"/>
        <w:spacing w:after="0" w:line="360" w:lineRule="auto"/>
        <w:ind w:left="709" w:right="49" w:hanging="567"/>
        <w:jc w:val="both"/>
      </w:pPr>
      <w:r w:rsidRPr="00DB3115">
        <w:rPr>
          <w:rFonts w:ascii="Times New Roman" w:hAnsi="Times New Roman" w:cs="Times New Roman"/>
          <w:sz w:val="24"/>
          <w:szCs w:val="24"/>
        </w:rPr>
        <w:t>Ramírez</w:t>
      </w:r>
      <w:r w:rsidR="00B10CA1">
        <w:rPr>
          <w:rFonts w:ascii="Times New Roman" w:hAnsi="Times New Roman" w:cs="Times New Roman"/>
          <w:sz w:val="24"/>
          <w:szCs w:val="24"/>
        </w:rPr>
        <w:t>,</w:t>
      </w:r>
      <w:r w:rsidRPr="00DB3115">
        <w:rPr>
          <w:rFonts w:ascii="Times New Roman" w:hAnsi="Times New Roman" w:cs="Times New Roman"/>
          <w:sz w:val="24"/>
          <w:szCs w:val="24"/>
        </w:rPr>
        <w:t xml:space="preserve"> S., Gutiérrez</w:t>
      </w:r>
      <w:r w:rsidR="00B10CA1">
        <w:rPr>
          <w:rFonts w:ascii="Times New Roman" w:hAnsi="Times New Roman" w:cs="Times New Roman"/>
          <w:sz w:val="24"/>
          <w:szCs w:val="24"/>
        </w:rPr>
        <w:t>,</w:t>
      </w:r>
      <w:r w:rsidRPr="00DB3115">
        <w:rPr>
          <w:rFonts w:ascii="Times New Roman" w:hAnsi="Times New Roman" w:cs="Times New Roman"/>
          <w:sz w:val="24"/>
          <w:szCs w:val="24"/>
        </w:rPr>
        <w:t xml:space="preserve"> I.</w:t>
      </w:r>
      <w:r w:rsidR="00B10CA1">
        <w:rPr>
          <w:rFonts w:ascii="Times New Roman" w:hAnsi="Times New Roman" w:cs="Times New Roman"/>
          <w:sz w:val="24"/>
          <w:szCs w:val="24"/>
        </w:rPr>
        <w:t xml:space="preserve"> </w:t>
      </w:r>
      <w:r w:rsidRPr="00DB3115">
        <w:rPr>
          <w:rFonts w:ascii="Times New Roman" w:hAnsi="Times New Roman" w:cs="Times New Roman"/>
          <w:sz w:val="24"/>
          <w:szCs w:val="24"/>
        </w:rPr>
        <w:t>R.</w:t>
      </w:r>
      <w:r w:rsidR="00B10CA1">
        <w:rPr>
          <w:rFonts w:ascii="Times New Roman" w:hAnsi="Times New Roman" w:cs="Times New Roman"/>
          <w:sz w:val="24"/>
          <w:szCs w:val="24"/>
        </w:rPr>
        <w:t>,</w:t>
      </w:r>
      <w:r w:rsidRPr="00DB3115">
        <w:rPr>
          <w:rFonts w:ascii="Times New Roman" w:hAnsi="Times New Roman" w:cs="Times New Roman"/>
          <w:sz w:val="24"/>
          <w:szCs w:val="24"/>
        </w:rPr>
        <w:t xml:space="preserve"> Domínguez</w:t>
      </w:r>
      <w:r w:rsidR="00B10CA1">
        <w:rPr>
          <w:rFonts w:ascii="Times New Roman" w:hAnsi="Times New Roman" w:cs="Times New Roman"/>
          <w:sz w:val="24"/>
          <w:szCs w:val="24"/>
        </w:rPr>
        <w:t>,</w:t>
      </w:r>
      <w:r w:rsidRPr="00DB3115">
        <w:rPr>
          <w:rFonts w:ascii="Times New Roman" w:hAnsi="Times New Roman" w:cs="Times New Roman"/>
          <w:sz w:val="24"/>
          <w:szCs w:val="24"/>
        </w:rPr>
        <w:t xml:space="preserve"> A.</w:t>
      </w:r>
      <w:r w:rsidR="00B10CA1">
        <w:rPr>
          <w:rFonts w:ascii="Times New Roman" w:hAnsi="Times New Roman" w:cs="Times New Roman"/>
          <w:sz w:val="24"/>
          <w:szCs w:val="24"/>
        </w:rPr>
        <w:t xml:space="preserve"> y</w:t>
      </w:r>
      <w:r w:rsidRPr="00DB3115">
        <w:rPr>
          <w:rFonts w:ascii="Times New Roman" w:hAnsi="Times New Roman" w:cs="Times New Roman"/>
          <w:sz w:val="24"/>
          <w:szCs w:val="24"/>
        </w:rPr>
        <w:t xml:space="preserve"> Barba</w:t>
      </w:r>
      <w:r w:rsidR="00B10CA1">
        <w:rPr>
          <w:rFonts w:ascii="Times New Roman" w:hAnsi="Times New Roman" w:cs="Times New Roman"/>
          <w:sz w:val="24"/>
          <w:szCs w:val="24"/>
        </w:rPr>
        <w:t>,</w:t>
      </w:r>
      <w:r w:rsidRPr="00DB3115">
        <w:rPr>
          <w:rFonts w:ascii="Times New Roman" w:hAnsi="Times New Roman" w:cs="Times New Roman"/>
          <w:sz w:val="24"/>
          <w:szCs w:val="24"/>
        </w:rPr>
        <w:t xml:space="preserve"> C. (2008). Respuesta Metabólica al Trauma. </w:t>
      </w:r>
      <w:r w:rsidRPr="00DB3115">
        <w:rPr>
          <w:rFonts w:ascii="Times New Roman" w:hAnsi="Times New Roman" w:cs="Times New Roman"/>
          <w:i/>
          <w:sz w:val="24"/>
          <w:szCs w:val="24"/>
        </w:rPr>
        <w:t>Revista de Medicina Interna y Crítica</w:t>
      </w:r>
      <w:r w:rsidR="00B817BC">
        <w:rPr>
          <w:rFonts w:ascii="Times New Roman" w:hAnsi="Times New Roman" w:cs="Times New Roman"/>
          <w:sz w:val="24"/>
          <w:szCs w:val="24"/>
        </w:rPr>
        <w:t>,</w:t>
      </w:r>
      <w:r w:rsidR="00B817BC" w:rsidRPr="00DB3115">
        <w:rPr>
          <w:rFonts w:ascii="Times New Roman" w:hAnsi="Times New Roman" w:cs="Times New Roman"/>
          <w:sz w:val="24"/>
          <w:szCs w:val="24"/>
        </w:rPr>
        <w:t xml:space="preserve"> </w:t>
      </w:r>
      <w:r w:rsidRPr="003F3FAF">
        <w:rPr>
          <w:rFonts w:ascii="Times New Roman" w:hAnsi="Times New Roman" w:cs="Times New Roman"/>
          <w:i/>
          <w:iCs/>
          <w:sz w:val="24"/>
          <w:szCs w:val="24"/>
        </w:rPr>
        <w:t>5</w:t>
      </w:r>
      <w:r w:rsidRPr="00DB3115">
        <w:rPr>
          <w:rFonts w:ascii="Times New Roman" w:hAnsi="Times New Roman" w:cs="Times New Roman"/>
          <w:sz w:val="24"/>
          <w:szCs w:val="24"/>
        </w:rPr>
        <w:t>(4)</w:t>
      </w:r>
      <w:r>
        <w:rPr>
          <w:rFonts w:ascii="Times New Roman" w:hAnsi="Times New Roman" w:cs="Times New Roman"/>
          <w:sz w:val="24"/>
          <w:szCs w:val="24"/>
        </w:rPr>
        <w:t>,</w:t>
      </w:r>
      <w:r w:rsidR="00B817BC">
        <w:rPr>
          <w:rFonts w:ascii="Times New Roman" w:hAnsi="Times New Roman" w:cs="Times New Roman"/>
          <w:sz w:val="24"/>
          <w:szCs w:val="24"/>
        </w:rPr>
        <w:t xml:space="preserve"> </w:t>
      </w:r>
      <w:r w:rsidRPr="00DB3115">
        <w:rPr>
          <w:rFonts w:ascii="Times New Roman" w:hAnsi="Times New Roman" w:cs="Times New Roman"/>
          <w:sz w:val="24"/>
          <w:szCs w:val="24"/>
        </w:rPr>
        <w:t>130-133.</w:t>
      </w:r>
      <w:r w:rsidR="00505A5A">
        <w:rPr>
          <w:rFonts w:ascii="Times New Roman" w:hAnsi="Times New Roman" w:cs="Times New Roman"/>
          <w:sz w:val="24"/>
          <w:szCs w:val="24"/>
        </w:rPr>
        <w:t xml:space="preserve"> </w:t>
      </w:r>
      <w:r w:rsidRPr="003F3FAF">
        <w:rPr>
          <w:rFonts w:ascii="Times New Roman" w:eastAsiaTheme="minorHAnsi" w:hAnsi="Times New Roman" w:cs="Times New Roman"/>
          <w:sz w:val="24"/>
          <w:szCs w:val="24"/>
          <w:lang w:eastAsia="en-US"/>
        </w:rPr>
        <w:t xml:space="preserve">Recuperado de </w:t>
      </w:r>
      <w:hyperlink r:id="rId14" w:history="1">
        <w:r w:rsidRPr="003F3FAF">
          <w:rPr>
            <w:rStyle w:val="Hipervnculo"/>
            <w:rFonts w:ascii="Times New Roman" w:eastAsiaTheme="minorHAnsi" w:hAnsi="Times New Roman" w:cs="Times New Roman"/>
            <w:color w:val="auto"/>
            <w:sz w:val="24"/>
            <w:szCs w:val="24"/>
            <w:lang w:eastAsia="en-US"/>
          </w:rPr>
          <w:t>http://bvs.sld.cu/revistas/mie/vol2_4_03/mie06403.pdf</w:t>
        </w:r>
      </w:hyperlink>
      <w:r w:rsidR="00B817BC">
        <w:rPr>
          <w:rStyle w:val="Hipervnculo"/>
          <w:rFonts w:ascii="Times New Roman" w:hAnsi="Times New Roman" w:cs="Times New Roman"/>
          <w:color w:val="auto"/>
          <w:sz w:val="24"/>
          <w:szCs w:val="24"/>
        </w:rPr>
        <w:t>.</w:t>
      </w:r>
    </w:p>
    <w:p w14:paraId="21FCE603" w14:textId="5676F852" w:rsidR="00A6515B" w:rsidRPr="00B817BC" w:rsidRDefault="00A6515B" w:rsidP="003F3FAF">
      <w:pPr>
        <w:pStyle w:val="Prrafodelista"/>
        <w:autoSpaceDE w:val="0"/>
        <w:autoSpaceDN w:val="0"/>
        <w:adjustRightInd w:val="0"/>
        <w:spacing w:after="0" w:line="360" w:lineRule="auto"/>
        <w:ind w:left="709" w:right="49" w:hanging="567"/>
        <w:jc w:val="both"/>
        <w:rPr>
          <w:rFonts w:eastAsiaTheme="minorHAnsi"/>
        </w:rPr>
      </w:pPr>
      <w:r w:rsidRPr="00DB3115">
        <w:rPr>
          <w:rFonts w:ascii="Times New Roman" w:eastAsiaTheme="minorHAnsi" w:hAnsi="Times New Roman" w:cs="Times New Roman"/>
          <w:sz w:val="24"/>
          <w:szCs w:val="24"/>
        </w:rPr>
        <w:t>Rodríguez</w:t>
      </w:r>
      <w:r w:rsidR="00B10CA1">
        <w:rPr>
          <w:rFonts w:ascii="Times New Roman" w:eastAsiaTheme="minorHAnsi" w:hAnsi="Times New Roman" w:cs="Times New Roman"/>
          <w:sz w:val="24"/>
          <w:szCs w:val="24"/>
        </w:rPr>
        <w:t>,</w:t>
      </w:r>
      <w:r w:rsidRPr="00DB3115">
        <w:rPr>
          <w:rFonts w:ascii="Times New Roman" w:eastAsiaTheme="minorHAnsi" w:hAnsi="Times New Roman" w:cs="Times New Roman"/>
          <w:sz w:val="24"/>
          <w:szCs w:val="24"/>
        </w:rPr>
        <w:t xml:space="preserve"> D., Rodríguez</w:t>
      </w:r>
      <w:r w:rsidR="00B10CA1">
        <w:rPr>
          <w:rFonts w:ascii="Times New Roman" w:eastAsiaTheme="minorHAnsi" w:hAnsi="Times New Roman" w:cs="Times New Roman"/>
          <w:sz w:val="24"/>
          <w:szCs w:val="24"/>
        </w:rPr>
        <w:t>,</w:t>
      </w:r>
      <w:r w:rsidRPr="00DB3115">
        <w:rPr>
          <w:rFonts w:ascii="Times New Roman" w:eastAsiaTheme="minorHAnsi" w:hAnsi="Times New Roman" w:cs="Times New Roman"/>
          <w:sz w:val="24"/>
          <w:szCs w:val="24"/>
        </w:rPr>
        <w:t xml:space="preserve"> C., Alfonso</w:t>
      </w:r>
      <w:r w:rsidR="00B10CA1">
        <w:rPr>
          <w:rFonts w:ascii="Times New Roman" w:eastAsiaTheme="minorHAnsi" w:hAnsi="Times New Roman" w:cs="Times New Roman"/>
          <w:sz w:val="24"/>
          <w:szCs w:val="24"/>
        </w:rPr>
        <w:t>,</w:t>
      </w:r>
      <w:r w:rsidRPr="00DB3115">
        <w:rPr>
          <w:rFonts w:ascii="Times New Roman" w:eastAsiaTheme="minorHAnsi" w:hAnsi="Times New Roman" w:cs="Times New Roman"/>
          <w:sz w:val="24"/>
          <w:szCs w:val="24"/>
        </w:rPr>
        <w:t xml:space="preserve"> L., Castellanos</w:t>
      </w:r>
      <w:r w:rsidR="00B10CA1">
        <w:rPr>
          <w:rFonts w:ascii="Times New Roman" w:eastAsiaTheme="minorHAnsi" w:hAnsi="Times New Roman" w:cs="Times New Roman"/>
          <w:sz w:val="24"/>
          <w:szCs w:val="24"/>
        </w:rPr>
        <w:t>,</w:t>
      </w:r>
      <w:r w:rsidRPr="00DB3115">
        <w:rPr>
          <w:rFonts w:ascii="Times New Roman" w:eastAsiaTheme="minorHAnsi" w:hAnsi="Times New Roman" w:cs="Times New Roman"/>
          <w:sz w:val="24"/>
          <w:szCs w:val="24"/>
        </w:rPr>
        <w:t xml:space="preserve"> E., Reyes</w:t>
      </w:r>
      <w:r w:rsidR="00B10CA1">
        <w:rPr>
          <w:rFonts w:ascii="Times New Roman" w:eastAsiaTheme="minorHAnsi" w:hAnsi="Times New Roman" w:cs="Times New Roman"/>
          <w:sz w:val="24"/>
          <w:szCs w:val="24"/>
        </w:rPr>
        <w:t>,</w:t>
      </w:r>
      <w:r w:rsidRPr="00DB3115">
        <w:rPr>
          <w:rFonts w:ascii="Times New Roman" w:eastAsiaTheme="minorHAnsi" w:hAnsi="Times New Roman" w:cs="Times New Roman"/>
          <w:sz w:val="24"/>
          <w:szCs w:val="24"/>
        </w:rPr>
        <w:t xml:space="preserve"> M</w:t>
      </w:r>
      <w:r w:rsidR="00B10CA1">
        <w:rPr>
          <w:rFonts w:ascii="Times New Roman" w:eastAsiaTheme="minorHAnsi" w:hAnsi="Times New Roman" w:cs="Times New Roman"/>
          <w:sz w:val="24"/>
          <w:szCs w:val="24"/>
        </w:rPr>
        <w:t>. y</w:t>
      </w:r>
      <w:r w:rsidRPr="00DB3115">
        <w:rPr>
          <w:rFonts w:ascii="Times New Roman" w:eastAsiaTheme="minorHAnsi" w:hAnsi="Times New Roman" w:cs="Times New Roman"/>
          <w:sz w:val="24"/>
          <w:szCs w:val="24"/>
        </w:rPr>
        <w:t xml:space="preserve"> Quintana</w:t>
      </w:r>
      <w:r w:rsidR="00B10CA1">
        <w:rPr>
          <w:rFonts w:ascii="Times New Roman" w:eastAsiaTheme="minorHAnsi" w:hAnsi="Times New Roman" w:cs="Times New Roman"/>
          <w:sz w:val="24"/>
          <w:szCs w:val="24"/>
        </w:rPr>
        <w:t>,</w:t>
      </w:r>
      <w:r w:rsidRPr="00DB3115">
        <w:rPr>
          <w:rFonts w:ascii="Times New Roman" w:eastAsiaTheme="minorHAnsi" w:hAnsi="Times New Roman" w:cs="Times New Roman"/>
          <w:sz w:val="24"/>
          <w:szCs w:val="24"/>
        </w:rPr>
        <w:t xml:space="preserve"> M. (2012). La respuesta metabólica en el trauma. </w:t>
      </w:r>
      <w:r w:rsidRPr="00DB3115">
        <w:rPr>
          <w:rFonts w:ascii="Times New Roman" w:eastAsiaTheme="minorHAnsi" w:hAnsi="Times New Roman" w:cs="Times New Roman"/>
          <w:i/>
          <w:iCs/>
          <w:sz w:val="24"/>
          <w:szCs w:val="24"/>
        </w:rPr>
        <w:t>Revista Cubana de Medicina Militar</w:t>
      </w:r>
      <w:r w:rsidRPr="00DB3115">
        <w:rPr>
          <w:rFonts w:ascii="Times New Roman" w:eastAsiaTheme="minorHAnsi" w:hAnsi="Times New Roman" w:cs="Times New Roman"/>
          <w:sz w:val="24"/>
          <w:szCs w:val="24"/>
        </w:rPr>
        <w:t xml:space="preserve">, </w:t>
      </w:r>
      <w:r w:rsidRPr="003F3FAF">
        <w:rPr>
          <w:rFonts w:ascii="Times New Roman" w:hAnsi="Times New Roman" w:cs="Times New Roman"/>
          <w:i/>
          <w:iCs/>
          <w:sz w:val="24"/>
          <w:szCs w:val="24"/>
        </w:rPr>
        <w:t>41</w:t>
      </w:r>
      <w:r w:rsidRPr="00DB3115">
        <w:rPr>
          <w:rFonts w:ascii="Times New Roman" w:eastAsiaTheme="minorHAnsi" w:hAnsi="Times New Roman" w:cs="Times New Roman"/>
          <w:sz w:val="24"/>
          <w:szCs w:val="24"/>
        </w:rPr>
        <w:t>(1)</w:t>
      </w:r>
      <w:r>
        <w:rPr>
          <w:rFonts w:ascii="Times New Roman" w:eastAsiaTheme="minorHAnsi" w:hAnsi="Times New Roman" w:cs="Times New Roman"/>
          <w:sz w:val="24"/>
          <w:szCs w:val="24"/>
        </w:rPr>
        <w:t>,</w:t>
      </w:r>
      <w:r w:rsidRPr="00DB3115">
        <w:rPr>
          <w:rFonts w:ascii="Times New Roman" w:eastAsiaTheme="minorHAnsi" w:hAnsi="Times New Roman" w:cs="Times New Roman"/>
          <w:sz w:val="24"/>
          <w:szCs w:val="24"/>
        </w:rPr>
        <w:t>96-104.</w:t>
      </w:r>
    </w:p>
    <w:p w14:paraId="64A0B12E" w14:textId="709643DC" w:rsidR="00A6515B" w:rsidRPr="00505A5A" w:rsidRDefault="00A6515B" w:rsidP="003F3FAF">
      <w:pPr>
        <w:pStyle w:val="Prrafodelista"/>
        <w:spacing w:after="0" w:line="360" w:lineRule="auto"/>
        <w:ind w:left="709" w:right="49" w:hanging="567"/>
        <w:jc w:val="both"/>
      </w:pPr>
      <w:r w:rsidRPr="00DB3115">
        <w:rPr>
          <w:rFonts w:ascii="Times New Roman" w:hAnsi="Times New Roman" w:cs="Times New Roman"/>
          <w:bCs/>
          <w:sz w:val="24"/>
          <w:szCs w:val="24"/>
          <w:shd w:val="clear" w:color="auto" w:fill="FFFFFF"/>
        </w:rPr>
        <w:t>Rodríguez</w:t>
      </w:r>
      <w:r w:rsidR="00B817BC">
        <w:rPr>
          <w:rFonts w:ascii="Times New Roman" w:hAnsi="Times New Roman" w:cs="Times New Roman"/>
          <w:bCs/>
          <w:sz w:val="24"/>
          <w:szCs w:val="24"/>
          <w:shd w:val="clear" w:color="auto" w:fill="FFFFFF"/>
        </w:rPr>
        <w:t>,</w:t>
      </w:r>
      <w:r w:rsidRPr="00DB3115">
        <w:rPr>
          <w:rFonts w:ascii="Times New Roman" w:hAnsi="Times New Roman" w:cs="Times New Roman"/>
          <w:bCs/>
          <w:sz w:val="24"/>
          <w:szCs w:val="24"/>
          <w:shd w:val="clear" w:color="auto" w:fill="FFFFFF"/>
        </w:rPr>
        <w:t xml:space="preserve"> D., Rodríguez</w:t>
      </w:r>
      <w:r w:rsidR="00B817BC">
        <w:rPr>
          <w:rFonts w:ascii="Times New Roman" w:hAnsi="Times New Roman" w:cs="Times New Roman"/>
          <w:bCs/>
          <w:sz w:val="24"/>
          <w:szCs w:val="24"/>
          <w:shd w:val="clear" w:color="auto" w:fill="FFFFFF"/>
        </w:rPr>
        <w:t>,</w:t>
      </w:r>
      <w:r w:rsidR="00B817BC" w:rsidRPr="00DB3115">
        <w:rPr>
          <w:rFonts w:ascii="Times New Roman" w:hAnsi="Times New Roman" w:cs="Times New Roman"/>
          <w:bCs/>
          <w:sz w:val="24"/>
          <w:szCs w:val="24"/>
          <w:shd w:val="clear" w:color="auto" w:fill="FFFFFF"/>
        </w:rPr>
        <w:t xml:space="preserve"> </w:t>
      </w:r>
      <w:r w:rsidRPr="00DB3115">
        <w:rPr>
          <w:rFonts w:ascii="Times New Roman" w:hAnsi="Times New Roman" w:cs="Times New Roman"/>
          <w:bCs/>
          <w:sz w:val="24"/>
          <w:szCs w:val="24"/>
          <w:shd w:val="clear" w:color="auto" w:fill="FFFFFF"/>
        </w:rPr>
        <w:t>C.,</w:t>
      </w:r>
      <w:r w:rsidRPr="00DB3115">
        <w:rPr>
          <w:rFonts w:ascii="Times New Roman" w:hAnsi="Times New Roman" w:cs="Times New Roman"/>
          <w:bCs/>
          <w:sz w:val="24"/>
          <w:szCs w:val="24"/>
          <w:shd w:val="clear" w:color="auto" w:fill="FFFFFF"/>
          <w:vertAlign w:val="superscript"/>
        </w:rPr>
        <w:t xml:space="preserve"> </w:t>
      </w:r>
      <w:proofErr w:type="spellStart"/>
      <w:r w:rsidRPr="00DB3115">
        <w:rPr>
          <w:rFonts w:ascii="Times New Roman" w:hAnsi="Times New Roman" w:cs="Times New Roman"/>
          <w:bCs/>
          <w:sz w:val="24"/>
          <w:szCs w:val="24"/>
          <w:shd w:val="clear" w:color="auto" w:fill="FFFFFF"/>
        </w:rPr>
        <w:t>Emerio</w:t>
      </w:r>
      <w:proofErr w:type="spellEnd"/>
      <w:r w:rsidR="00B817BC">
        <w:rPr>
          <w:rFonts w:ascii="Times New Roman" w:hAnsi="Times New Roman" w:cs="Times New Roman"/>
          <w:bCs/>
          <w:sz w:val="24"/>
          <w:szCs w:val="24"/>
          <w:shd w:val="clear" w:color="auto" w:fill="FFFFFF"/>
        </w:rPr>
        <w:t>,</w:t>
      </w:r>
      <w:r w:rsidRPr="00DB3115">
        <w:rPr>
          <w:rFonts w:ascii="Times New Roman" w:hAnsi="Times New Roman" w:cs="Times New Roman"/>
          <w:bCs/>
          <w:sz w:val="24"/>
          <w:szCs w:val="24"/>
          <w:shd w:val="clear" w:color="auto" w:fill="FFFFFF"/>
        </w:rPr>
        <w:t xml:space="preserve"> A.</w:t>
      </w:r>
      <w:r w:rsidR="00B817BC">
        <w:rPr>
          <w:rFonts w:ascii="Times New Roman" w:hAnsi="Times New Roman" w:cs="Times New Roman"/>
          <w:bCs/>
          <w:sz w:val="24"/>
          <w:szCs w:val="24"/>
          <w:shd w:val="clear" w:color="auto" w:fill="FFFFFF"/>
        </w:rPr>
        <w:t xml:space="preserve"> </w:t>
      </w:r>
      <w:r w:rsidRPr="00DB3115">
        <w:rPr>
          <w:rFonts w:ascii="Times New Roman" w:hAnsi="Times New Roman" w:cs="Times New Roman"/>
          <w:bCs/>
          <w:sz w:val="24"/>
          <w:szCs w:val="24"/>
          <w:shd w:val="clear" w:color="auto" w:fill="FFFFFF"/>
        </w:rPr>
        <w:t>C.,</w:t>
      </w:r>
      <w:r w:rsidRPr="00DB3115">
        <w:rPr>
          <w:rFonts w:ascii="Times New Roman" w:hAnsi="Times New Roman" w:cs="Times New Roman"/>
          <w:bCs/>
          <w:sz w:val="24"/>
          <w:szCs w:val="24"/>
          <w:shd w:val="clear" w:color="auto" w:fill="FFFFFF"/>
          <w:vertAlign w:val="superscript"/>
        </w:rPr>
        <w:t xml:space="preserve"> </w:t>
      </w:r>
      <w:r w:rsidRPr="00DB3115">
        <w:rPr>
          <w:rFonts w:ascii="Times New Roman" w:hAnsi="Times New Roman" w:cs="Times New Roman"/>
          <w:bCs/>
          <w:sz w:val="24"/>
          <w:szCs w:val="24"/>
          <w:shd w:val="clear" w:color="auto" w:fill="FFFFFF"/>
        </w:rPr>
        <w:t>Castellanos</w:t>
      </w:r>
      <w:r w:rsidR="00B817BC">
        <w:rPr>
          <w:rFonts w:ascii="Times New Roman" w:hAnsi="Times New Roman" w:cs="Times New Roman"/>
          <w:bCs/>
          <w:sz w:val="24"/>
          <w:szCs w:val="24"/>
          <w:shd w:val="clear" w:color="auto" w:fill="FFFFFF"/>
        </w:rPr>
        <w:t>,</w:t>
      </w:r>
      <w:r w:rsidRPr="00DB3115">
        <w:rPr>
          <w:rFonts w:ascii="Times New Roman" w:hAnsi="Times New Roman" w:cs="Times New Roman"/>
          <w:bCs/>
          <w:sz w:val="24"/>
          <w:szCs w:val="24"/>
          <w:shd w:val="clear" w:color="auto" w:fill="FFFFFF"/>
        </w:rPr>
        <w:t xml:space="preserve"> E.,</w:t>
      </w:r>
      <w:r w:rsidRPr="00DB3115">
        <w:rPr>
          <w:rFonts w:ascii="Times New Roman" w:hAnsi="Times New Roman" w:cs="Times New Roman"/>
          <w:bCs/>
          <w:sz w:val="24"/>
          <w:szCs w:val="24"/>
          <w:shd w:val="clear" w:color="auto" w:fill="FFFFFF"/>
          <w:vertAlign w:val="superscript"/>
        </w:rPr>
        <w:t xml:space="preserve"> </w:t>
      </w:r>
      <w:r w:rsidRPr="00DB3115">
        <w:rPr>
          <w:rFonts w:ascii="Times New Roman" w:hAnsi="Times New Roman" w:cs="Times New Roman"/>
          <w:bCs/>
          <w:sz w:val="24"/>
          <w:szCs w:val="24"/>
          <w:shd w:val="clear" w:color="auto" w:fill="FFFFFF"/>
        </w:rPr>
        <w:t>Reyes</w:t>
      </w:r>
      <w:r w:rsidR="00B817BC">
        <w:rPr>
          <w:rFonts w:ascii="Times New Roman" w:hAnsi="Times New Roman" w:cs="Times New Roman"/>
          <w:bCs/>
          <w:sz w:val="24"/>
          <w:szCs w:val="24"/>
          <w:shd w:val="clear" w:color="auto" w:fill="FFFFFF"/>
        </w:rPr>
        <w:t>,</w:t>
      </w:r>
      <w:r w:rsidRPr="00DB3115">
        <w:rPr>
          <w:rFonts w:ascii="Times New Roman" w:hAnsi="Times New Roman" w:cs="Times New Roman"/>
          <w:bCs/>
          <w:sz w:val="24"/>
          <w:szCs w:val="24"/>
          <w:shd w:val="clear" w:color="auto" w:fill="FFFFFF"/>
        </w:rPr>
        <w:t xml:space="preserve"> M.</w:t>
      </w:r>
      <w:r w:rsidR="00B817BC">
        <w:rPr>
          <w:rFonts w:ascii="Times New Roman" w:hAnsi="Times New Roman" w:cs="Times New Roman"/>
          <w:bCs/>
          <w:sz w:val="24"/>
          <w:szCs w:val="24"/>
          <w:shd w:val="clear" w:color="auto" w:fill="FFFFFF"/>
        </w:rPr>
        <w:t xml:space="preserve"> y</w:t>
      </w:r>
      <w:r w:rsidRPr="00DB3115">
        <w:rPr>
          <w:rFonts w:ascii="Times New Roman" w:hAnsi="Times New Roman" w:cs="Times New Roman"/>
          <w:sz w:val="24"/>
          <w:szCs w:val="24"/>
        </w:rPr>
        <w:t xml:space="preserve"> </w:t>
      </w:r>
      <w:r w:rsidRPr="00DB3115">
        <w:rPr>
          <w:rFonts w:ascii="Times New Roman" w:hAnsi="Times New Roman" w:cs="Times New Roman"/>
          <w:bCs/>
          <w:sz w:val="24"/>
          <w:szCs w:val="24"/>
          <w:shd w:val="clear" w:color="auto" w:fill="FFFFFF"/>
        </w:rPr>
        <w:t>Quintana</w:t>
      </w:r>
      <w:r w:rsidR="00B817BC">
        <w:rPr>
          <w:rFonts w:ascii="Times New Roman" w:hAnsi="Times New Roman" w:cs="Times New Roman"/>
          <w:bCs/>
          <w:sz w:val="24"/>
          <w:szCs w:val="24"/>
          <w:shd w:val="clear" w:color="auto" w:fill="FFFFFF"/>
        </w:rPr>
        <w:t>,</w:t>
      </w:r>
      <w:r w:rsidRPr="00DB3115">
        <w:rPr>
          <w:rFonts w:ascii="Times New Roman" w:hAnsi="Times New Roman" w:cs="Times New Roman"/>
          <w:bCs/>
          <w:sz w:val="24"/>
          <w:szCs w:val="24"/>
          <w:shd w:val="clear" w:color="auto" w:fill="FFFFFF"/>
        </w:rPr>
        <w:t xml:space="preserve"> M. (2012). Respuesta metabólica en el trauma. </w:t>
      </w:r>
      <w:r w:rsidRPr="00DB3115">
        <w:rPr>
          <w:rFonts w:ascii="Times New Roman" w:hAnsi="Times New Roman" w:cs="Times New Roman"/>
          <w:bCs/>
          <w:i/>
          <w:sz w:val="24"/>
          <w:szCs w:val="24"/>
        </w:rPr>
        <w:t>Revista Cubana de Medicina Militar</w:t>
      </w:r>
      <w:r w:rsidR="00B817BC">
        <w:rPr>
          <w:rFonts w:ascii="Times New Roman" w:hAnsi="Times New Roman" w:cs="Times New Roman"/>
          <w:bCs/>
          <w:sz w:val="24"/>
          <w:szCs w:val="24"/>
        </w:rPr>
        <w:t>,</w:t>
      </w:r>
      <w:r w:rsidR="00B817BC" w:rsidRPr="00DB3115">
        <w:rPr>
          <w:rFonts w:ascii="Times New Roman" w:hAnsi="Times New Roman" w:cs="Times New Roman"/>
          <w:bCs/>
          <w:sz w:val="24"/>
          <w:szCs w:val="24"/>
        </w:rPr>
        <w:t xml:space="preserve"> </w:t>
      </w:r>
      <w:r w:rsidRPr="003F3FAF">
        <w:rPr>
          <w:rFonts w:ascii="Times New Roman" w:hAnsi="Times New Roman" w:cs="Times New Roman"/>
          <w:bCs/>
          <w:i/>
          <w:iCs/>
          <w:sz w:val="24"/>
          <w:szCs w:val="24"/>
        </w:rPr>
        <w:t>41</w:t>
      </w:r>
      <w:r w:rsidRPr="00DB3115">
        <w:rPr>
          <w:rFonts w:ascii="Times New Roman" w:hAnsi="Times New Roman" w:cs="Times New Roman"/>
          <w:bCs/>
          <w:sz w:val="24"/>
          <w:szCs w:val="24"/>
        </w:rPr>
        <w:t>(1)</w:t>
      </w:r>
      <w:r>
        <w:rPr>
          <w:rFonts w:ascii="Times New Roman" w:hAnsi="Times New Roman" w:cs="Times New Roman"/>
          <w:bCs/>
          <w:sz w:val="24"/>
          <w:szCs w:val="24"/>
        </w:rPr>
        <w:t>,</w:t>
      </w:r>
      <w:r w:rsidR="00B817BC">
        <w:rPr>
          <w:rFonts w:ascii="Times New Roman" w:hAnsi="Times New Roman" w:cs="Times New Roman"/>
          <w:bCs/>
          <w:sz w:val="24"/>
          <w:szCs w:val="24"/>
        </w:rPr>
        <w:t xml:space="preserve"> </w:t>
      </w:r>
      <w:r w:rsidRPr="00DB3115">
        <w:rPr>
          <w:rFonts w:ascii="Times New Roman" w:hAnsi="Times New Roman" w:cs="Times New Roman"/>
          <w:sz w:val="24"/>
          <w:szCs w:val="24"/>
        </w:rPr>
        <w:t>96-104.</w:t>
      </w:r>
    </w:p>
    <w:p w14:paraId="13EF6B2C" w14:textId="6475B990" w:rsidR="00A6515B" w:rsidRPr="00505A5A" w:rsidRDefault="00A6515B" w:rsidP="003F3FAF">
      <w:pPr>
        <w:pStyle w:val="Prrafodelista"/>
        <w:autoSpaceDE w:val="0"/>
        <w:autoSpaceDN w:val="0"/>
        <w:adjustRightInd w:val="0"/>
        <w:spacing w:after="0" w:line="360" w:lineRule="auto"/>
        <w:ind w:left="709" w:right="49" w:hanging="567"/>
        <w:jc w:val="both"/>
      </w:pPr>
      <w:proofErr w:type="spellStart"/>
      <w:r w:rsidRPr="00DB3115">
        <w:rPr>
          <w:rFonts w:ascii="Times New Roman" w:eastAsiaTheme="minorHAnsi" w:hAnsi="Times New Roman" w:cs="Times New Roman"/>
          <w:sz w:val="24"/>
          <w:szCs w:val="24"/>
          <w:lang w:eastAsia="en-US"/>
        </w:rPr>
        <w:t>Rugeles</w:t>
      </w:r>
      <w:proofErr w:type="spellEnd"/>
      <w:r w:rsidR="00B817BC">
        <w:rPr>
          <w:rFonts w:ascii="Times New Roman" w:eastAsiaTheme="minorHAnsi" w:hAnsi="Times New Roman" w:cs="Times New Roman"/>
          <w:sz w:val="24"/>
          <w:szCs w:val="24"/>
          <w:lang w:eastAsia="en-US"/>
        </w:rPr>
        <w:t>,</w:t>
      </w:r>
      <w:r w:rsidRPr="00DB3115">
        <w:rPr>
          <w:rFonts w:ascii="Times New Roman" w:eastAsiaTheme="minorHAnsi" w:hAnsi="Times New Roman" w:cs="Times New Roman"/>
          <w:sz w:val="24"/>
          <w:szCs w:val="24"/>
          <w:lang w:eastAsia="en-US"/>
        </w:rPr>
        <w:t xml:space="preserve"> S.</w:t>
      </w:r>
      <w:r w:rsidR="00B817BC">
        <w:rPr>
          <w:rFonts w:ascii="Times New Roman" w:eastAsiaTheme="minorHAnsi" w:hAnsi="Times New Roman" w:cs="Times New Roman"/>
          <w:sz w:val="24"/>
          <w:szCs w:val="24"/>
          <w:lang w:eastAsia="en-US"/>
        </w:rPr>
        <w:t xml:space="preserve"> </w:t>
      </w:r>
      <w:r w:rsidRPr="00DB3115">
        <w:rPr>
          <w:rFonts w:ascii="Times New Roman" w:eastAsiaTheme="minorHAnsi" w:hAnsi="Times New Roman" w:cs="Times New Roman"/>
          <w:sz w:val="24"/>
          <w:szCs w:val="24"/>
          <w:lang w:eastAsia="en-US"/>
        </w:rPr>
        <w:t xml:space="preserve">J. (2009). </w:t>
      </w:r>
      <w:r w:rsidRPr="00DB3115">
        <w:rPr>
          <w:rFonts w:ascii="Times New Roman" w:eastAsiaTheme="minorHAnsi" w:hAnsi="Times New Roman" w:cs="Times New Roman"/>
          <w:color w:val="231F20"/>
          <w:sz w:val="24"/>
          <w:szCs w:val="24"/>
          <w:lang w:eastAsia="en-US"/>
        </w:rPr>
        <w:t>Nutrición y metabolismo en Cirugía, nu</w:t>
      </w:r>
      <w:r w:rsidRPr="00DB3115">
        <w:rPr>
          <w:rFonts w:ascii="Times New Roman" w:eastAsiaTheme="minorHAnsi" w:hAnsi="Times New Roman" w:cs="Times New Roman"/>
          <w:sz w:val="24"/>
          <w:szCs w:val="24"/>
          <w:lang w:eastAsia="en-US"/>
        </w:rPr>
        <w:t xml:space="preserve">trición y metabolismo en cirugía. </w:t>
      </w:r>
      <w:proofErr w:type="spellStart"/>
      <w:r w:rsidRPr="00DB3115">
        <w:rPr>
          <w:rFonts w:ascii="Times New Roman" w:eastAsiaTheme="minorHAnsi" w:hAnsi="Times New Roman" w:cs="Times New Roman"/>
          <w:i/>
          <w:sz w:val="24"/>
          <w:szCs w:val="24"/>
          <w:lang w:eastAsia="en-US"/>
        </w:rPr>
        <w:t>Rev</w:t>
      </w:r>
      <w:proofErr w:type="spellEnd"/>
      <w:r w:rsidRPr="00DB3115">
        <w:rPr>
          <w:rFonts w:ascii="Times New Roman" w:eastAsiaTheme="minorHAnsi" w:hAnsi="Times New Roman" w:cs="Times New Roman"/>
          <w:i/>
          <w:sz w:val="24"/>
          <w:szCs w:val="24"/>
          <w:lang w:eastAsia="en-US"/>
        </w:rPr>
        <w:t xml:space="preserve"> </w:t>
      </w:r>
      <w:proofErr w:type="spellStart"/>
      <w:r w:rsidRPr="00DB3115">
        <w:rPr>
          <w:rFonts w:ascii="Times New Roman" w:eastAsiaTheme="minorHAnsi" w:hAnsi="Times New Roman" w:cs="Times New Roman"/>
          <w:i/>
          <w:sz w:val="24"/>
          <w:szCs w:val="24"/>
          <w:lang w:eastAsia="en-US"/>
        </w:rPr>
        <w:t>Colomb</w:t>
      </w:r>
      <w:proofErr w:type="spellEnd"/>
      <w:r w:rsidRPr="00DB3115">
        <w:rPr>
          <w:rFonts w:ascii="Times New Roman" w:eastAsiaTheme="minorHAnsi" w:hAnsi="Times New Roman" w:cs="Times New Roman"/>
          <w:i/>
          <w:sz w:val="24"/>
          <w:szCs w:val="24"/>
          <w:lang w:eastAsia="en-US"/>
        </w:rPr>
        <w:t xml:space="preserve"> </w:t>
      </w:r>
      <w:proofErr w:type="spellStart"/>
      <w:r w:rsidRPr="00DB3115">
        <w:rPr>
          <w:rFonts w:ascii="Times New Roman" w:eastAsiaTheme="minorHAnsi" w:hAnsi="Times New Roman" w:cs="Times New Roman"/>
          <w:i/>
          <w:sz w:val="24"/>
          <w:szCs w:val="24"/>
          <w:lang w:eastAsia="en-US"/>
        </w:rPr>
        <w:t>Cir</w:t>
      </w:r>
      <w:proofErr w:type="spellEnd"/>
      <w:r w:rsidR="00B817BC">
        <w:rPr>
          <w:rFonts w:ascii="Times New Roman" w:eastAsiaTheme="minorHAnsi" w:hAnsi="Times New Roman" w:cs="Times New Roman"/>
          <w:i/>
          <w:sz w:val="24"/>
          <w:szCs w:val="24"/>
          <w:lang w:eastAsia="en-US"/>
        </w:rPr>
        <w:t>,</w:t>
      </w:r>
      <w:r w:rsidR="00B817BC" w:rsidRPr="00DB3115">
        <w:rPr>
          <w:rFonts w:ascii="Times New Roman" w:eastAsiaTheme="minorHAnsi" w:hAnsi="Times New Roman" w:cs="Times New Roman"/>
          <w:sz w:val="24"/>
          <w:szCs w:val="24"/>
          <w:lang w:eastAsia="en-US"/>
        </w:rPr>
        <w:t xml:space="preserve"> </w:t>
      </w:r>
      <w:r w:rsidRPr="003F3FAF">
        <w:rPr>
          <w:rFonts w:ascii="Times New Roman" w:hAnsi="Times New Roman" w:cs="Times New Roman"/>
          <w:i/>
          <w:iCs/>
          <w:sz w:val="24"/>
          <w:szCs w:val="24"/>
        </w:rPr>
        <w:t>24</w:t>
      </w:r>
      <w:r>
        <w:rPr>
          <w:rFonts w:ascii="Times New Roman" w:eastAsiaTheme="minorHAnsi" w:hAnsi="Times New Roman" w:cs="Times New Roman"/>
          <w:sz w:val="24"/>
          <w:szCs w:val="24"/>
          <w:lang w:eastAsia="en-US"/>
        </w:rPr>
        <w:t>,</w:t>
      </w:r>
      <w:r w:rsidR="00B817BC">
        <w:rPr>
          <w:rFonts w:ascii="Times New Roman" w:eastAsiaTheme="minorHAnsi" w:hAnsi="Times New Roman" w:cs="Times New Roman"/>
          <w:sz w:val="24"/>
          <w:szCs w:val="24"/>
          <w:lang w:eastAsia="en-US"/>
        </w:rPr>
        <w:t xml:space="preserve"> </w:t>
      </w:r>
      <w:r w:rsidRPr="00DB3115">
        <w:rPr>
          <w:rFonts w:ascii="Times New Roman" w:eastAsiaTheme="minorHAnsi" w:hAnsi="Times New Roman" w:cs="Times New Roman"/>
          <w:sz w:val="24"/>
          <w:szCs w:val="24"/>
          <w:lang w:eastAsia="en-US"/>
        </w:rPr>
        <w:t>223-228.</w:t>
      </w:r>
    </w:p>
    <w:p w14:paraId="7A9BFCBE" w14:textId="35A3AAE9" w:rsidR="00A6515B" w:rsidRPr="00DB3115" w:rsidRDefault="00A6515B" w:rsidP="003F3FAF">
      <w:pPr>
        <w:pStyle w:val="Prrafodelista"/>
        <w:autoSpaceDE w:val="0"/>
        <w:autoSpaceDN w:val="0"/>
        <w:adjustRightInd w:val="0"/>
        <w:spacing w:after="0" w:line="360" w:lineRule="auto"/>
        <w:ind w:left="709" w:right="49" w:hanging="567"/>
        <w:jc w:val="both"/>
        <w:rPr>
          <w:rFonts w:ascii="Times New Roman" w:eastAsiaTheme="minorHAnsi" w:hAnsi="Times New Roman" w:cs="Times New Roman"/>
          <w:sz w:val="24"/>
          <w:szCs w:val="24"/>
          <w:lang w:eastAsia="en-US"/>
        </w:rPr>
      </w:pPr>
      <w:r w:rsidRPr="00DB3115">
        <w:rPr>
          <w:rFonts w:ascii="Times New Roman" w:eastAsiaTheme="minorHAnsi" w:hAnsi="Times New Roman" w:cs="Times New Roman"/>
          <w:sz w:val="24"/>
          <w:szCs w:val="24"/>
          <w:lang w:eastAsia="en-US"/>
        </w:rPr>
        <w:lastRenderedPageBreak/>
        <w:t>Sánchez</w:t>
      </w:r>
      <w:r w:rsidR="00B817BC">
        <w:rPr>
          <w:rFonts w:ascii="Times New Roman" w:eastAsiaTheme="minorHAnsi" w:hAnsi="Times New Roman" w:cs="Times New Roman"/>
          <w:sz w:val="24"/>
          <w:szCs w:val="24"/>
          <w:lang w:eastAsia="en-US"/>
        </w:rPr>
        <w:t>,</w:t>
      </w:r>
      <w:r w:rsidRPr="00DB3115">
        <w:rPr>
          <w:rFonts w:ascii="Times New Roman" w:eastAsiaTheme="minorHAnsi" w:hAnsi="Times New Roman" w:cs="Times New Roman"/>
          <w:sz w:val="24"/>
          <w:szCs w:val="24"/>
          <w:lang w:eastAsia="en-US"/>
        </w:rPr>
        <w:t xml:space="preserve"> V. M., Gutiérrez</w:t>
      </w:r>
      <w:r w:rsidR="00B817BC">
        <w:rPr>
          <w:rFonts w:ascii="Times New Roman" w:eastAsiaTheme="minorHAnsi" w:hAnsi="Times New Roman" w:cs="Times New Roman"/>
          <w:sz w:val="24"/>
          <w:szCs w:val="24"/>
          <w:lang w:eastAsia="en-US"/>
        </w:rPr>
        <w:t>,</w:t>
      </w:r>
      <w:r w:rsidRPr="00DB3115">
        <w:rPr>
          <w:rFonts w:ascii="Times New Roman" w:eastAsiaTheme="minorHAnsi" w:hAnsi="Times New Roman" w:cs="Times New Roman"/>
          <w:sz w:val="24"/>
          <w:szCs w:val="24"/>
          <w:lang w:eastAsia="en-US"/>
        </w:rPr>
        <w:t xml:space="preserve"> J.</w:t>
      </w:r>
      <w:r w:rsidR="00B817BC">
        <w:rPr>
          <w:rFonts w:ascii="Times New Roman" w:eastAsiaTheme="minorHAnsi" w:hAnsi="Times New Roman" w:cs="Times New Roman"/>
          <w:sz w:val="24"/>
          <w:szCs w:val="24"/>
          <w:lang w:eastAsia="en-US"/>
        </w:rPr>
        <w:t xml:space="preserve"> </w:t>
      </w:r>
      <w:r w:rsidRPr="00DB3115">
        <w:rPr>
          <w:rFonts w:ascii="Times New Roman" w:eastAsiaTheme="minorHAnsi" w:hAnsi="Times New Roman" w:cs="Times New Roman"/>
          <w:sz w:val="24"/>
          <w:szCs w:val="24"/>
          <w:lang w:eastAsia="en-US"/>
        </w:rPr>
        <w:t>J.</w:t>
      </w:r>
      <w:r w:rsidR="00B817BC">
        <w:rPr>
          <w:rFonts w:ascii="Times New Roman" w:eastAsiaTheme="minorHAnsi" w:hAnsi="Times New Roman" w:cs="Times New Roman"/>
          <w:sz w:val="24"/>
          <w:szCs w:val="24"/>
          <w:lang w:eastAsia="en-US"/>
        </w:rPr>
        <w:t xml:space="preserve"> y</w:t>
      </w:r>
      <w:r w:rsidRPr="00DB3115">
        <w:rPr>
          <w:rFonts w:ascii="Times New Roman" w:hAnsi="Times New Roman" w:cs="Times New Roman"/>
          <w:sz w:val="24"/>
          <w:szCs w:val="24"/>
        </w:rPr>
        <w:t xml:space="preserve"> </w:t>
      </w:r>
      <w:r w:rsidRPr="00DB3115">
        <w:rPr>
          <w:rFonts w:ascii="Times New Roman" w:eastAsiaTheme="minorHAnsi" w:hAnsi="Times New Roman" w:cs="Times New Roman"/>
          <w:sz w:val="24"/>
          <w:szCs w:val="24"/>
          <w:lang w:eastAsia="en-US"/>
        </w:rPr>
        <w:t>Arzola</w:t>
      </w:r>
      <w:r w:rsidR="00B817BC">
        <w:rPr>
          <w:rFonts w:ascii="Times New Roman" w:eastAsiaTheme="minorHAnsi" w:hAnsi="Times New Roman" w:cs="Times New Roman"/>
          <w:sz w:val="24"/>
          <w:szCs w:val="24"/>
          <w:lang w:eastAsia="en-US"/>
        </w:rPr>
        <w:t>,</w:t>
      </w:r>
      <w:r w:rsidRPr="00DB3115">
        <w:rPr>
          <w:rFonts w:ascii="Times New Roman" w:eastAsiaTheme="minorHAnsi" w:hAnsi="Times New Roman" w:cs="Times New Roman"/>
          <w:sz w:val="24"/>
          <w:szCs w:val="24"/>
          <w:lang w:eastAsia="en-US"/>
        </w:rPr>
        <w:t xml:space="preserve"> C. (2006). Prealbúmina como marcador de seguimiento nutricional en pacientes críticamente enfermos. </w:t>
      </w:r>
      <w:r w:rsidRPr="00DB3115">
        <w:rPr>
          <w:rFonts w:ascii="Times New Roman" w:eastAsiaTheme="minorHAnsi" w:hAnsi="Times New Roman" w:cs="Times New Roman"/>
          <w:i/>
          <w:sz w:val="24"/>
          <w:szCs w:val="24"/>
          <w:lang w:eastAsia="en-US"/>
        </w:rPr>
        <w:t>Revista de la Asociación Mexicana de Medicina Crítica y Terapia Intensiva</w:t>
      </w:r>
      <w:r w:rsidR="00B817BC">
        <w:rPr>
          <w:rFonts w:ascii="Times New Roman" w:eastAsiaTheme="minorHAnsi" w:hAnsi="Times New Roman" w:cs="Times New Roman"/>
          <w:i/>
          <w:sz w:val="24"/>
          <w:szCs w:val="24"/>
          <w:lang w:eastAsia="en-US"/>
        </w:rPr>
        <w:t>,</w:t>
      </w:r>
      <w:r w:rsidR="00B817BC" w:rsidRPr="00DB3115">
        <w:rPr>
          <w:rFonts w:ascii="Times New Roman" w:eastAsiaTheme="minorHAnsi" w:hAnsi="Times New Roman" w:cs="Times New Roman"/>
          <w:sz w:val="24"/>
          <w:szCs w:val="24"/>
          <w:lang w:eastAsia="en-US"/>
        </w:rPr>
        <w:t xml:space="preserve"> </w:t>
      </w:r>
      <w:r w:rsidRPr="003F3FAF">
        <w:rPr>
          <w:rFonts w:ascii="Times New Roman" w:eastAsiaTheme="minorHAnsi" w:hAnsi="Times New Roman" w:cs="Times New Roman"/>
          <w:i/>
          <w:iCs/>
          <w:sz w:val="24"/>
          <w:szCs w:val="24"/>
          <w:lang w:eastAsia="en-US"/>
        </w:rPr>
        <w:t>20</w:t>
      </w:r>
      <w:r w:rsidRPr="00DB3115">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w:t>
      </w:r>
      <w:r w:rsidRPr="00DB3115">
        <w:rPr>
          <w:rFonts w:ascii="Times New Roman" w:eastAsiaTheme="minorHAnsi" w:hAnsi="Times New Roman" w:cs="Times New Roman"/>
          <w:sz w:val="24"/>
          <w:szCs w:val="24"/>
          <w:lang w:eastAsia="en-US"/>
        </w:rPr>
        <w:t xml:space="preserve"> 41-45. </w:t>
      </w:r>
    </w:p>
    <w:p w14:paraId="0E8CE7E7" w14:textId="02A804C8" w:rsidR="00A6515B" w:rsidRPr="00865610" w:rsidRDefault="00A6515B" w:rsidP="003F3FAF">
      <w:pPr>
        <w:pStyle w:val="Prrafodelista"/>
        <w:autoSpaceDE w:val="0"/>
        <w:autoSpaceDN w:val="0"/>
        <w:adjustRightInd w:val="0"/>
        <w:spacing w:after="0" w:line="360" w:lineRule="auto"/>
        <w:ind w:left="709" w:right="49" w:hanging="567"/>
        <w:jc w:val="both"/>
        <w:rPr>
          <w:lang w:val="en-US"/>
        </w:rPr>
      </w:pPr>
      <w:proofErr w:type="spellStart"/>
      <w:r w:rsidRPr="00DB3115">
        <w:rPr>
          <w:rFonts w:ascii="Times New Roman" w:eastAsiaTheme="minorHAnsi" w:hAnsi="Times New Roman" w:cs="Times New Roman"/>
          <w:sz w:val="24"/>
          <w:szCs w:val="24"/>
        </w:rPr>
        <w:t>Seron</w:t>
      </w:r>
      <w:proofErr w:type="spellEnd"/>
      <w:r w:rsidR="00604F20">
        <w:rPr>
          <w:rFonts w:ascii="Times New Roman" w:eastAsiaTheme="minorHAnsi" w:hAnsi="Times New Roman" w:cs="Times New Roman"/>
          <w:sz w:val="24"/>
          <w:szCs w:val="24"/>
        </w:rPr>
        <w:t xml:space="preserve">, </w:t>
      </w:r>
      <w:r w:rsidRPr="00DB3115">
        <w:rPr>
          <w:rFonts w:ascii="Times New Roman" w:eastAsiaTheme="minorHAnsi" w:hAnsi="Times New Roman" w:cs="Times New Roman"/>
          <w:sz w:val="24"/>
          <w:szCs w:val="24"/>
        </w:rPr>
        <w:t>C., Zamora</w:t>
      </w:r>
      <w:r w:rsidR="00604F20">
        <w:rPr>
          <w:rFonts w:ascii="Times New Roman" w:eastAsiaTheme="minorHAnsi" w:hAnsi="Times New Roman" w:cs="Times New Roman"/>
          <w:sz w:val="24"/>
          <w:szCs w:val="24"/>
        </w:rPr>
        <w:t xml:space="preserve">, </w:t>
      </w:r>
      <w:r w:rsidRPr="00DB3115">
        <w:rPr>
          <w:rFonts w:ascii="Times New Roman" w:eastAsiaTheme="minorHAnsi" w:hAnsi="Times New Roman" w:cs="Times New Roman"/>
          <w:sz w:val="24"/>
          <w:szCs w:val="24"/>
        </w:rPr>
        <w:t>M., Labarta</w:t>
      </w:r>
      <w:r w:rsidR="00604F20">
        <w:rPr>
          <w:rFonts w:ascii="Times New Roman" w:eastAsiaTheme="minorHAnsi" w:hAnsi="Times New Roman" w:cs="Times New Roman"/>
          <w:sz w:val="24"/>
          <w:szCs w:val="24"/>
        </w:rPr>
        <w:t xml:space="preserve">, </w:t>
      </w:r>
      <w:r w:rsidRPr="00DB3115">
        <w:rPr>
          <w:rFonts w:ascii="Times New Roman" w:eastAsiaTheme="minorHAnsi" w:hAnsi="Times New Roman" w:cs="Times New Roman"/>
          <w:sz w:val="24"/>
          <w:szCs w:val="24"/>
        </w:rPr>
        <w:t>L.</w:t>
      </w:r>
      <w:r w:rsidR="00604F20">
        <w:rPr>
          <w:rFonts w:ascii="Times New Roman" w:hAnsi="Times New Roman" w:cs="Times New Roman"/>
          <w:sz w:val="24"/>
          <w:szCs w:val="24"/>
        </w:rPr>
        <w:t xml:space="preserve"> and </w:t>
      </w:r>
      <w:proofErr w:type="spellStart"/>
      <w:r w:rsidRPr="00DB3115">
        <w:rPr>
          <w:rFonts w:ascii="Times New Roman" w:eastAsiaTheme="minorHAnsi" w:hAnsi="Times New Roman" w:cs="Times New Roman"/>
          <w:sz w:val="24"/>
          <w:szCs w:val="24"/>
        </w:rPr>
        <w:t>Mallor</w:t>
      </w:r>
      <w:proofErr w:type="spellEnd"/>
      <w:r w:rsidR="00604F20">
        <w:rPr>
          <w:rFonts w:ascii="Times New Roman" w:eastAsiaTheme="minorHAnsi" w:hAnsi="Times New Roman" w:cs="Times New Roman"/>
          <w:sz w:val="24"/>
          <w:szCs w:val="24"/>
        </w:rPr>
        <w:t>,</w:t>
      </w:r>
      <w:r w:rsidRPr="00DB3115">
        <w:rPr>
          <w:rFonts w:ascii="Times New Roman" w:eastAsiaTheme="minorHAnsi" w:hAnsi="Times New Roman" w:cs="Times New Roman"/>
          <w:sz w:val="24"/>
          <w:szCs w:val="24"/>
        </w:rPr>
        <w:t xml:space="preserve"> T. (2013). </w:t>
      </w:r>
      <w:r w:rsidRPr="00865610">
        <w:rPr>
          <w:rFonts w:ascii="Times New Roman" w:eastAsiaTheme="minorHAnsi" w:hAnsi="Times New Roman" w:cs="Times New Roman"/>
          <w:sz w:val="24"/>
          <w:szCs w:val="24"/>
          <w:lang w:val="en-US"/>
        </w:rPr>
        <w:t xml:space="preserve">Enteral nutrition in Critical Care.  </w:t>
      </w:r>
      <w:r w:rsidRPr="00865610">
        <w:rPr>
          <w:rFonts w:ascii="Times New Roman" w:eastAsiaTheme="minorHAnsi" w:hAnsi="Times New Roman" w:cs="Times New Roman"/>
          <w:i/>
          <w:sz w:val="24"/>
          <w:szCs w:val="24"/>
          <w:lang w:val="en-US"/>
        </w:rPr>
        <w:t>J Clin Med Res</w:t>
      </w:r>
      <w:r w:rsidR="00604F20" w:rsidRPr="00865610">
        <w:rPr>
          <w:rFonts w:ascii="Times New Roman" w:eastAsiaTheme="minorHAnsi" w:hAnsi="Times New Roman" w:cs="Times New Roman"/>
          <w:sz w:val="24"/>
          <w:szCs w:val="24"/>
          <w:lang w:val="en-US"/>
        </w:rPr>
        <w:t xml:space="preserve">, </w:t>
      </w:r>
      <w:r w:rsidRPr="00865610">
        <w:rPr>
          <w:rFonts w:ascii="Times New Roman" w:hAnsi="Times New Roman" w:cs="Times New Roman"/>
          <w:i/>
          <w:iCs/>
          <w:sz w:val="24"/>
          <w:szCs w:val="24"/>
          <w:lang w:val="en-US"/>
        </w:rPr>
        <w:t>5</w:t>
      </w:r>
      <w:r w:rsidRPr="00865610">
        <w:rPr>
          <w:rFonts w:ascii="Times New Roman" w:eastAsiaTheme="minorHAnsi" w:hAnsi="Times New Roman" w:cs="Times New Roman"/>
          <w:sz w:val="24"/>
          <w:szCs w:val="24"/>
          <w:lang w:val="en-US"/>
        </w:rPr>
        <w:t>(1),</w:t>
      </w:r>
      <w:r w:rsidR="00604F20" w:rsidRPr="00865610">
        <w:rPr>
          <w:rFonts w:ascii="Times New Roman" w:eastAsiaTheme="minorHAnsi" w:hAnsi="Times New Roman" w:cs="Times New Roman"/>
          <w:sz w:val="24"/>
          <w:szCs w:val="24"/>
          <w:lang w:val="en-US"/>
        </w:rPr>
        <w:t xml:space="preserve"> </w:t>
      </w:r>
      <w:r w:rsidRPr="00865610">
        <w:rPr>
          <w:rFonts w:ascii="Times New Roman" w:eastAsiaTheme="minorHAnsi" w:hAnsi="Times New Roman" w:cs="Times New Roman"/>
          <w:sz w:val="24"/>
          <w:szCs w:val="24"/>
          <w:lang w:val="en-US"/>
        </w:rPr>
        <w:t>1-11.</w:t>
      </w:r>
    </w:p>
    <w:p w14:paraId="4CAFC9AD" w14:textId="6725DC66" w:rsidR="00A6515B" w:rsidRPr="00505A5A" w:rsidRDefault="00A6515B" w:rsidP="003F3FAF">
      <w:pPr>
        <w:pStyle w:val="Prrafodelista"/>
        <w:autoSpaceDE w:val="0"/>
        <w:autoSpaceDN w:val="0"/>
        <w:adjustRightInd w:val="0"/>
        <w:spacing w:after="0" w:line="360" w:lineRule="auto"/>
        <w:ind w:left="709" w:right="49" w:hanging="567"/>
        <w:jc w:val="both"/>
      </w:pPr>
      <w:r w:rsidRPr="00865610">
        <w:rPr>
          <w:rFonts w:ascii="Times New Roman" w:hAnsi="Times New Roman" w:cs="Times New Roman"/>
          <w:sz w:val="24"/>
          <w:szCs w:val="24"/>
          <w:lang w:val="en-US"/>
        </w:rPr>
        <w:t>Silva</w:t>
      </w:r>
      <w:r w:rsidR="00B817BC" w:rsidRPr="00865610">
        <w:rPr>
          <w:rFonts w:ascii="Times New Roman" w:hAnsi="Times New Roman" w:cs="Times New Roman"/>
          <w:sz w:val="24"/>
          <w:szCs w:val="24"/>
          <w:lang w:val="en-US"/>
        </w:rPr>
        <w:t>,</w:t>
      </w:r>
      <w:r w:rsidRPr="00865610">
        <w:rPr>
          <w:rFonts w:ascii="Times New Roman" w:hAnsi="Times New Roman" w:cs="Times New Roman"/>
          <w:sz w:val="24"/>
          <w:szCs w:val="24"/>
          <w:lang w:val="en-US"/>
        </w:rPr>
        <w:t xml:space="preserve"> M</w:t>
      </w:r>
      <w:r w:rsidR="00B817BC" w:rsidRPr="00865610">
        <w:rPr>
          <w:rFonts w:ascii="Times New Roman" w:hAnsi="Times New Roman" w:cs="Times New Roman"/>
          <w:sz w:val="24"/>
          <w:szCs w:val="24"/>
          <w:lang w:val="en-US"/>
        </w:rPr>
        <w:t xml:space="preserve">. </w:t>
      </w:r>
      <w:r w:rsidRPr="00865610">
        <w:rPr>
          <w:rFonts w:ascii="Times New Roman" w:hAnsi="Times New Roman" w:cs="Times New Roman"/>
          <w:sz w:val="24"/>
          <w:szCs w:val="24"/>
          <w:lang w:val="en-US"/>
        </w:rPr>
        <w:t xml:space="preserve">G., </w:t>
      </w:r>
      <w:proofErr w:type="spellStart"/>
      <w:r w:rsidRPr="00865610">
        <w:rPr>
          <w:rFonts w:ascii="Times New Roman" w:hAnsi="Times New Roman" w:cs="Times New Roman"/>
          <w:sz w:val="24"/>
          <w:szCs w:val="24"/>
          <w:lang w:val="en-US"/>
        </w:rPr>
        <w:t>Asusu</w:t>
      </w:r>
      <w:proofErr w:type="spellEnd"/>
      <w:r w:rsidR="00B817BC" w:rsidRPr="00865610">
        <w:rPr>
          <w:rFonts w:ascii="Times New Roman" w:hAnsi="Times New Roman" w:cs="Times New Roman"/>
          <w:sz w:val="24"/>
          <w:szCs w:val="24"/>
          <w:lang w:val="en-US"/>
        </w:rPr>
        <w:t>,</w:t>
      </w:r>
      <w:r w:rsidRPr="00865610">
        <w:rPr>
          <w:rFonts w:ascii="Times New Roman" w:hAnsi="Times New Roman" w:cs="Times New Roman"/>
          <w:sz w:val="24"/>
          <w:szCs w:val="24"/>
          <w:lang w:val="en-US"/>
        </w:rPr>
        <w:t xml:space="preserve"> N., </w:t>
      </w:r>
      <w:proofErr w:type="spellStart"/>
      <w:r w:rsidRPr="00865610">
        <w:rPr>
          <w:rFonts w:ascii="Times New Roman" w:hAnsi="Times New Roman" w:cs="Times New Roman"/>
          <w:sz w:val="24"/>
          <w:szCs w:val="24"/>
          <w:lang w:val="en-US"/>
        </w:rPr>
        <w:t>Blumtritt</w:t>
      </w:r>
      <w:proofErr w:type="spellEnd"/>
      <w:r w:rsidR="00B817BC" w:rsidRPr="00865610">
        <w:rPr>
          <w:rFonts w:ascii="Times New Roman" w:hAnsi="Times New Roman" w:cs="Times New Roman"/>
          <w:sz w:val="24"/>
          <w:szCs w:val="24"/>
          <w:lang w:val="en-US"/>
        </w:rPr>
        <w:t>,</w:t>
      </w:r>
      <w:r w:rsidRPr="00865610">
        <w:rPr>
          <w:rFonts w:ascii="Times New Roman" w:hAnsi="Times New Roman" w:cs="Times New Roman"/>
          <w:sz w:val="24"/>
          <w:szCs w:val="24"/>
          <w:lang w:val="en-US"/>
        </w:rPr>
        <w:t xml:space="preserve"> M., </w:t>
      </w:r>
      <w:proofErr w:type="spellStart"/>
      <w:r w:rsidRPr="00865610">
        <w:rPr>
          <w:rFonts w:ascii="Times New Roman" w:hAnsi="Times New Roman" w:cs="Times New Roman"/>
          <w:sz w:val="24"/>
          <w:szCs w:val="24"/>
          <w:lang w:val="en-US"/>
        </w:rPr>
        <w:t>Kreff</w:t>
      </w:r>
      <w:proofErr w:type="spellEnd"/>
      <w:r w:rsidR="00B817BC" w:rsidRPr="00865610">
        <w:rPr>
          <w:rFonts w:ascii="Times New Roman" w:hAnsi="Times New Roman" w:cs="Times New Roman"/>
          <w:sz w:val="24"/>
          <w:szCs w:val="24"/>
          <w:lang w:val="en-US"/>
        </w:rPr>
        <w:t>,</w:t>
      </w:r>
      <w:r w:rsidRPr="00865610">
        <w:rPr>
          <w:rFonts w:ascii="Times New Roman" w:hAnsi="Times New Roman" w:cs="Times New Roman"/>
          <w:sz w:val="24"/>
          <w:szCs w:val="24"/>
          <w:lang w:val="en-US"/>
        </w:rPr>
        <w:t xml:space="preserve"> Y., </w:t>
      </w:r>
      <w:proofErr w:type="spellStart"/>
      <w:r w:rsidRPr="00865610">
        <w:rPr>
          <w:rFonts w:ascii="Times New Roman" w:hAnsi="Times New Roman" w:cs="Times New Roman"/>
          <w:sz w:val="24"/>
          <w:szCs w:val="24"/>
          <w:lang w:val="en-US"/>
        </w:rPr>
        <w:t>Lipovestky</w:t>
      </w:r>
      <w:proofErr w:type="spellEnd"/>
      <w:r w:rsidR="00B817BC" w:rsidRPr="00865610">
        <w:rPr>
          <w:rFonts w:ascii="Times New Roman" w:hAnsi="Times New Roman" w:cs="Times New Roman"/>
          <w:sz w:val="24"/>
          <w:szCs w:val="24"/>
          <w:lang w:val="en-US"/>
        </w:rPr>
        <w:t>,</w:t>
      </w:r>
      <w:r w:rsidRPr="00865610">
        <w:rPr>
          <w:rFonts w:ascii="Times New Roman" w:hAnsi="Times New Roman" w:cs="Times New Roman"/>
          <w:sz w:val="24"/>
          <w:szCs w:val="24"/>
          <w:lang w:val="en-US"/>
        </w:rPr>
        <w:t xml:space="preserve"> F., </w:t>
      </w:r>
      <w:proofErr w:type="spellStart"/>
      <w:r w:rsidRPr="00865610">
        <w:rPr>
          <w:rFonts w:ascii="Times New Roman" w:hAnsi="Times New Roman" w:cs="Times New Roman"/>
          <w:sz w:val="24"/>
          <w:szCs w:val="24"/>
          <w:lang w:val="en-US"/>
        </w:rPr>
        <w:t>Magnífico</w:t>
      </w:r>
      <w:proofErr w:type="spellEnd"/>
      <w:r w:rsidR="00B817BC" w:rsidRPr="00865610">
        <w:rPr>
          <w:rFonts w:ascii="Times New Roman" w:hAnsi="Times New Roman" w:cs="Times New Roman"/>
          <w:sz w:val="24"/>
          <w:szCs w:val="24"/>
          <w:lang w:val="en-US"/>
        </w:rPr>
        <w:t>,</w:t>
      </w:r>
      <w:r w:rsidRPr="00865610">
        <w:rPr>
          <w:rFonts w:ascii="Times New Roman" w:hAnsi="Times New Roman" w:cs="Times New Roman"/>
          <w:sz w:val="24"/>
          <w:szCs w:val="24"/>
          <w:lang w:val="en-US"/>
        </w:rPr>
        <w:t xml:space="preserve"> L., Rebagliati</w:t>
      </w:r>
      <w:r w:rsidR="00B817BC" w:rsidRPr="00865610">
        <w:rPr>
          <w:rFonts w:ascii="Times New Roman" w:hAnsi="Times New Roman" w:cs="Times New Roman"/>
          <w:sz w:val="24"/>
          <w:szCs w:val="24"/>
          <w:lang w:val="en-US"/>
        </w:rPr>
        <w:t>,</w:t>
      </w:r>
      <w:r w:rsidRPr="00865610">
        <w:rPr>
          <w:rFonts w:ascii="Times New Roman" w:hAnsi="Times New Roman" w:cs="Times New Roman"/>
          <w:sz w:val="24"/>
          <w:szCs w:val="24"/>
          <w:lang w:val="en-US"/>
        </w:rPr>
        <w:t xml:space="preserve"> V., </w:t>
      </w:r>
      <w:proofErr w:type="spellStart"/>
      <w:r w:rsidRPr="00865610">
        <w:rPr>
          <w:rFonts w:ascii="Times New Roman" w:hAnsi="Times New Roman" w:cs="Times New Roman"/>
          <w:sz w:val="24"/>
          <w:szCs w:val="24"/>
          <w:lang w:val="en-US"/>
        </w:rPr>
        <w:t>Vittal</w:t>
      </w:r>
      <w:proofErr w:type="spellEnd"/>
      <w:r w:rsidR="00B817BC" w:rsidRPr="00865610">
        <w:rPr>
          <w:rFonts w:ascii="Times New Roman" w:hAnsi="Times New Roman" w:cs="Times New Roman"/>
          <w:sz w:val="24"/>
          <w:szCs w:val="24"/>
          <w:lang w:val="en-US"/>
        </w:rPr>
        <w:t>,</w:t>
      </w:r>
      <w:r w:rsidRPr="00865610">
        <w:rPr>
          <w:rFonts w:ascii="Times New Roman" w:hAnsi="Times New Roman" w:cs="Times New Roman"/>
          <w:sz w:val="24"/>
          <w:szCs w:val="24"/>
          <w:lang w:val="en-US"/>
        </w:rPr>
        <w:t xml:space="preserve"> A.</w:t>
      </w:r>
      <w:r w:rsidR="00B817BC" w:rsidRPr="00865610">
        <w:rPr>
          <w:rFonts w:ascii="Times New Roman" w:hAnsi="Times New Roman" w:cs="Times New Roman"/>
          <w:sz w:val="24"/>
          <w:szCs w:val="24"/>
          <w:lang w:val="en-US"/>
        </w:rPr>
        <w:t xml:space="preserve"> y</w:t>
      </w:r>
      <w:r w:rsidRPr="00865610">
        <w:rPr>
          <w:rFonts w:ascii="Times New Roman" w:hAnsi="Times New Roman" w:cs="Times New Roman"/>
          <w:sz w:val="24"/>
          <w:szCs w:val="24"/>
          <w:lang w:val="en-US"/>
        </w:rPr>
        <w:t xml:space="preserve"> </w:t>
      </w:r>
      <w:proofErr w:type="spellStart"/>
      <w:r w:rsidRPr="00865610">
        <w:rPr>
          <w:rFonts w:ascii="Times New Roman" w:hAnsi="Times New Roman" w:cs="Times New Roman"/>
          <w:sz w:val="24"/>
          <w:szCs w:val="24"/>
          <w:lang w:val="en-US"/>
        </w:rPr>
        <w:t>Yudi</w:t>
      </w:r>
      <w:proofErr w:type="spellEnd"/>
      <w:r w:rsidR="00B817BC" w:rsidRPr="00865610">
        <w:rPr>
          <w:rFonts w:ascii="Times New Roman" w:hAnsi="Times New Roman" w:cs="Times New Roman"/>
          <w:sz w:val="24"/>
          <w:szCs w:val="24"/>
          <w:lang w:val="en-US"/>
        </w:rPr>
        <w:t>,</w:t>
      </w:r>
      <w:r w:rsidRPr="00865610">
        <w:rPr>
          <w:rFonts w:ascii="Times New Roman" w:hAnsi="Times New Roman" w:cs="Times New Roman"/>
          <w:sz w:val="24"/>
          <w:szCs w:val="24"/>
          <w:lang w:val="en-US"/>
        </w:rPr>
        <w:t xml:space="preserve"> M.</w:t>
      </w:r>
      <w:r w:rsidR="00B817BC" w:rsidRPr="00865610">
        <w:rPr>
          <w:rFonts w:ascii="Times New Roman" w:hAnsi="Times New Roman" w:cs="Times New Roman"/>
          <w:sz w:val="24"/>
          <w:szCs w:val="24"/>
          <w:lang w:val="en-US"/>
        </w:rPr>
        <w:t xml:space="preserve"> (2016). </w:t>
      </w:r>
      <w:proofErr w:type="spellStart"/>
      <w:r w:rsidRPr="00DB3115">
        <w:rPr>
          <w:rFonts w:ascii="Times New Roman" w:hAnsi="Times New Roman" w:cs="Times New Roman"/>
          <w:sz w:val="24"/>
          <w:szCs w:val="24"/>
        </w:rPr>
        <w:t>Inmunonutrición</w:t>
      </w:r>
      <w:proofErr w:type="spellEnd"/>
      <w:r w:rsidRPr="00DB3115">
        <w:rPr>
          <w:rFonts w:ascii="Times New Roman" w:hAnsi="Times New Roman" w:cs="Times New Roman"/>
          <w:sz w:val="24"/>
          <w:szCs w:val="24"/>
        </w:rPr>
        <w:t xml:space="preserve"> en el paciente crítico. </w:t>
      </w:r>
      <w:proofErr w:type="spellStart"/>
      <w:r w:rsidRPr="00DB3115">
        <w:rPr>
          <w:rFonts w:ascii="Times New Roman" w:hAnsi="Times New Roman" w:cs="Times New Roman"/>
          <w:i/>
          <w:sz w:val="24"/>
          <w:szCs w:val="24"/>
        </w:rPr>
        <w:t>Diaeta</w:t>
      </w:r>
      <w:proofErr w:type="spellEnd"/>
      <w:r w:rsidR="00B817BC">
        <w:rPr>
          <w:rFonts w:ascii="Times New Roman" w:hAnsi="Times New Roman" w:cs="Times New Roman"/>
          <w:i/>
          <w:sz w:val="24"/>
          <w:szCs w:val="24"/>
        </w:rPr>
        <w:t>,</w:t>
      </w:r>
      <w:r w:rsidRPr="00DB3115">
        <w:rPr>
          <w:rFonts w:ascii="Times New Roman" w:hAnsi="Times New Roman" w:cs="Times New Roman"/>
          <w:sz w:val="24"/>
          <w:szCs w:val="24"/>
        </w:rPr>
        <w:t xml:space="preserve"> </w:t>
      </w:r>
      <w:r w:rsidRPr="003F3FAF">
        <w:rPr>
          <w:rFonts w:ascii="Times New Roman" w:hAnsi="Times New Roman" w:cs="Times New Roman"/>
          <w:i/>
          <w:iCs/>
          <w:sz w:val="24"/>
          <w:szCs w:val="24"/>
        </w:rPr>
        <w:t>34</w:t>
      </w:r>
      <w:r w:rsidRPr="00DB3115">
        <w:rPr>
          <w:rFonts w:ascii="Times New Roman" w:hAnsi="Times New Roman" w:cs="Times New Roman"/>
          <w:sz w:val="24"/>
          <w:szCs w:val="24"/>
        </w:rPr>
        <w:t>(155)</w:t>
      </w:r>
      <w:r>
        <w:rPr>
          <w:rFonts w:ascii="Times New Roman" w:hAnsi="Times New Roman" w:cs="Times New Roman"/>
          <w:sz w:val="24"/>
          <w:szCs w:val="24"/>
        </w:rPr>
        <w:t>,</w:t>
      </w:r>
      <w:r w:rsidR="00B817BC">
        <w:rPr>
          <w:rFonts w:ascii="Times New Roman" w:hAnsi="Times New Roman" w:cs="Times New Roman"/>
          <w:sz w:val="24"/>
          <w:szCs w:val="24"/>
        </w:rPr>
        <w:t xml:space="preserve"> </w:t>
      </w:r>
      <w:r w:rsidRPr="00DB3115">
        <w:rPr>
          <w:rFonts w:ascii="Times New Roman" w:hAnsi="Times New Roman" w:cs="Times New Roman"/>
          <w:sz w:val="24"/>
          <w:szCs w:val="24"/>
        </w:rPr>
        <w:t>48-55.</w:t>
      </w:r>
    </w:p>
    <w:p w14:paraId="7F2B370E" w14:textId="6EE81887" w:rsidR="00A6515B" w:rsidRPr="00DB3115" w:rsidRDefault="00A6515B" w:rsidP="003F3FAF">
      <w:pPr>
        <w:pStyle w:val="Prrafodelista"/>
        <w:spacing w:after="0" w:line="360" w:lineRule="auto"/>
        <w:ind w:left="709" w:right="49" w:hanging="567"/>
        <w:jc w:val="both"/>
        <w:rPr>
          <w:rFonts w:ascii="Times New Roman" w:hAnsi="Times New Roman" w:cs="Times New Roman"/>
          <w:sz w:val="24"/>
          <w:szCs w:val="24"/>
        </w:rPr>
      </w:pPr>
      <w:r w:rsidRPr="00DB3115">
        <w:rPr>
          <w:rFonts w:ascii="Times New Roman" w:hAnsi="Times New Roman" w:cs="Times New Roman"/>
          <w:sz w:val="24"/>
          <w:szCs w:val="24"/>
        </w:rPr>
        <w:t>Torres</w:t>
      </w:r>
      <w:r w:rsidR="000D5B95">
        <w:rPr>
          <w:rFonts w:ascii="Times New Roman" w:hAnsi="Times New Roman" w:cs="Times New Roman"/>
          <w:sz w:val="24"/>
          <w:szCs w:val="24"/>
        </w:rPr>
        <w:t xml:space="preserve">, </w:t>
      </w:r>
      <w:r w:rsidRPr="00DB3115">
        <w:rPr>
          <w:rFonts w:ascii="Times New Roman" w:hAnsi="Times New Roman" w:cs="Times New Roman"/>
          <w:sz w:val="24"/>
          <w:szCs w:val="24"/>
        </w:rPr>
        <w:t>A., Fuentes</w:t>
      </w:r>
      <w:r w:rsidR="000D5B95">
        <w:rPr>
          <w:rFonts w:ascii="Times New Roman" w:hAnsi="Times New Roman" w:cs="Times New Roman"/>
          <w:sz w:val="24"/>
          <w:szCs w:val="24"/>
        </w:rPr>
        <w:t xml:space="preserve">, </w:t>
      </w:r>
      <w:r w:rsidRPr="00DB3115">
        <w:rPr>
          <w:rFonts w:ascii="Times New Roman" w:hAnsi="Times New Roman" w:cs="Times New Roman"/>
          <w:sz w:val="24"/>
          <w:szCs w:val="24"/>
        </w:rPr>
        <w:t>M., Jiménez</w:t>
      </w:r>
      <w:r w:rsidR="000D5B95">
        <w:rPr>
          <w:rFonts w:ascii="Times New Roman" w:hAnsi="Times New Roman" w:cs="Times New Roman"/>
          <w:sz w:val="24"/>
          <w:szCs w:val="24"/>
        </w:rPr>
        <w:t xml:space="preserve">, </w:t>
      </w:r>
      <w:r w:rsidRPr="00DB3115">
        <w:rPr>
          <w:rFonts w:ascii="Times New Roman" w:hAnsi="Times New Roman" w:cs="Times New Roman"/>
          <w:sz w:val="24"/>
          <w:szCs w:val="24"/>
        </w:rPr>
        <w:t>F., Sandoval</w:t>
      </w:r>
      <w:r w:rsidR="000D5B95">
        <w:rPr>
          <w:rFonts w:ascii="Times New Roman" w:hAnsi="Times New Roman" w:cs="Times New Roman"/>
          <w:sz w:val="24"/>
          <w:szCs w:val="24"/>
        </w:rPr>
        <w:t xml:space="preserve">, </w:t>
      </w:r>
      <w:r w:rsidRPr="00DB3115">
        <w:rPr>
          <w:rFonts w:ascii="Times New Roman" w:hAnsi="Times New Roman" w:cs="Times New Roman"/>
          <w:sz w:val="24"/>
          <w:szCs w:val="24"/>
        </w:rPr>
        <w:t>N., Vargas</w:t>
      </w:r>
      <w:r w:rsidR="000D5B95">
        <w:rPr>
          <w:rFonts w:ascii="Times New Roman" w:hAnsi="Times New Roman" w:cs="Times New Roman"/>
          <w:sz w:val="24"/>
          <w:szCs w:val="24"/>
        </w:rPr>
        <w:t xml:space="preserve">, </w:t>
      </w:r>
      <w:r w:rsidRPr="00DB3115">
        <w:rPr>
          <w:rFonts w:ascii="Times New Roman" w:hAnsi="Times New Roman" w:cs="Times New Roman"/>
          <w:sz w:val="24"/>
          <w:szCs w:val="24"/>
        </w:rPr>
        <w:t>B.</w:t>
      </w:r>
      <w:r w:rsidR="000D5B95">
        <w:rPr>
          <w:rFonts w:ascii="Times New Roman" w:hAnsi="Times New Roman" w:cs="Times New Roman"/>
          <w:sz w:val="24"/>
          <w:szCs w:val="24"/>
        </w:rPr>
        <w:t xml:space="preserve"> y</w:t>
      </w:r>
      <w:r w:rsidRPr="00DB3115">
        <w:rPr>
          <w:rFonts w:ascii="Times New Roman" w:eastAsia="Times New Roman" w:hAnsi="Times New Roman" w:cs="Times New Roman"/>
          <w:bCs/>
          <w:color w:val="000000"/>
          <w:sz w:val="24"/>
          <w:szCs w:val="24"/>
        </w:rPr>
        <w:t xml:space="preserve"> </w:t>
      </w:r>
      <w:r w:rsidRPr="00DB3115">
        <w:rPr>
          <w:rFonts w:ascii="Times New Roman" w:hAnsi="Times New Roman" w:cs="Times New Roman"/>
          <w:sz w:val="24"/>
          <w:szCs w:val="24"/>
        </w:rPr>
        <w:t>Ocampo</w:t>
      </w:r>
      <w:r w:rsidR="000D5B95">
        <w:rPr>
          <w:rFonts w:ascii="Times New Roman" w:hAnsi="Times New Roman" w:cs="Times New Roman"/>
          <w:sz w:val="24"/>
          <w:szCs w:val="24"/>
        </w:rPr>
        <w:t xml:space="preserve">, </w:t>
      </w:r>
      <w:r w:rsidRPr="00DB3115">
        <w:rPr>
          <w:rFonts w:ascii="Times New Roman" w:hAnsi="Times New Roman" w:cs="Times New Roman"/>
          <w:sz w:val="24"/>
          <w:szCs w:val="24"/>
        </w:rPr>
        <w:t xml:space="preserve">N. (2008). Nutrición enteral, intervención segura en la Unidad de Terapia Intensiva. </w:t>
      </w:r>
      <w:r w:rsidRPr="00DB3115">
        <w:rPr>
          <w:rFonts w:ascii="Times New Roman" w:hAnsi="Times New Roman" w:cs="Times New Roman"/>
          <w:i/>
          <w:sz w:val="24"/>
          <w:szCs w:val="24"/>
        </w:rPr>
        <w:t xml:space="preserve">Revista Medicina Crítica y Terapia Intensiva, </w:t>
      </w:r>
      <w:r w:rsidRPr="003F3FAF">
        <w:rPr>
          <w:rFonts w:ascii="Times New Roman" w:hAnsi="Times New Roman" w:cs="Times New Roman"/>
          <w:i/>
          <w:iCs/>
          <w:sz w:val="24"/>
          <w:szCs w:val="24"/>
        </w:rPr>
        <w:t>22</w:t>
      </w:r>
      <w:r w:rsidRPr="00DB3115">
        <w:rPr>
          <w:rFonts w:ascii="Times New Roman" w:hAnsi="Times New Roman" w:cs="Times New Roman"/>
          <w:sz w:val="24"/>
          <w:szCs w:val="24"/>
        </w:rPr>
        <w:t>(4)</w:t>
      </w:r>
      <w:r>
        <w:rPr>
          <w:rFonts w:ascii="Times New Roman" w:hAnsi="Times New Roman" w:cs="Times New Roman"/>
          <w:sz w:val="24"/>
          <w:szCs w:val="24"/>
        </w:rPr>
        <w:t>,</w:t>
      </w:r>
      <w:r w:rsidR="00B817BC">
        <w:rPr>
          <w:rFonts w:ascii="Times New Roman" w:hAnsi="Times New Roman" w:cs="Times New Roman"/>
          <w:sz w:val="24"/>
          <w:szCs w:val="24"/>
        </w:rPr>
        <w:t xml:space="preserve"> </w:t>
      </w:r>
      <w:r w:rsidRPr="00DB3115">
        <w:rPr>
          <w:rFonts w:ascii="Times New Roman" w:hAnsi="Times New Roman" w:cs="Times New Roman"/>
          <w:sz w:val="24"/>
          <w:szCs w:val="24"/>
        </w:rPr>
        <w:t>226-235.</w:t>
      </w:r>
    </w:p>
    <w:p w14:paraId="2C72C2FA" w14:textId="63557CCC" w:rsidR="00A6515B" w:rsidRPr="00DB3115" w:rsidRDefault="00A6515B" w:rsidP="003F3FAF">
      <w:pPr>
        <w:pStyle w:val="Default"/>
        <w:spacing w:line="360" w:lineRule="auto"/>
        <w:ind w:left="709" w:right="49" w:hanging="567"/>
        <w:jc w:val="both"/>
        <w:rPr>
          <w:rFonts w:ascii="Times New Roman" w:hAnsi="Times New Roman" w:cs="Times New Roman"/>
          <w:lang w:val="en-US"/>
        </w:rPr>
      </w:pPr>
      <w:r w:rsidRPr="00DB3115">
        <w:rPr>
          <w:rFonts w:ascii="Times New Roman" w:hAnsi="Times New Roman" w:cs="Times New Roman"/>
          <w:lang w:val="fr-MC"/>
        </w:rPr>
        <w:t>Vizzini</w:t>
      </w:r>
      <w:r w:rsidR="00B817BC">
        <w:rPr>
          <w:rFonts w:ascii="Times New Roman" w:hAnsi="Times New Roman" w:cs="Times New Roman"/>
          <w:lang w:val="fr-MC"/>
        </w:rPr>
        <w:t>,</w:t>
      </w:r>
      <w:r w:rsidRPr="00DB3115">
        <w:rPr>
          <w:rFonts w:ascii="Times New Roman" w:hAnsi="Times New Roman" w:cs="Times New Roman"/>
          <w:lang w:val="fr-MC"/>
        </w:rPr>
        <w:t xml:space="preserve"> A.</w:t>
      </w:r>
      <w:r w:rsidR="00B817BC">
        <w:rPr>
          <w:rFonts w:ascii="Times New Roman" w:hAnsi="Times New Roman" w:cs="Times New Roman"/>
          <w:lang w:val="fr-MC"/>
        </w:rPr>
        <w:t xml:space="preserve"> and</w:t>
      </w:r>
      <w:r w:rsidRPr="00DB3115">
        <w:rPr>
          <w:rFonts w:ascii="Times New Roman" w:hAnsi="Times New Roman" w:cs="Times New Roman"/>
        </w:rPr>
        <w:t xml:space="preserve"> </w:t>
      </w:r>
      <w:r w:rsidRPr="00DB3115">
        <w:rPr>
          <w:rFonts w:ascii="Times New Roman" w:hAnsi="Times New Roman" w:cs="Times New Roman"/>
          <w:lang w:val="fr-MC"/>
        </w:rPr>
        <w:t>Aranda</w:t>
      </w:r>
      <w:r w:rsidR="00B817BC">
        <w:rPr>
          <w:rFonts w:ascii="Times New Roman" w:hAnsi="Times New Roman" w:cs="Times New Roman"/>
          <w:lang w:val="fr-MC"/>
        </w:rPr>
        <w:t>,</w:t>
      </w:r>
      <w:r w:rsidRPr="00DB3115">
        <w:rPr>
          <w:rFonts w:ascii="Times New Roman" w:hAnsi="Times New Roman" w:cs="Times New Roman"/>
          <w:lang w:val="fr-MC"/>
        </w:rPr>
        <w:t xml:space="preserve"> J. (2011). </w:t>
      </w:r>
      <w:r w:rsidRPr="00DB3115">
        <w:rPr>
          <w:rFonts w:ascii="Times New Roman" w:hAnsi="Times New Roman" w:cs="Times New Roman"/>
          <w:lang w:val="en-US"/>
        </w:rPr>
        <w:t xml:space="preserve">Nutritional support in head injury. </w:t>
      </w:r>
      <w:r w:rsidRPr="00DB3115">
        <w:rPr>
          <w:rFonts w:ascii="Times New Roman" w:hAnsi="Times New Roman" w:cs="Times New Roman"/>
          <w:i/>
          <w:lang w:val="en-US"/>
        </w:rPr>
        <w:t>Nutrition</w:t>
      </w:r>
      <w:r w:rsidR="00B817BC">
        <w:rPr>
          <w:rFonts w:ascii="Times New Roman" w:hAnsi="Times New Roman" w:cs="Times New Roman"/>
          <w:i/>
          <w:lang w:val="en-US"/>
        </w:rPr>
        <w:t>,</w:t>
      </w:r>
      <w:r w:rsidR="00B817BC" w:rsidRPr="00DB3115">
        <w:rPr>
          <w:rFonts w:ascii="Times New Roman" w:hAnsi="Times New Roman" w:cs="Times New Roman"/>
          <w:lang w:val="en-US"/>
        </w:rPr>
        <w:t xml:space="preserve"> </w:t>
      </w:r>
      <w:r w:rsidRPr="003F3FAF">
        <w:rPr>
          <w:rFonts w:ascii="Times New Roman" w:hAnsi="Times New Roman" w:cs="Times New Roman"/>
          <w:i/>
          <w:iCs/>
          <w:lang w:val="en-US"/>
        </w:rPr>
        <w:t>27</w:t>
      </w:r>
      <w:r w:rsidRPr="00DB3115">
        <w:rPr>
          <w:rFonts w:ascii="Times New Roman" w:hAnsi="Times New Roman" w:cs="Times New Roman"/>
          <w:lang w:val="en-US"/>
        </w:rPr>
        <w:t>(2)</w:t>
      </w:r>
      <w:r>
        <w:rPr>
          <w:rFonts w:ascii="Times New Roman" w:hAnsi="Times New Roman" w:cs="Times New Roman"/>
          <w:lang w:val="en-US"/>
        </w:rPr>
        <w:t>,</w:t>
      </w:r>
      <w:r w:rsidR="00B817BC">
        <w:rPr>
          <w:rFonts w:ascii="Times New Roman" w:hAnsi="Times New Roman" w:cs="Times New Roman"/>
          <w:lang w:val="en-US"/>
        </w:rPr>
        <w:t xml:space="preserve"> </w:t>
      </w:r>
      <w:r w:rsidRPr="00DB3115">
        <w:rPr>
          <w:rFonts w:ascii="Times New Roman" w:hAnsi="Times New Roman" w:cs="Times New Roman"/>
          <w:lang w:val="en-US"/>
        </w:rPr>
        <w:t>129–132.</w:t>
      </w:r>
    </w:p>
    <w:p w14:paraId="0E84ED8C" w14:textId="18429B90" w:rsidR="000E38C2" w:rsidRDefault="00A6515B" w:rsidP="003F3FAF">
      <w:pPr>
        <w:pStyle w:val="Prrafodelista"/>
        <w:autoSpaceDE w:val="0"/>
        <w:autoSpaceDN w:val="0"/>
        <w:adjustRightInd w:val="0"/>
        <w:spacing w:after="0" w:line="360" w:lineRule="auto"/>
        <w:ind w:left="709" w:right="49" w:hanging="567"/>
        <w:jc w:val="both"/>
        <w:rPr>
          <w:rFonts w:ascii="Times New Roman" w:hAnsi="Times New Roman" w:cs="Times New Roman"/>
          <w:sz w:val="24"/>
          <w:szCs w:val="24"/>
          <w:lang w:val="en-US"/>
        </w:rPr>
      </w:pPr>
      <w:r w:rsidRPr="00DB3115">
        <w:rPr>
          <w:rFonts w:ascii="Times New Roman" w:hAnsi="Times New Roman" w:cs="Times New Roman"/>
          <w:sz w:val="24"/>
          <w:szCs w:val="24"/>
          <w:lang w:val="en-US"/>
        </w:rPr>
        <w:t>Wang,</w:t>
      </w:r>
      <w:r w:rsidR="003C1F2E">
        <w:rPr>
          <w:rFonts w:ascii="Times New Roman" w:hAnsi="Times New Roman" w:cs="Times New Roman"/>
          <w:sz w:val="24"/>
          <w:szCs w:val="24"/>
          <w:lang w:val="en-US"/>
        </w:rPr>
        <w:t xml:space="preserve"> X.,</w:t>
      </w:r>
      <w:r w:rsidRPr="00DB3115">
        <w:rPr>
          <w:rFonts w:ascii="Times New Roman" w:hAnsi="Times New Roman" w:cs="Times New Roman"/>
          <w:sz w:val="24"/>
          <w:szCs w:val="24"/>
          <w:lang w:val="en-US"/>
        </w:rPr>
        <w:t xml:space="preserve"> Dong,</w:t>
      </w:r>
      <w:r w:rsidR="003C1F2E">
        <w:rPr>
          <w:rFonts w:ascii="Times New Roman" w:hAnsi="Times New Roman" w:cs="Times New Roman"/>
          <w:sz w:val="24"/>
          <w:szCs w:val="24"/>
          <w:lang w:val="en-US"/>
        </w:rPr>
        <w:t xml:space="preserve"> </w:t>
      </w:r>
      <w:r w:rsidR="00C04CB5">
        <w:rPr>
          <w:rFonts w:ascii="Times New Roman" w:hAnsi="Times New Roman" w:cs="Times New Roman"/>
          <w:sz w:val="24"/>
          <w:szCs w:val="24"/>
          <w:lang w:val="en-US"/>
        </w:rPr>
        <w:t>Y.,</w:t>
      </w:r>
      <w:r w:rsidRPr="00DB3115">
        <w:rPr>
          <w:rFonts w:ascii="Times New Roman" w:hAnsi="Times New Roman" w:cs="Times New Roman"/>
          <w:sz w:val="24"/>
          <w:szCs w:val="24"/>
          <w:lang w:val="en-US"/>
        </w:rPr>
        <w:t xml:space="preserve"> Han,</w:t>
      </w:r>
      <w:r w:rsidR="00C04CB5">
        <w:rPr>
          <w:rFonts w:ascii="Times New Roman" w:hAnsi="Times New Roman" w:cs="Times New Roman"/>
          <w:sz w:val="24"/>
          <w:szCs w:val="24"/>
          <w:lang w:val="en-US"/>
        </w:rPr>
        <w:t xml:space="preserve"> X.,</w:t>
      </w:r>
      <w:r w:rsidRPr="00DB3115">
        <w:rPr>
          <w:rFonts w:ascii="Times New Roman" w:hAnsi="Times New Roman" w:cs="Times New Roman"/>
          <w:sz w:val="24"/>
          <w:szCs w:val="24"/>
          <w:lang w:val="en-US"/>
        </w:rPr>
        <w:t xml:space="preserve"> Qi,</w:t>
      </w:r>
      <w:r w:rsidR="00C04CB5">
        <w:rPr>
          <w:rFonts w:ascii="Times New Roman" w:hAnsi="Times New Roman" w:cs="Times New Roman"/>
          <w:sz w:val="24"/>
          <w:szCs w:val="24"/>
          <w:lang w:val="en-US"/>
        </w:rPr>
        <w:t xml:space="preserve"> X. Q,</w:t>
      </w:r>
      <w:r w:rsidRPr="00DB3115">
        <w:rPr>
          <w:rFonts w:ascii="Times New Roman" w:hAnsi="Times New Roman" w:cs="Times New Roman"/>
          <w:sz w:val="24"/>
          <w:szCs w:val="24"/>
          <w:lang w:val="en-US"/>
        </w:rPr>
        <w:t xml:space="preserve"> Huang,</w:t>
      </w:r>
      <w:r w:rsidR="00C04CB5">
        <w:rPr>
          <w:rFonts w:ascii="Times New Roman" w:hAnsi="Times New Roman" w:cs="Times New Roman"/>
          <w:sz w:val="24"/>
          <w:szCs w:val="24"/>
          <w:lang w:val="en-US"/>
        </w:rPr>
        <w:t xml:space="preserve"> C. H. and</w:t>
      </w:r>
      <w:r w:rsidRPr="00DB3115">
        <w:rPr>
          <w:rFonts w:ascii="Times New Roman" w:hAnsi="Times New Roman" w:cs="Times New Roman"/>
          <w:sz w:val="24"/>
          <w:szCs w:val="24"/>
          <w:lang w:val="en-US"/>
        </w:rPr>
        <w:t xml:space="preserve"> Hou</w:t>
      </w:r>
      <w:r w:rsidR="00C04CB5">
        <w:rPr>
          <w:rFonts w:ascii="Times New Roman" w:hAnsi="Times New Roman" w:cs="Times New Roman"/>
          <w:sz w:val="24"/>
          <w:szCs w:val="24"/>
          <w:lang w:val="en-US"/>
        </w:rPr>
        <w:t>, L. H.</w:t>
      </w:r>
      <w:r w:rsidR="00C04CB5" w:rsidRPr="00DB3115">
        <w:rPr>
          <w:rFonts w:ascii="Times New Roman" w:hAnsi="Times New Roman" w:cs="Times New Roman"/>
          <w:sz w:val="24"/>
          <w:szCs w:val="24"/>
          <w:lang w:val="en-US"/>
        </w:rPr>
        <w:t xml:space="preserve"> </w:t>
      </w:r>
      <w:r w:rsidRPr="00DB3115">
        <w:rPr>
          <w:rFonts w:ascii="Times New Roman" w:hAnsi="Times New Roman" w:cs="Times New Roman"/>
          <w:sz w:val="24"/>
          <w:szCs w:val="24"/>
          <w:lang w:val="en-US"/>
        </w:rPr>
        <w:t xml:space="preserve">(2013). Nutritional Support for Patients Sustaining Traumatic Brain Injury: A Systematic Review and Meta-Analysis of Prospective Studies. </w:t>
      </w:r>
      <w:proofErr w:type="spellStart"/>
      <w:r w:rsidR="00257844" w:rsidRPr="00DB3115">
        <w:rPr>
          <w:rFonts w:ascii="Times New Roman" w:hAnsi="Times New Roman" w:cs="Times New Roman"/>
          <w:i/>
          <w:sz w:val="24"/>
          <w:szCs w:val="24"/>
          <w:lang w:val="en-US"/>
        </w:rPr>
        <w:t>P</w:t>
      </w:r>
      <w:r w:rsidR="00257844">
        <w:rPr>
          <w:rFonts w:ascii="Times New Roman" w:hAnsi="Times New Roman" w:cs="Times New Roman"/>
          <w:i/>
          <w:sz w:val="24"/>
          <w:szCs w:val="24"/>
          <w:lang w:val="en-US"/>
        </w:rPr>
        <w:t>L</w:t>
      </w:r>
      <w:r w:rsidR="00257844" w:rsidRPr="00DB3115">
        <w:rPr>
          <w:rFonts w:ascii="Times New Roman" w:hAnsi="Times New Roman" w:cs="Times New Roman"/>
          <w:i/>
          <w:sz w:val="24"/>
          <w:szCs w:val="24"/>
          <w:lang w:val="en-US"/>
        </w:rPr>
        <w:t>o</w:t>
      </w:r>
      <w:r w:rsidR="00257844">
        <w:rPr>
          <w:rFonts w:ascii="Times New Roman" w:hAnsi="Times New Roman" w:cs="Times New Roman"/>
          <w:i/>
          <w:sz w:val="24"/>
          <w:szCs w:val="24"/>
          <w:lang w:val="en-US"/>
        </w:rPr>
        <w:t>S</w:t>
      </w:r>
      <w:proofErr w:type="spellEnd"/>
      <w:r w:rsidR="00257844" w:rsidRPr="00DB3115">
        <w:rPr>
          <w:rFonts w:ascii="Times New Roman" w:hAnsi="Times New Roman" w:cs="Times New Roman"/>
          <w:i/>
          <w:sz w:val="24"/>
          <w:szCs w:val="24"/>
          <w:lang w:val="en-US"/>
        </w:rPr>
        <w:t xml:space="preserve"> </w:t>
      </w:r>
      <w:r w:rsidR="00257844">
        <w:rPr>
          <w:rFonts w:ascii="Times New Roman" w:hAnsi="Times New Roman" w:cs="Times New Roman"/>
          <w:i/>
          <w:sz w:val="24"/>
          <w:szCs w:val="24"/>
          <w:lang w:val="en-US"/>
        </w:rPr>
        <w:t>O</w:t>
      </w:r>
      <w:r w:rsidR="00257844" w:rsidRPr="00DB3115">
        <w:rPr>
          <w:rFonts w:ascii="Times New Roman" w:hAnsi="Times New Roman" w:cs="Times New Roman"/>
          <w:i/>
          <w:sz w:val="24"/>
          <w:szCs w:val="24"/>
          <w:lang w:val="en-US"/>
        </w:rPr>
        <w:t>ne</w:t>
      </w:r>
      <w:r w:rsidR="00C04CB5">
        <w:rPr>
          <w:rFonts w:ascii="Times New Roman" w:hAnsi="Times New Roman" w:cs="Times New Roman"/>
          <w:i/>
          <w:sz w:val="24"/>
          <w:szCs w:val="24"/>
          <w:lang w:val="en-US"/>
        </w:rPr>
        <w:t>,</w:t>
      </w:r>
      <w:r w:rsidRPr="00DB3115">
        <w:rPr>
          <w:rFonts w:ascii="Times New Roman" w:hAnsi="Times New Roman" w:cs="Times New Roman"/>
          <w:sz w:val="24"/>
          <w:szCs w:val="24"/>
          <w:lang w:val="en-US"/>
        </w:rPr>
        <w:t xml:space="preserve"> </w:t>
      </w:r>
      <w:r w:rsidRPr="003F3FAF">
        <w:rPr>
          <w:rFonts w:ascii="Times New Roman" w:hAnsi="Times New Roman" w:cs="Times New Roman"/>
          <w:i/>
          <w:iCs/>
          <w:sz w:val="24"/>
          <w:szCs w:val="24"/>
          <w:lang w:val="en-US"/>
        </w:rPr>
        <w:t>8</w:t>
      </w:r>
      <w:r w:rsidRPr="00DB3115">
        <w:rPr>
          <w:rFonts w:ascii="Times New Roman" w:hAnsi="Times New Roman" w:cs="Times New Roman"/>
          <w:sz w:val="24"/>
          <w:szCs w:val="24"/>
          <w:lang w:val="en-US"/>
        </w:rPr>
        <w:t>(3)</w:t>
      </w:r>
      <w:proofErr w:type="gramStart"/>
      <w:r>
        <w:rPr>
          <w:rFonts w:ascii="Times New Roman" w:hAnsi="Times New Roman" w:cs="Times New Roman"/>
          <w:sz w:val="24"/>
          <w:szCs w:val="24"/>
          <w:lang w:val="en-US"/>
        </w:rPr>
        <w:t>,</w:t>
      </w:r>
      <w:r w:rsidRPr="00DB3115">
        <w:rPr>
          <w:rFonts w:ascii="Times New Roman" w:hAnsi="Times New Roman" w:cs="Times New Roman"/>
          <w:sz w:val="24"/>
          <w:szCs w:val="24"/>
          <w:lang w:val="en-US"/>
        </w:rPr>
        <w:t>1</w:t>
      </w:r>
      <w:proofErr w:type="gramEnd"/>
      <w:r w:rsidRPr="00DB3115">
        <w:rPr>
          <w:rFonts w:ascii="Times New Roman" w:hAnsi="Times New Roman" w:cs="Times New Roman"/>
          <w:sz w:val="24"/>
          <w:szCs w:val="24"/>
          <w:lang w:val="en-US"/>
        </w:rPr>
        <w:t>-14.</w:t>
      </w:r>
      <w:bookmarkEnd w:id="1"/>
    </w:p>
    <w:p w14:paraId="5277B90E" w14:textId="77777777" w:rsidR="00647DB0" w:rsidRDefault="00647DB0" w:rsidP="003F3FAF">
      <w:pPr>
        <w:pStyle w:val="Prrafodelista"/>
        <w:autoSpaceDE w:val="0"/>
        <w:autoSpaceDN w:val="0"/>
        <w:adjustRightInd w:val="0"/>
        <w:spacing w:after="0" w:line="360" w:lineRule="auto"/>
        <w:ind w:left="709" w:right="49" w:hanging="567"/>
        <w:jc w:val="both"/>
        <w:rPr>
          <w:rFonts w:ascii="Times New Roman" w:hAnsi="Times New Roman" w:cs="Times New Roman"/>
          <w:sz w:val="24"/>
          <w:szCs w:val="24"/>
          <w:lang w:val="en-US"/>
        </w:rPr>
      </w:pPr>
    </w:p>
    <w:p w14:paraId="56032048" w14:textId="77777777" w:rsidR="00647DB0" w:rsidRDefault="00647DB0" w:rsidP="003F3FAF">
      <w:pPr>
        <w:pStyle w:val="Prrafodelista"/>
        <w:autoSpaceDE w:val="0"/>
        <w:autoSpaceDN w:val="0"/>
        <w:adjustRightInd w:val="0"/>
        <w:spacing w:after="0" w:line="360" w:lineRule="auto"/>
        <w:ind w:left="709" w:right="49" w:hanging="567"/>
        <w:jc w:val="both"/>
        <w:rPr>
          <w:rFonts w:ascii="Times New Roman" w:hAnsi="Times New Roman" w:cs="Times New Roman"/>
          <w:sz w:val="24"/>
          <w:szCs w:val="24"/>
          <w:lang w:val="en-US"/>
        </w:rPr>
      </w:pPr>
    </w:p>
    <w:p w14:paraId="50FA4DF6" w14:textId="77777777" w:rsidR="00647DB0" w:rsidRDefault="00647DB0" w:rsidP="003F3FAF">
      <w:pPr>
        <w:pStyle w:val="Prrafodelista"/>
        <w:autoSpaceDE w:val="0"/>
        <w:autoSpaceDN w:val="0"/>
        <w:adjustRightInd w:val="0"/>
        <w:spacing w:after="0" w:line="360" w:lineRule="auto"/>
        <w:ind w:left="709" w:right="49" w:hanging="567"/>
        <w:jc w:val="both"/>
        <w:rPr>
          <w:rFonts w:ascii="Times New Roman" w:hAnsi="Times New Roman" w:cs="Times New Roman"/>
          <w:sz w:val="24"/>
          <w:szCs w:val="24"/>
          <w:lang w:val="en-US"/>
        </w:rPr>
      </w:pPr>
    </w:p>
    <w:p w14:paraId="2D8DAE1C" w14:textId="77777777" w:rsidR="00647DB0" w:rsidRDefault="00647DB0" w:rsidP="003F3FAF">
      <w:pPr>
        <w:pStyle w:val="Prrafodelista"/>
        <w:autoSpaceDE w:val="0"/>
        <w:autoSpaceDN w:val="0"/>
        <w:adjustRightInd w:val="0"/>
        <w:spacing w:after="0" w:line="360" w:lineRule="auto"/>
        <w:ind w:left="709" w:right="49" w:hanging="567"/>
        <w:jc w:val="both"/>
        <w:rPr>
          <w:rFonts w:ascii="Times New Roman" w:hAnsi="Times New Roman" w:cs="Times New Roman"/>
          <w:sz w:val="24"/>
          <w:szCs w:val="24"/>
          <w:lang w:val="en-US"/>
        </w:rPr>
      </w:pPr>
    </w:p>
    <w:p w14:paraId="2F5D368C" w14:textId="77777777" w:rsidR="00647DB0" w:rsidRDefault="00647DB0" w:rsidP="003F3FAF">
      <w:pPr>
        <w:pStyle w:val="Prrafodelista"/>
        <w:autoSpaceDE w:val="0"/>
        <w:autoSpaceDN w:val="0"/>
        <w:adjustRightInd w:val="0"/>
        <w:spacing w:after="0" w:line="360" w:lineRule="auto"/>
        <w:ind w:left="709" w:right="49" w:hanging="567"/>
        <w:jc w:val="both"/>
        <w:rPr>
          <w:rFonts w:ascii="Times New Roman" w:hAnsi="Times New Roman" w:cs="Times New Roman"/>
          <w:sz w:val="24"/>
          <w:szCs w:val="24"/>
          <w:lang w:val="en-US"/>
        </w:rPr>
      </w:pPr>
    </w:p>
    <w:p w14:paraId="2602728D" w14:textId="77777777" w:rsidR="00647DB0" w:rsidRDefault="00647DB0" w:rsidP="003F3FAF">
      <w:pPr>
        <w:pStyle w:val="Prrafodelista"/>
        <w:autoSpaceDE w:val="0"/>
        <w:autoSpaceDN w:val="0"/>
        <w:adjustRightInd w:val="0"/>
        <w:spacing w:after="0" w:line="360" w:lineRule="auto"/>
        <w:ind w:left="709" w:right="49" w:hanging="567"/>
        <w:jc w:val="both"/>
        <w:rPr>
          <w:rFonts w:ascii="Times New Roman" w:hAnsi="Times New Roman" w:cs="Times New Roman"/>
          <w:sz w:val="24"/>
          <w:szCs w:val="24"/>
          <w:lang w:val="en-US"/>
        </w:rPr>
      </w:pPr>
    </w:p>
    <w:p w14:paraId="46F14EF5" w14:textId="77777777" w:rsidR="00647DB0" w:rsidRDefault="00647DB0" w:rsidP="003F3FAF">
      <w:pPr>
        <w:pStyle w:val="Prrafodelista"/>
        <w:autoSpaceDE w:val="0"/>
        <w:autoSpaceDN w:val="0"/>
        <w:adjustRightInd w:val="0"/>
        <w:spacing w:after="0" w:line="360" w:lineRule="auto"/>
        <w:ind w:left="709" w:right="49" w:hanging="567"/>
        <w:jc w:val="both"/>
        <w:rPr>
          <w:rFonts w:ascii="Times New Roman" w:hAnsi="Times New Roman" w:cs="Times New Roman"/>
          <w:sz w:val="24"/>
          <w:szCs w:val="24"/>
          <w:lang w:val="en-US"/>
        </w:rPr>
      </w:pPr>
    </w:p>
    <w:p w14:paraId="326EEEA3" w14:textId="77777777" w:rsidR="00647DB0" w:rsidRDefault="00647DB0" w:rsidP="003F3FAF">
      <w:pPr>
        <w:pStyle w:val="Prrafodelista"/>
        <w:autoSpaceDE w:val="0"/>
        <w:autoSpaceDN w:val="0"/>
        <w:adjustRightInd w:val="0"/>
        <w:spacing w:after="0" w:line="360" w:lineRule="auto"/>
        <w:ind w:left="709" w:right="49" w:hanging="567"/>
        <w:jc w:val="both"/>
        <w:rPr>
          <w:rFonts w:ascii="Times New Roman" w:hAnsi="Times New Roman" w:cs="Times New Roman"/>
          <w:sz w:val="24"/>
          <w:szCs w:val="24"/>
          <w:lang w:val="en-US"/>
        </w:rPr>
      </w:pPr>
    </w:p>
    <w:p w14:paraId="64C5B0B0" w14:textId="77777777" w:rsidR="00647DB0" w:rsidRDefault="00647DB0" w:rsidP="003F3FAF">
      <w:pPr>
        <w:pStyle w:val="Prrafodelista"/>
        <w:autoSpaceDE w:val="0"/>
        <w:autoSpaceDN w:val="0"/>
        <w:adjustRightInd w:val="0"/>
        <w:spacing w:after="0" w:line="360" w:lineRule="auto"/>
        <w:ind w:left="709" w:right="49" w:hanging="567"/>
        <w:jc w:val="both"/>
        <w:rPr>
          <w:rFonts w:ascii="Times New Roman" w:hAnsi="Times New Roman" w:cs="Times New Roman"/>
          <w:sz w:val="24"/>
          <w:szCs w:val="24"/>
          <w:lang w:val="en-US"/>
        </w:rPr>
      </w:pPr>
    </w:p>
    <w:p w14:paraId="0F18491A" w14:textId="77777777" w:rsidR="00647DB0" w:rsidRDefault="00647DB0" w:rsidP="003F3FAF">
      <w:pPr>
        <w:pStyle w:val="Prrafodelista"/>
        <w:autoSpaceDE w:val="0"/>
        <w:autoSpaceDN w:val="0"/>
        <w:adjustRightInd w:val="0"/>
        <w:spacing w:after="0" w:line="360" w:lineRule="auto"/>
        <w:ind w:left="709" w:right="49" w:hanging="567"/>
        <w:jc w:val="both"/>
        <w:rPr>
          <w:rFonts w:ascii="Times New Roman" w:hAnsi="Times New Roman" w:cs="Times New Roman"/>
          <w:sz w:val="24"/>
          <w:szCs w:val="24"/>
          <w:lang w:val="en-US"/>
        </w:rPr>
      </w:pPr>
    </w:p>
    <w:p w14:paraId="31B912E8" w14:textId="77777777" w:rsidR="00647DB0" w:rsidRDefault="00647DB0" w:rsidP="003F3FAF">
      <w:pPr>
        <w:pStyle w:val="Prrafodelista"/>
        <w:autoSpaceDE w:val="0"/>
        <w:autoSpaceDN w:val="0"/>
        <w:adjustRightInd w:val="0"/>
        <w:spacing w:after="0" w:line="360" w:lineRule="auto"/>
        <w:ind w:left="709" w:right="49" w:hanging="567"/>
        <w:jc w:val="both"/>
        <w:rPr>
          <w:rFonts w:ascii="Times New Roman" w:hAnsi="Times New Roman" w:cs="Times New Roman"/>
          <w:sz w:val="24"/>
          <w:szCs w:val="24"/>
          <w:lang w:val="en-US"/>
        </w:rPr>
      </w:pPr>
    </w:p>
    <w:p w14:paraId="38A40521" w14:textId="77777777" w:rsidR="00647DB0" w:rsidRDefault="00647DB0" w:rsidP="003F3FAF">
      <w:pPr>
        <w:pStyle w:val="Prrafodelista"/>
        <w:autoSpaceDE w:val="0"/>
        <w:autoSpaceDN w:val="0"/>
        <w:adjustRightInd w:val="0"/>
        <w:spacing w:after="0" w:line="360" w:lineRule="auto"/>
        <w:ind w:left="709" w:right="49" w:hanging="567"/>
        <w:jc w:val="both"/>
        <w:rPr>
          <w:rFonts w:ascii="Times New Roman" w:hAnsi="Times New Roman" w:cs="Times New Roman"/>
          <w:sz w:val="24"/>
          <w:szCs w:val="24"/>
          <w:lang w:val="en-US"/>
        </w:rPr>
      </w:pPr>
      <w:bookmarkStart w:id="2" w:name="_GoBack"/>
      <w:bookmarkEnd w:id="2"/>
    </w:p>
    <w:p w14:paraId="51AFE575" w14:textId="77777777" w:rsidR="00D502DA" w:rsidRDefault="00D502DA" w:rsidP="003F3FAF">
      <w:pPr>
        <w:pStyle w:val="Prrafodelista"/>
        <w:autoSpaceDE w:val="0"/>
        <w:autoSpaceDN w:val="0"/>
        <w:adjustRightInd w:val="0"/>
        <w:spacing w:after="0" w:line="360" w:lineRule="auto"/>
        <w:ind w:left="709" w:right="49" w:hanging="567"/>
        <w:jc w:val="both"/>
        <w:rPr>
          <w:rFonts w:ascii="Times New Roman" w:hAnsi="Times New Roman" w:cs="Times New Roman"/>
          <w:sz w:val="24"/>
          <w:szCs w:val="24"/>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502DA" w:rsidRPr="004B1A6D" w14:paraId="20D52060" w14:textId="77777777" w:rsidTr="00DC59C0">
        <w:tc>
          <w:tcPr>
            <w:tcW w:w="3045" w:type="dxa"/>
            <w:shd w:val="clear" w:color="auto" w:fill="auto"/>
            <w:tcMar>
              <w:top w:w="100" w:type="dxa"/>
              <w:left w:w="100" w:type="dxa"/>
              <w:bottom w:w="100" w:type="dxa"/>
              <w:right w:w="100" w:type="dxa"/>
            </w:tcMar>
          </w:tcPr>
          <w:p w14:paraId="5214E60E" w14:textId="77777777" w:rsidR="00D502DA" w:rsidRPr="0048642A" w:rsidRDefault="00D502DA" w:rsidP="00DC59C0">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06CA7AC9" w14:textId="417DA462" w:rsidR="00D502DA" w:rsidRPr="0048642A" w:rsidRDefault="00D502DA" w:rsidP="00DC59C0">
            <w:pPr>
              <w:pStyle w:val="Ttulo3"/>
              <w:widowControl w:val="0"/>
              <w:spacing w:before="0" w:line="240" w:lineRule="auto"/>
              <w:rPr>
                <w:sz w:val="20"/>
                <w:szCs w:val="20"/>
              </w:rPr>
            </w:pPr>
            <w:bookmarkStart w:id="3" w:name="_btsjgdfgjwkr" w:colFirst="0" w:colLast="0"/>
            <w:bookmarkEnd w:id="3"/>
            <w:r>
              <w:rPr>
                <w:sz w:val="20"/>
                <w:szCs w:val="20"/>
              </w:rPr>
              <w:t>Autor (es)</w:t>
            </w:r>
          </w:p>
        </w:tc>
      </w:tr>
      <w:tr w:rsidR="00D502DA" w:rsidRPr="004B1A6D" w14:paraId="5221EEED" w14:textId="77777777" w:rsidTr="00DC59C0">
        <w:tc>
          <w:tcPr>
            <w:tcW w:w="3045" w:type="dxa"/>
            <w:shd w:val="clear" w:color="auto" w:fill="auto"/>
            <w:tcMar>
              <w:top w:w="100" w:type="dxa"/>
              <w:left w:w="100" w:type="dxa"/>
              <w:bottom w:w="100" w:type="dxa"/>
              <w:right w:w="100" w:type="dxa"/>
            </w:tcMar>
          </w:tcPr>
          <w:p w14:paraId="2B47D4EC" w14:textId="77777777" w:rsidR="00D502DA" w:rsidRPr="0048642A" w:rsidRDefault="00D502DA" w:rsidP="00DC59C0">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7DC03799" w14:textId="77777777" w:rsidR="00D502DA" w:rsidRPr="00D502DA" w:rsidRDefault="00D502DA" w:rsidP="00DC59C0">
            <w:pPr>
              <w:ind w:right="-141"/>
              <w:rPr>
                <w:b/>
                <w:sz w:val="18"/>
                <w:szCs w:val="18"/>
              </w:rPr>
            </w:pPr>
            <w:r w:rsidRPr="00D502DA">
              <w:rPr>
                <w:b/>
                <w:sz w:val="18"/>
                <w:szCs w:val="18"/>
              </w:rPr>
              <w:t>Gisela Ponce y Ponce de León, José Manuel Cornejo Bravo, María Eugenia Pérez Morales y José de Jesús Mayagoitia Witrón (igual).</w:t>
            </w:r>
          </w:p>
        </w:tc>
      </w:tr>
      <w:tr w:rsidR="00D502DA" w:rsidRPr="004B1A6D" w14:paraId="3516EA0B" w14:textId="77777777" w:rsidTr="00DC59C0">
        <w:tc>
          <w:tcPr>
            <w:tcW w:w="3045" w:type="dxa"/>
            <w:shd w:val="clear" w:color="auto" w:fill="auto"/>
            <w:tcMar>
              <w:top w:w="100" w:type="dxa"/>
              <w:left w:w="100" w:type="dxa"/>
              <w:bottom w:w="100" w:type="dxa"/>
              <w:right w:w="100" w:type="dxa"/>
            </w:tcMar>
          </w:tcPr>
          <w:p w14:paraId="7AD7EE29" w14:textId="77777777" w:rsidR="00D502DA" w:rsidRPr="0048642A" w:rsidRDefault="00D502DA" w:rsidP="00DC59C0">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48D88298" w14:textId="77777777" w:rsidR="00D502DA" w:rsidRPr="00D502DA" w:rsidRDefault="00D502DA" w:rsidP="00DC59C0">
            <w:pPr>
              <w:widowControl w:val="0"/>
              <w:spacing w:line="240" w:lineRule="auto"/>
              <w:rPr>
                <w:b/>
                <w:sz w:val="18"/>
                <w:szCs w:val="18"/>
              </w:rPr>
            </w:pPr>
            <w:r w:rsidRPr="00D502DA">
              <w:rPr>
                <w:b/>
                <w:sz w:val="18"/>
                <w:szCs w:val="18"/>
              </w:rPr>
              <w:t>Gisela Ponce y Ponce de León, José Manuel Cornejo Bravo, María Eugenia Pérez Morales y José de Jesús Mayagoitia Witrón (igual).</w:t>
            </w:r>
          </w:p>
        </w:tc>
      </w:tr>
      <w:tr w:rsidR="00D502DA" w:rsidRPr="004B1A6D" w14:paraId="0FBEE373" w14:textId="77777777" w:rsidTr="00DC59C0">
        <w:tc>
          <w:tcPr>
            <w:tcW w:w="3045" w:type="dxa"/>
            <w:shd w:val="clear" w:color="auto" w:fill="auto"/>
            <w:tcMar>
              <w:top w:w="100" w:type="dxa"/>
              <w:left w:w="100" w:type="dxa"/>
              <w:bottom w:w="100" w:type="dxa"/>
              <w:right w:w="100" w:type="dxa"/>
            </w:tcMar>
          </w:tcPr>
          <w:p w14:paraId="4B1D8641" w14:textId="77777777" w:rsidR="00D502DA" w:rsidRPr="0048642A" w:rsidRDefault="00D502DA" w:rsidP="00DC59C0">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46B458C9" w14:textId="77777777" w:rsidR="00D502DA" w:rsidRPr="00D502DA" w:rsidRDefault="00D502DA" w:rsidP="00DC59C0">
            <w:pPr>
              <w:widowControl w:val="0"/>
              <w:spacing w:line="240" w:lineRule="auto"/>
              <w:rPr>
                <w:b/>
                <w:sz w:val="18"/>
                <w:szCs w:val="18"/>
              </w:rPr>
            </w:pPr>
            <w:r w:rsidRPr="00D502DA">
              <w:rPr>
                <w:b/>
                <w:sz w:val="18"/>
                <w:szCs w:val="18"/>
              </w:rPr>
              <w:t>Gisela Ponce y Ponce de León (principal), Ulises Rieke Campoy y Alejandro Mayagoitia Ponce (apoya).</w:t>
            </w:r>
          </w:p>
        </w:tc>
      </w:tr>
      <w:tr w:rsidR="00D502DA" w:rsidRPr="004B1A6D" w14:paraId="580BBB9A" w14:textId="77777777" w:rsidTr="00DC59C0">
        <w:tc>
          <w:tcPr>
            <w:tcW w:w="3045" w:type="dxa"/>
            <w:shd w:val="clear" w:color="auto" w:fill="auto"/>
            <w:tcMar>
              <w:top w:w="100" w:type="dxa"/>
              <w:left w:w="100" w:type="dxa"/>
              <w:bottom w:w="100" w:type="dxa"/>
              <w:right w:w="100" w:type="dxa"/>
            </w:tcMar>
          </w:tcPr>
          <w:p w14:paraId="292870BF" w14:textId="77777777" w:rsidR="00D502DA" w:rsidRPr="0048642A" w:rsidRDefault="00D502DA" w:rsidP="00DC59C0">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0F7A0B2F" w14:textId="77777777" w:rsidR="00D502DA" w:rsidRPr="00D502DA" w:rsidRDefault="00D502DA" w:rsidP="00DC59C0">
            <w:pPr>
              <w:widowControl w:val="0"/>
              <w:spacing w:line="240" w:lineRule="auto"/>
              <w:rPr>
                <w:b/>
                <w:sz w:val="18"/>
                <w:szCs w:val="18"/>
              </w:rPr>
            </w:pPr>
            <w:r w:rsidRPr="00D502DA">
              <w:rPr>
                <w:b/>
                <w:sz w:val="18"/>
                <w:szCs w:val="18"/>
              </w:rPr>
              <w:t>Gisela Ponce y Ponce de León, José Manuel Cornejo Bravo, María Eugenia Pérez Morales (igual).</w:t>
            </w:r>
          </w:p>
        </w:tc>
      </w:tr>
      <w:tr w:rsidR="00D502DA" w:rsidRPr="004B1A6D" w14:paraId="3BF4F215" w14:textId="77777777" w:rsidTr="00DC59C0">
        <w:tc>
          <w:tcPr>
            <w:tcW w:w="3045" w:type="dxa"/>
            <w:shd w:val="clear" w:color="auto" w:fill="auto"/>
            <w:tcMar>
              <w:top w:w="100" w:type="dxa"/>
              <w:left w:w="100" w:type="dxa"/>
              <w:bottom w:w="100" w:type="dxa"/>
              <w:right w:w="100" w:type="dxa"/>
            </w:tcMar>
          </w:tcPr>
          <w:p w14:paraId="5528DF42" w14:textId="77777777" w:rsidR="00D502DA" w:rsidRPr="0048642A" w:rsidRDefault="00D502DA" w:rsidP="00DC59C0">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1C09B86D" w14:textId="77777777" w:rsidR="00D502DA" w:rsidRPr="00D502DA" w:rsidRDefault="00D502DA" w:rsidP="00DC59C0">
            <w:pPr>
              <w:widowControl w:val="0"/>
              <w:spacing w:line="240" w:lineRule="auto"/>
              <w:rPr>
                <w:b/>
                <w:sz w:val="18"/>
                <w:szCs w:val="18"/>
              </w:rPr>
            </w:pPr>
            <w:r w:rsidRPr="00D502DA">
              <w:rPr>
                <w:b/>
                <w:sz w:val="18"/>
                <w:szCs w:val="18"/>
              </w:rPr>
              <w:t>Gisela Ponce y Ponce de León, José Manuel Cornejo Bravo, María Eugenia Pérez Morales (igual)</w:t>
            </w:r>
          </w:p>
        </w:tc>
      </w:tr>
      <w:tr w:rsidR="00D502DA" w:rsidRPr="004B1A6D" w14:paraId="25209700" w14:textId="77777777" w:rsidTr="00DC59C0">
        <w:tc>
          <w:tcPr>
            <w:tcW w:w="3045" w:type="dxa"/>
            <w:shd w:val="clear" w:color="auto" w:fill="auto"/>
            <w:tcMar>
              <w:top w:w="100" w:type="dxa"/>
              <w:left w:w="100" w:type="dxa"/>
              <w:bottom w:w="100" w:type="dxa"/>
              <w:right w:w="100" w:type="dxa"/>
            </w:tcMar>
          </w:tcPr>
          <w:p w14:paraId="3EF7EA38" w14:textId="77777777" w:rsidR="00D502DA" w:rsidRPr="0048642A" w:rsidRDefault="00D502DA" w:rsidP="00DC59C0">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47E130F9" w14:textId="77777777" w:rsidR="00D502DA" w:rsidRPr="00D502DA" w:rsidRDefault="00D502DA" w:rsidP="00DC59C0">
            <w:pPr>
              <w:widowControl w:val="0"/>
              <w:spacing w:line="240" w:lineRule="auto"/>
              <w:rPr>
                <w:b/>
                <w:sz w:val="18"/>
                <w:szCs w:val="18"/>
              </w:rPr>
            </w:pPr>
            <w:r w:rsidRPr="00D502DA">
              <w:rPr>
                <w:b/>
                <w:sz w:val="18"/>
                <w:szCs w:val="18"/>
              </w:rPr>
              <w:t>Gisela Ponce y Ponce de León, José de Jesús Mayagoitia Witrón, José Manuel Cornejo Bravo, María Eugenia Pérez Morales (igual)</w:t>
            </w:r>
          </w:p>
        </w:tc>
      </w:tr>
      <w:tr w:rsidR="00D502DA" w:rsidRPr="004B1A6D" w14:paraId="33E1D63D" w14:textId="77777777" w:rsidTr="00DC59C0">
        <w:tc>
          <w:tcPr>
            <w:tcW w:w="3045" w:type="dxa"/>
            <w:shd w:val="clear" w:color="auto" w:fill="auto"/>
            <w:tcMar>
              <w:top w:w="100" w:type="dxa"/>
              <w:left w:w="100" w:type="dxa"/>
              <w:bottom w:w="100" w:type="dxa"/>
              <w:right w:w="100" w:type="dxa"/>
            </w:tcMar>
          </w:tcPr>
          <w:p w14:paraId="6E4DACF8" w14:textId="77777777" w:rsidR="00D502DA" w:rsidRPr="0048642A" w:rsidRDefault="00D502DA" w:rsidP="00DC59C0">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34F19B5C" w14:textId="77777777" w:rsidR="00D502DA" w:rsidRPr="00D502DA" w:rsidRDefault="00D502DA" w:rsidP="00DC59C0">
            <w:pPr>
              <w:widowControl w:val="0"/>
              <w:spacing w:line="240" w:lineRule="auto"/>
              <w:rPr>
                <w:b/>
                <w:sz w:val="18"/>
                <w:szCs w:val="18"/>
              </w:rPr>
            </w:pPr>
            <w:r w:rsidRPr="00D502DA">
              <w:rPr>
                <w:b/>
                <w:sz w:val="18"/>
                <w:szCs w:val="18"/>
              </w:rPr>
              <w:t>Gisela Ponce y Ponce de León, José de Jesús Mayagoitia Witrón (principal).</w:t>
            </w:r>
          </w:p>
        </w:tc>
      </w:tr>
      <w:tr w:rsidR="00D502DA" w:rsidRPr="004B1A6D" w14:paraId="5E972326" w14:textId="77777777" w:rsidTr="00DC59C0">
        <w:tc>
          <w:tcPr>
            <w:tcW w:w="3045" w:type="dxa"/>
            <w:shd w:val="clear" w:color="auto" w:fill="auto"/>
            <w:tcMar>
              <w:top w:w="100" w:type="dxa"/>
              <w:left w:w="100" w:type="dxa"/>
              <w:bottom w:w="100" w:type="dxa"/>
              <w:right w:w="100" w:type="dxa"/>
            </w:tcMar>
          </w:tcPr>
          <w:p w14:paraId="79E4B660" w14:textId="77777777" w:rsidR="00D502DA" w:rsidRPr="0048642A" w:rsidRDefault="00D502DA" w:rsidP="00DC59C0">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5635875F" w14:textId="77777777" w:rsidR="00D502DA" w:rsidRPr="00D502DA" w:rsidRDefault="00D502DA" w:rsidP="00DC59C0">
            <w:pPr>
              <w:widowControl w:val="0"/>
              <w:spacing w:line="240" w:lineRule="auto"/>
              <w:rPr>
                <w:b/>
                <w:sz w:val="18"/>
                <w:szCs w:val="18"/>
              </w:rPr>
            </w:pPr>
            <w:r w:rsidRPr="00D502DA">
              <w:rPr>
                <w:b/>
                <w:sz w:val="18"/>
                <w:szCs w:val="18"/>
              </w:rPr>
              <w:t>Gisela Ponce y Ponce de León (principal), Ulises Rieke Campoy y Alejandro Mayagoitia Ponce (apoya).</w:t>
            </w:r>
          </w:p>
        </w:tc>
      </w:tr>
      <w:tr w:rsidR="00D502DA" w:rsidRPr="004B1A6D" w14:paraId="4584B739" w14:textId="77777777" w:rsidTr="00DC59C0">
        <w:tc>
          <w:tcPr>
            <w:tcW w:w="3045" w:type="dxa"/>
            <w:shd w:val="clear" w:color="auto" w:fill="auto"/>
            <w:tcMar>
              <w:top w:w="100" w:type="dxa"/>
              <w:left w:w="100" w:type="dxa"/>
              <w:bottom w:w="100" w:type="dxa"/>
              <w:right w:w="100" w:type="dxa"/>
            </w:tcMar>
          </w:tcPr>
          <w:p w14:paraId="672C4843" w14:textId="77777777" w:rsidR="00D502DA" w:rsidRPr="0048642A" w:rsidRDefault="00D502DA" w:rsidP="00DC59C0">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28DD1BEA" w14:textId="77777777" w:rsidR="00D502DA" w:rsidRPr="00D502DA" w:rsidRDefault="00D502DA" w:rsidP="00DC59C0">
            <w:pPr>
              <w:widowControl w:val="0"/>
              <w:spacing w:line="240" w:lineRule="auto"/>
              <w:rPr>
                <w:b/>
                <w:sz w:val="18"/>
                <w:szCs w:val="18"/>
              </w:rPr>
            </w:pPr>
            <w:r w:rsidRPr="00D502DA">
              <w:rPr>
                <w:b/>
                <w:sz w:val="18"/>
                <w:szCs w:val="18"/>
              </w:rPr>
              <w:t>Gisela Ponce y Ponce de León, Jose Manuel Cornejo Bravo y María Eugenia Pérez Morales (igual).</w:t>
            </w:r>
          </w:p>
        </w:tc>
      </w:tr>
      <w:tr w:rsidR="00D502DA" w:rsidRPr="004B1A6D" w14:paraId="49626DBE" w14:textId="77777777" w:rsidTr="00DC59C0">
        <w:tc>
          <w:tcPr>
            <w:tcW w:w="3045" w:type="dxa"/>
            <w:shd w:val="clear" w:color="auto" w:fill="auto"/>
            <w:tcMar>
              <w:top w:w="100" w:type="dxa"/>
              <w:left w:w="100" w:type="dxa"/>
              <w:bottom w:w="100" w:type="dxa"/>
              <w:right w:w="100" w:type="dxa"/>
            </w:tcMar>
          </w:tcPr>
          <w:p w14:paraId="0F75F009" w14:textId="77777777" w:rsidR="00D502DA" w:rsidRPr="0048642A" w:rsidRDefault="00D502DA" w:rsidP="00DC59C0">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3A863315" w14:textId="77777777" w:rsidR="00D502DA" w:rsidRPr="00D502DA" w:rsidRDefault="00D502DA" w:rsidP="00DC59C0">
            <w:pPr>
              <w:widowControl w:val="0"/>
              <w:spacing w:line="240" w:lineRule="auto"/>
              <w:rPr>
                <w:b/>
                <w:sz w:val="18"/>
                <w:szCs w:val="18"/>
              </w:rPr>
            </w:pPr>
            <w:r w:rsidRPr="00D502DA">
              <w:rPr>
                <w:b/>
                <w:sz w:val="18"/>
                <w:szCs w:val="18"/>
              </w:rPr>
              <w:t xml:space="preserve">Gisela Ponce y Ponce de León, José Manuel Cornejo Bravo, María Eugenia Pérez Morales y José de Jesús Mayagoitia Witrón (igual). </w:t>
            </w:r>
          </w:p>
        </w:tc>
      </w:tr>
      <w:tr w:rsidR="00D502DA" w:rsidRPr="004B1A6D" w14:paraId="72B03907" w14:textId="77777777" w:rsidTr="00DC59C0">
        <w:tc>
          <w:tcPr>
            <w:tcW w:w="3045" w:type="dxa"/>
            <w:shd w:val="clear" w:color="auto" w:fill="auto"/>
            <w:tcMar>
              <w:top w:w="100" w:type="dxa"/>
              <w:left w:w="100" w:type="dxa"/>
              <w:bottom w:w="100" w:type="dxa"/>
              <w:right w:w="100" w:type="dxa"/>
            </w:tcMar>
          </w:tcPr>
          <w:p w14:paraId="6018E5F1" w14:textId="77777777" w:rsidR="00D502DA" w:rsidRPr="0048642A" w:rsidRDefault="00D502DA" w:rsidP="00DC59C0">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363A392D" w14:textId="77777777" w:rsidR="00D502DA" w:rsidRPr="00D502DA" w:rsidRDefault="00D502DA" w:rsidP="00DC59C0">
            <w:pPr>
              <w:widowControl w:val="0"/>
              <w:spacing w:line="240" w:lineRule="auto"/>
              <w:rPr>
                <w:b/>
                <w:sz w:val="18"/>
                <w:szCs w:val="18"/>
              </w:rPr>
            </w:pPr>
            <w:r w:rsidRPr="00D502DA">
              <w:rPr>
                <w:b/>
                <w:sz w:val="18"/>
                <w:szCs w:val="18"/>
              </w:rPr>
              <w:t>Gisela Ponce y Ponce de León, José de Jesús Mayagoitia Witrón (igual), Ulises Rieke Campoy y Alejandro Mayagoitia Ponce (apoya).</w:t>
            </w:r>
          </w:p>
        </w:tc>
      </w:tr>
      <w:tr w:rsidR="00D502DA" w:rsidRPr="004B1A6D" w14:paraId="374ED6F1" w14:textId="77777777" w:rsidTr="00DC59C0">
        <w:tc>
          <w:tcPr>
            <w:tcW w:w="3045" w:type="dxa"/>
            <w:shd w:val="clear" w:color="auto" w:fill="auto"/>
            <w:tcMar>
              <w:top w:w="100" w:type="dxa"/>
              <w:left w:w="100" w:type="dxa"/>
              <w:bottom w:w="100" w:type="dxa"/>
              <w:right w:w="100" w:type="dxa"/>
            </w:tcMar>
          </w:tcPr>
          <w:p w14:paraId="6D88BEE5" w14:textId="77777777" w:rsidR="00D502DA" w:rsidRPr="0048642A" w:rsidRDefault="00D502DA" w:rsidP="00DC59C0">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3210530D" w14:textId="77777777" w:rsidR="00D502DA" w:rsidRPr="00D502DA" w:rsidRDefault="00D502DA" w:rsidP="00DC59C0">
            <w:pPr>
              <w:widowControl w:val="0"/>
              <w:spacing w:line="240" w:lineRule="auto"/>
              <w:rPr>
                <w:b/>
                <w:sz w:val="18"/>
                <w:szCs w:val="18"/>
              </w:rPr>
            </w:pPr>
            <w:r w:rsidRPr="00D502DA">
              <w:rPr>
                <w:b/>
                <w:sz w:val="18"/>
                <w:szCs w:val="18"/>
              </w:rPr>
              <w:t>Gisela Ponce y Ponce de León (principal).</w:t>
            </w:r>
          </w:p>
        </w:tc>
      </w:tr>
      <w:tr w:rsidR="00D502DA" w:rsidRPr="004B1A6D" w14:paraId="2CD0CFF5" w14:textId="77777777" w:rsidTr="00DC59C0">
        <w:tc>
          <w:tcPr>
            <w:tcW w:w="3045" w:type="dxa"/>
            <w:shd w:val="clear" w:color="auto" w:fill="auto"/>
            <w:tcMar>
              <w:top w:w="100" w:type="dxa"/>
              <w:left w:w="100" w:type="dxa"/>
              <w:bottom w:w="100" w:type="dxa"/>
              <w:right w:w="100" w:type="dxa"/>
            </w:tcMar>
          </w:tcPr>
          <w:p w14:paraId="66989E63" w14:textId="77777777" w:rsidR="00D502DA" w:rsidRPr="0048642A" w:rsidRDefault="00D502DA" w:rsidP="00DC59C0">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080116B5" w14:textId="77777777" w:rsidR="00D502DA" w:rsidRPr="00D502DA" w:rsidRDefault="00D502DA" w:rsidP="00DC59C0">
            <w:pPr>
              <w:widowControl w:val="0"/>
              <w:spacing w:line="240" w:lineRule="auto"/>
              <w:rPr>
                <w:b/>
                <w:sz w:val="18"/>
                <w:szCs w:val="18"/>
              </w:rPr>
            </w:pPr>
            <w:r w:rsidRPr="00D502DA">
              <w:rPr>
                <w:b/>
                <w:sz w:val="18"/>
                <w:szCs w:val="18"/>
              </w:rPr>
              <w:t>Gisela Ponce y Ponce de León y José de Jesús Mayagoitia Witrón (igual).</w:t>
            </w:r>
          </w:p>
        </w:tc>
      </w:tr>
      <w:tr w:rsidR="00D502DA" w:rsidRPr="004B1A6D" w14:paraId="5947164E" w14:textId="77777777" w:rsidTr="00DC59C0">
        <w:tc>
          <w:tcPr>
            <w:tcW w:w="3045" w:type="dxa"/>
            <w:shd w:val="clear" w:color="auto" w:fill="auto"/>
            <w:tcMar>
              <w:top w:w="100" w:type="dxa"/>
              <w:left w:w="100" w:type="dxa"/>
              <w:bottom w:w="100" w:type="dxa"/>
              <w:right w:w="100" w:type="dxa"/>
            </w:tcMar>
          </w:tcPr>
          <w:p w14:paraId="61C6B84D" w14:textId="77777777" w:rsidR="00D502DA" w:rsidRPr="0048642A" w:rsidRDefault="00D502DA" w:rsidP="00DC59C0">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1F995B0F" w14:textId="77777777" w:rsidR="00D502DA" w:rsidRPr="00D502DA" w:rsidRDefault="00D502DA" w:rsidP="00DC59C0">
            <w:pPr>
              <w:widowControl w:val="0"/>
              <w:spacing w:line="240" w:lineRule="auto"/>
              <w:rPr>
                <w:b/>
                <w:sz w:val="18"/>
                <w:szCs w:val="18"/>
              </w:rPr>
            </w:pPr>
            <w:r w:rsidRPr="00D502DA">
              <w:rPr>
                <w:b/>
                <w:sz w:val="18"/>
                <w:szCs w:val="18"/>
              </w:rPr>
              <w:t>Gisela Ponce y Ponce de León y José de Jesús Mayagoitia Witrón (igual).</w:t>
            </w:r>
          </w:p>
        </w:tc>
      </w:tr>
    </w:tbl>
    <w:p w14:paraId="640294D7" w14:textId="77777777" w:rsidR="00D502DA" w:rsidRPr="00542B32" w:rsidRDefault="00D502DA" w:rsidP="003F3FAF">
      <w:pPr>
        <w:pStyle w:val="Prrafodelista"/>
        <w:autoSpaceDE w:val="0"/>
        <w:autoSpaceDN w:val="0"/>
        <w:adjustRightInd w:val="0"/>
        <w:spacing w:after="0" w:line="360" w:lineRule="auto"/>
        <w:ind w:left="709" w:right="49" w:hanging="567"/>
        <w:jc w:val="both"/>
        <w:rPr>
          <w:rFonts w:eastAsia="Times New Roman"/>
        </w:rPr>
      </w:pPr>
    </w:p>
    <w:sectPr w:rsidR="00D502DA" w:rsidRPr="00542B32" w:rsidSect="003F3FAF">
      <w:headerReference w:type="default" r:id="rId15"/>
      <w:footerReference w:type="default" r:id="rId16"/>
      <w:pgSz w:w="12240" w:h="15840"/>
      <w:pgMar w:top="1843" w:right="1701" w:bottom="212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1D8B7" w14:textId="77777777" w:rsidR="00336E9A" w:rsidRDefault="00336E9A" w:rsidP="002C6899">
      <w:pPr>
        <w:spacing w:after="0" w:line="240" w:lineRule="auto"/>
      </w:pPr>
      <w:r>
        <w:separator/>
      </w:r>
    </w:p>
  </w:endnote>
  <w:endnote w:type="continuationSeparator" w:id="0">
    <w:p w14:paraId="22D71F65" w14:textId="77777777" w:rsidR="00336E9A" w:rsidRDefault="00336E9A" w:rsidP="002C6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968643"/>
      <w:docPartObj>
        <w:docPartGallery w:val="Page Numbers (Bottom of Page)"/>
        <w:docPartUnique/>
      </w:docPartObj>
    </w:sdtPr>
    <w:sdtEndPr/>
    <w:sdtContent>
      <w:p w14:paraId="706916DD" w14:textId="39319D21" w:rsidR="007F0912" w:rsidRDefault="003F3FAF" w:rsidP="003F3FAF">
        <w:pPr>
          <w:pStyle w:val="Piedepgina"/>
        </w:pPr>
        <w:r>
          <w:rPr>
            <w:rFonts w:cstheme="minorHAnsi"/>
            <w:b/>
            <w:noProof/>
            <w:lang w:eastAsia="es-MX"/>
          </w:rPr>
          <w:drawing>
            <wp:inline distT="0" distB="0" distL="0" distR="0" wp14:anchorId="7DE07672" wp14:editId="272CE72E">
              <wp:extent cx="1981200" cy="59055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jpg"/>
                      <pic:cNvPicPr/>
                    </pic:nvPicPr>
                    <pic:blipFill>
                      <a:blip r:embed="rId1">
                        <a:extLst>
                          <a:ext uri="{28A0092B-C50C-407E-A947-70E740481C1C}">
                            <a14:useLocalDpi xmlns:a14="http://schemas.microsoft.com/office/drawing/2010/main" val="0"/>
                          </a:ext>
                        </a:extLst>
                      </a:blip>
                      <a:stretch>
                        <a:fillRect/>
                      </a:stretch>
                    </pic:blipFill>
                    <pic:spPr>
                      <a:xfrm>
                        <a:off x="0" y="0"/>
                        <a:ext cx="1981200" cy="590550"/>
                      </a:xfrm>
                      <a:prstGeom prst="rect">
                        <a:avLst/>
                      </a:prstGeom>
                    </pic:spPr>
                  </pic:pic>
                </a:graphicData>
              </a:graphic>
            </wp:inline>
          </w:drawing>
        </w:r>
        <w:r w:rsidRPr="003F3FAF">
          <w:rPr>
            <w:b/>
          </w:rPr>
          <w:t xml:space="preserve"> </w:t>
        </w:r>
        <w:r>
          <w:rPr>
            <w:b/>
          </w:rPr>
          <w:t xml:space="preserve">       Vol. 8</w:t>
        </w:r>
        <w:r w:rsidRPr="00B47E30">
          <w:rPr>
            <w:b/>
          </w:rPr>
          <w:t>, Núm. 1</w:t>
        </w:r>
        <w:r>
          <w:rPr>
            <w:b/>
          </w:rPr>
          <w:t>6</w:t>
        </w:r>
        <w:r w:rsidRPr="00B47E30">
          <w:rPr>
            <w:b/>
          </w:rPr>
          <w:t xml:space="preserve">                  </w:t>
        </w:r>
        <w:r>
          <w:rPr>
            <w:b/>
          </w:rPr>
          <w:t>Julio - Diciembre 2019</w:t>
        </w:r>
      </w:p>
    </w:sdtContent>
  </w:sdt>
  <w:p w14:paraId="0A9F2269" w14:textId="77777777" w:rsidR="007F0912" w:rsidRDefault="007F09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378D2" w14:textId="77777777" w:rsidR="00336E9A" w:rsidRDefault="00336E9A" w:rsidP="002C6899">
      <w:pPr>
        <w:spacing w:after="0" w:line="240" w:lineRule="auto"/>
      </w:pPr>
      <w:r>
        <w:separator/>
      </w:r>
    </w:p>
  </w:footnote>
  <w:footnote w:type="continuationSeparator" w:id="0">
    <w:p w14:paraId="37816FAD" w14:textId="77777777" w:rsidR="00336E9A" w:rsidRDefault="00336E9A" w:rsidP="002C6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33BC6" w14:textId="464E4D0F" w:rsidR="003F3FAF" w:rsidRDefault="003F3FAF" w:rsidP="003F3FAF">
    <w:pPr>
      <w:pStyle w:val="Encabezado"/>
      <w:jc w:val="center"/>
    </w:pPr>
    <w:r>
      <w:rPr>
        <w:noProof/>
        <w:lang w:eastAsia="es-MX"/>
      </w:rPr>
      <w:drawing>
        <wp:inline distT="0" distB="0" distL="0" distR="0" wp14:anchorId="44EEFFA2" wp14:editId="1FD1B2C2">
          <wp:extent cx="5610225" cy="666750"/>
          <wp:effectExtent l="0" t="0" r="9525" b="0"/>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909E2"/>
    <w:multiLevelType w:val="hybridMultilevel"/>
    <w:tmpl w:val="B8D09182"/>
    <w:lvl w:ilvl="0" w:tplc="8022F8A8">
      <w:start w:val="1"/>
      <w:numFmt w:val="decimal"/>
      <w:lvlText w:val="%1."/>
      <w:lvlJc w:val="left"/>
      <w:pPr>
        <w:ind w:left="2062" w:hanging="360"/>
      </w:pPr>
      <w:rPr>
        <w:rFonts w:hint="default"/>
        <w:color w:val="auto"/>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1757294B"/>
    <w:multiLevelType w:val="hybridMultilevel"/>
    <w:tmpl w:val="DB80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1311B7"/>
    <w:multiLevelType w:val="multilevel"/>
    <w:tmpl w:val="B39E2822"/>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1650"/>
        </w:tabs>
        <w:ind w:left="1650" w:hanging="360"/>
      </w:pPr>
      <w:rPr>
        <w:rFonts w:ascii="Wingdings" w:hAnsi="Wingdings" w:hint="default"/>
        <w:sz w:val="20"/>
      </w:rPr>
    </w:lvl>
    <w:lvl w:ilvl="3" w:tentative="1">
      <w:start w:val="1"/>
      <w:numFmt w:val="bullet"/>
      <w:lvlText w:val=""/>
      <w:lvlJc w:val="left"/>
      <w:pPr>
        <w:tabs>
          <w:tab w:val="num" w:pos="2370"/>
        </w:tabs>
        <w:ind w:left="2370" w:hanging="360"/>
      </w:pPr>
      <w:rPr>
        <w:rFonts w:ascii="Wingdings" w:hAnsi="Wingdings" w:hint="default"/>
        <w:sz w:val="20"/>
      </w:rPr>
    </w:lvl>
    <w:lvl w:ilvl="4" w:tentative="1">
      <w:start w:val="1"/>
      <w:numFmt w:val="bullet"/>
      <w:lvlText w:val=""/>
      <w:lvlJc w:val="left"/>
      <w:pPr>
        <w:tabs>
          <w:tab w:val="num" w:pos="3090"/>
        </w:tabs>
        <w:ind w:left="3090" w:hanging="360"/>
      </w:pPr>
      <w:rPr>
        <w:rFonts w:ascii="Wingdings" w:hAnsi="Wingdings" w:hint="default"/>
        <w:sz w:val="20"/>
      </w:rPr>
    </w:lvl>
    <w:lvl w:ilvl="5" w:tentative="1">
      <w:start w:val="1"/>
      <w:numFmt w:val="bullet"/>
      <w:lvlText w:val=""/>
      <w:lvlJc w:val="left"/>
      <w:pPr>
        <w:tabs>
          <w:tab w:val="num" w:pos="3810"/>
        </w:tabs>
        <w:ind w:left="3810" w:hanging="360"/>
      </w:pPr>
      <w:rPr>
        <w:rFonts w:ascii="Wingdings" w:hAnsi="Wingdings" w:hint="default"/>
        <w:sz w:val="20"/>
      </w:rPr>
    </w:lvl>
    <w:lvl w:ilvl="6" w:tentative="1">
      <w:start w:val="1"/>
      <w:numFmt w:val="bullet"/>
      <w:lvlText w:val=""/>
      <w:lvlJc w:val="left"/>
      <w:pPr>
        <w:tabs>
          <w:tab w:val="num" w:pos="4530"/>
        </w:tabs>
        <w:ind w:left="4530" w:hanging="360"/>
      </w:pPr>
      <w:rPr>
        <w:rFonts w:ascii="Wingdings" w:hAnsi="Wingdings" w:hint="default"/>
        <w:sz w:val="20"/>
      </w:rPr>
    </w:lvl>
    <w:lvl w:ilvl="7" w:tentative="1">
      <w:start w:val="1"/>
      <w:numFmt w:val="bullet"/>
      <w:lvlText w:val=""/>
      <w:lvlJc w:val="left"/>
      <w:pPr>
        <w:tabs>
          <w:tab w:val="num" w:pos="5250"/>
        </w:tabs>
        <w:ind w:left="5250" w:hanging="360"/>
      </w:pPr>
      <w:rPr>
        <w:rFonts w:ascii="Wingdings" w:hAnsi="Wingdings" w:hint="default"/>
        <w:sz w:val="20"/>
      </w:rPr>
    </w:lvl>
    <w:lvl w:ilvl="8" w:tentative="1">
      <w:start w:val="1"/>
      <w:numFmt w:val="bullet"/>
      <w:lvlText w:val=""/>
      <w:lvlJc w:val="left"/>
      <w:pPr>
        <w:tabs>
          <w:tab w:val="num" w:pos="5970"/>
        </w:tabs>
        <w:ind w:left="5970" w:hanging="360"/>
      </w:pPr>
      <w:rPr>
        <w:rFonts w:ascii="Wingdings" w:hAnsi="Wingdings" w:hint="default"/>
        <w:sz w:val="20"/>
      </w:rPr>
    </w:lvl>
  </w:abstractNum>
  <w:abstractNum w:abstractNumId="3">
    <w:nsid w:val="4ADA52A4"/>
    <w:multiLevelType w:val="hybridMultilevel"/>
    <w:tmpl w:val="60BA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CDB"/>
    <w:rsid w:val="00020885"/>
    <w:rsid w:val="00033EEB"/>
    <w:rsid w:val="0004007C"/>
    <w:rsid w:val="00045813"/>
    <w:rsid w:val="00057B85"/>
    <w:rsid w:val="00092B9A"/>
    <w:rsid w:val="000A291F"/>
    <w:rsid w:val="000B1A78"/>
    <w:rsid w:val="000B213E"/>
    <w:rsid w:val="000C22C5"/>
    <w:rsid w:val="000D1DE7"/>
    <w:rsid w:val="000D5B95"/>
    <w:rsid w:val="000E1504"/>
    <w:rsid w:val="000E38C2"/>
    <w:rsid w:val="000E4AC1"/>
    <w:rsid w:val="000E6E2F"/>
    <w:rsid w:val="000F5EC7"/>
    <w:rsid w:val="000F6402"/>
    <w:rsid w:val="0010277A"/>
    <w:rsid w:val="00106DBC"/>
    <w:rsid w:val="0011486D"/>
    <w:rsid w:val="001245A2"/>
    <w:rsid w:val="00125BB1"/>
    <w:rsid w:val="00136EDD"/>
    <w:rsid w:val="0014441F"/>
    <w:rsid w:val="0016136E"/>
    <w:rsid w:val="0017685F"/>
    <w:rsid w:val="00190D1F"/>
    <w:rsid w:val="00197422"/>
    <w:rsid w:val="001C7CD6"/>
    <w:rsid w:val="001E2B04"/>
    <w:rsid w:val="00234401"/>
    <w:rsid w:val="002406B2"/>
    <w:rsid w:val="00257844"/>
    <w:rsid w:val="0026493E"/>
    <w:rsid w:val="00270BFE"/>
    <w:rsid w:val="00297D8F"/>
    <w:rsid w:val="002C31BE"/>
    <w:rsid w:val="002C3605"/>
    <w:rsid w:val="002C6899"/>
    <w:rsid w:val="002F4269"/>
    <w:rsid w:val="00304A3D"/>
    <w:rsid w:val="003075DE"/>
    <w:rsid w:val="00307FB0"/>
    <w:rsid w:val="00312A11"/>
    <w:rsid w:val="00321D13"/>
    <w:rsid w:val="003321C2"/>
    <w:rsid w:val="00336E9A"/>
    <w:rsid w:val="0034384F"/>
    <w:rsid w:val="0035381E"/>
    <w:rsid w:val="00356FBA"/>
    <w:rsid w:val="00360155"/>
    <w:rsid w:val="00373CDB"/>
    <w:rsid w:val="00385293"/>
    <w:rsid w:val="00394F6E"/>
    <w:rsid w:val="00396DC0"/>
    <w:rsid w:val="003977AE"/>
    <w:rsid w:val="003B2CAB"/>
    <w:rsid w:val="003C1F2E"/>
    <w:rsid w:val="003C211A"/>
    <w:rsid w:val="003C329A"/>
    <w:rsid w:val="003E2B66"/>
    <w:rsid w:val="003E2CF9"/>
    <w:rsid w:val="003F3FAF"/>
    <w:rsid w:val="00403A4F"/>
    <w:rsid w:val="004046F2"/>
    <w:rsid w:val="00412BCA"/>
    <w:rsid w:val="00423351"/>
    <w:rsid w:val="004432A7"/>
    <w:rsid w:val="00443460"/>
    <w:rsid w:val="004504BB"/>
    <w:rsid w:val="0049744F"/>
    <w:rsid w:val="004A478F"/>
    <w:rsid w:val="004A5B02"/>
    <w:rsid w:val="004C3D7E"/>
    <w:rsid w:val="004C3F38"/>
    <w:rsid w:val="004C73EF"/>
    <w:rsid w:val="004D39F6"/>
    <w:rsid w:val="004E6DF1"/>
    <w:rsid w:val="00505A5A"/>
    <w:rsid w:val="00505EC9"/>
    <w:rsid w:val="0051632A"/>
    <w:rsid w:val="005274A4"/>
    <w:rsid w:val="00542B32"/>
    <w:rsid w:val="00543C13"/>
    <w:rsid w:val="005679F2"/>
    <w:rsid w:val="005B01C2"/>
    <w:rsid w:val="005B21B5"/>
    <w:rsid w:val="005C3E29"/>
    <w:rsid w:val="005D5B8C"/>
    <w:rsid w:val="005F4504"/>
    <w:rsid w:val="006030A8"/>
    <w:rsid w:val="00603E35"/>
    <w:rsid w:val="00604F20"/>
    <w:rsid w:val="00607C13"/>
    <w:rsid w:val="006249F1"/>
    <w:rsid w:val="00647DB0"/>
    <w:rsid w:val="006560A6"/>
    <w:rsid w:val="00664A76"/>
    <w:rsid w:val="00665D3D"/>
    <w:rsid w:val="00680320"/>
    <w:rsid w:val="006822DC"/>
    <w:rsid w:val="00695014"/>
    <w:rsid w:val="006953FE"/>
    <w:rsid w:val="006A11B3"/>
    <w:rsid w:val="006C4B00"/>
    <w:rsid w:val="006C5A82"/>
    <w:rsid w:val="006D63A5"/>
    <w:rsid w:val="006F4A0B"/>
    <w:rsid w:val="0070396F"/>
    <w:rsid w:val="00705207"/>
    <w:rsid w:val="007173B1"/>
    <w:rsid w:val="00720B35"/>
    <w:rsid w:val="00742336"/>
    <w:rsid w:val="00744EF0"/>
    <w:rsid w:val="0075020E"/>
    <w:rsid w:val="00754A78"/>
    <w:rsid w:val="00757711"/>
    <w:rsid w:val="00770825"/>
    <w:rsid w:val="007731A6"/>
    <w:rsid w:val="007B2FEC"/>
    <w:rsid w:val="007B364B"/>
    <w:rsid w:val="007C2ECF"/>
    <w:rsid w:val="007D0AEC"/>
    <w:rsid w:val="007D782A"/>
    <w:rsid w:val="007F0912"/>
    <w:rsid w:val="007F2981"/>
    <w:rsid w:val="00800A16"/>
    <w:rsid w:val="00812D93"/>
    <w:rsid w:val="008163FC"/>
    <w:rsid w:val="008226B3"/>
    <w:rsid w:val="0082437C"/>
    <w:rsid w:val="008277DD"/>
    <w:rsid w:val="0083013A"/>
    <w:rsid w:val="00830248"/>
    <w:rsid w:val="00831D66"/>
    <w:rsid w:val="00832424"/>
    <w:rsid w:val="008344E1"/>
    <w:rsid w:val="0084724D"/>
    <w:rsid w:val="00865610"/>
    <w:rsid w:val="0086663A"/>
    <w:rsid w:val="008831CB"/>
    <w:rsid w:val="00887108"/>
    <w:rsid w:val="00891D0D"/>
    <w:rsid w:val="008E3508"/>
    <w:rsid w:val="008E7DEE"/>
    <w:rsid w:val="008F55CD"/>
    <w:rsid w:val="00903856"/>
    <w:rsid w:val="00907090"/>
    <w:rsid w:val="00922C4A"/>
    <w:rsid w:val="009353FD"/>
    <w:rsid w:val="00937E38"/>
    <w:rsid w:val="00940CF8"/>
    <w:rsid w:val="009551E8"/>
    <w:rsid w:val="009650FA"/>
    <w:rsid w:val="00965655"/>
    <w:rsid w:val="009A1870"/>
    <w:rsid w:val="009B2F6C"/>
    <w:rsid w:val="009C6C2D"/>
    <w:rsid w:val="009F5D81"/>
    <w:rsid w:val="00A05B2A"/>
    <w:rsid w:val="00A16B05"/>
    <w:rsid w:val="00A56C50"/>
    <w:rsid w:val="00A6515B"/>
    <w:rsid w:val="00A96056"/>
    <w:rsid w:val="00AA0AB1"/>
    <w:rsid w:val="00AD740A"/>
    <w:rsid w:val="00B02E0F"/>
    <w:rsid w:val="00B05F8E"/>
    <w:rsid w:val="00B06C68"/>
    <w:rsid w:val="00B10CA1"/>
    <w:rsid w:val="00B12FA6"/>
    <w:rsid w:val="00B1439C"/>
    <w:rsid w:val="00B24C2A"/>
    <w:rsid w:val="00B24FE7"/>
    <w:rsid w:val="00B272B4"/>
    <w:rsid w:val="00B27DC1"/>
    <w:rsid w:val="00B34BE6"/>
    <w:rsid w:val="00B35AEC"/>
    <w:rsid w:val="00B41310"/>
    <w:rsid w:val="00B5084A"/>
    <w:rsid w:val="00B516B3"/>
    <w:rsid w:val="00B52946"/>
    <w:rsid w:val="00B71AC1"/>
    <w:rsid w:val="00B74DF2"/>
    <w:rsid w:val="00B7581D"/>
    <w:rsid w:val="00B7768F"/>
    <w:rsid w:val="00B817BC"/>
    <w:rsid w:val="00B97EEA"/>
    <w:rsid w:val="00BD1E3E"/>
    <w:rsid w:val="00BD4303"/>
    <w:rsid w:val="00BE3B3E"/>
    <w:rsid w:val="00BE5122"/>
    <w:rsid w:val="00BF0F96"/>
    <w:rsid w:val="00BF7C1B"/>
    <w:rsid w:val="00C04CB5"/>
    <w:rsid w:val="00C111B6"/>
    <w:rsid w:val="00C13D49"/>
    <w:rsid w:val="00C17A9C"/>
    <w:rsid w:val="00C225EA"/>
    <w:rsid w:val="00C24407"/>
    <w:rsid w:val="00C2461C"/>
    <w:rsid w:val="00C31660"/>
    <w:rsid w:val="00C4477D"/>
    <w:rsid w:val="00C44D60"/>
    <w:rsid w:val="00C4709A"/>
    <w:rsid w:val="00C54053"/>
    <w:rsid w:val="00C65158"/>
    <w:rsid w:val="00C7090C"/>
    <w:rsid w:val="00C71336"/>
    <w:rsid w:val="00C77123"/>
    <w:rsid w:val="00C82A17"/>
    <w:rsid w:val="00C82AEC"/>
    <w:rsid w:val="00C86E97"/>
    <w:rsid w:val="00C975E2"/>
    <w:rsid w:val="00CC52C0"/>
    <w:rsid w:val="00CE4034"/>
    <w:rsid w:val="00CE62EB"/>
    <w:rsid w:val="00D04667"/>
    <w:rsid w:val="00D1699A"/>
    <w:rsid w:val="00D177E6"/>
    <w:rsid w:val="00D2619D"/>
    <w:rsid w:val="00D502DA"/>
    <w:rsid w:val="00D509CD"/>
    <w:rsid w:val="00D73B4B"/>
    <w:rsid w:val="00D746B5"/>
    <w:rsid w:val="00D80A68"/>
    <w:rsid w:val="00D82EAA"/>
    <w:rsid w:val="00D87544"/>
    <w:rsid w:val="00D950E9"/>
    <w:rsid w:val="00DA0A9A"/>
    <w:rsid w:val="00DA5853"/>
    <w:rsid w:val="00DA5D05"/>
    <w:rsid w:val="00DA7025"/>
    <w:rsid w:val="00DB0353"/>
    <w:rsid w:val="00DB3115"/>
    <w:rsid w:val="00DC5299"/>
    <w:rsid w:val="00DD083E"/>
    <w:rsid w:val="00DD4CD7"/>
    <w:rsid w:val="00DE6B0D"/>
    <w:rsid w:val="00DF35CA"/>
    <w:rsid w:val="00E3352F"/>
    <w:rsid w:val="00E4576D"/>
    <w:rsid w:val="00E62139"/>
    <w:rsid w:val="00E77300"/>
    <w:rsid w:val="00E77792"/>
    <w:rsid w:val="00E96C09"/>
    <w:rsid w:val="00EA2F17"/>
    <w:rsid w:val="00EC463D"/>
    <w:rsid w:val="00EC59E3"/>
    <w:rsid w:val="00ED6469"/>
    <w:rsid w:val="00EE2A15"/>
    <w:rsid w:val="00EE3512"/>
    <w:rsid w:val="00EE4A11"/>
    <w:rsid w:val="00F1104E"/>
    <w:rsid w:val="00F13115"/>
    <w:rsid w:val="00F17448"/>
    <w:rsid w:val="00F321B1"/>
    <w:rsid w:val="00F344CE"/>
    <w:rsid w:val="00F54187"/>
    <w:rsid w:val="00F546C4"/>
    <w:rsid w:val="00F56AD4"/>
    <w:rsid w:val="00F64C4E"/>
    <w:rsid w:val="00F7623A"/>
    <w:rsid w:val="00F8706C"/>
    <w:rsid w:val="00F870D1"/>
    <w:rsid w:val="00F91208"/>
    <w:rsid w:val="00FA03EF"/>
    <w:rsid w:val="00FC0C0F"/>
    <w:rsid w:val="00FC11EB"/>
    <w:rsid w:val="00FC5825"/>
    <w:rsid w:val="00FC7CDC"/>
    <w:rsid w:val="00FD2446"/>
    <w:rsid w:val="00FE140E"/>
    <w:rsid w:val="00FE4D9D"/>
    <w:rsid w:val="00FF3853"/>
    <w:rsid w:val="00FF3E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F24D"/>
  <w15:chartTrackingRefBased/>
  <w15:docId w15:val="{865EC0FA-64C7-44E3-8C99-7F974F7F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301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next w:val="Normal"/>
    <w:link w:val="Ttulo3Car"/>
    <w:uiPriority w:val="9"/>
    <w:semiHidden/>
    <w:unhideWhenUsed/>
    <w:qFormat/>
    <w:rsid w:val="00D502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C22C5"/>
    <w:rPr>
      <w:color w:val="0000FF"/>
      <w:u w:val="single"/>
    </w:rPr>
  </w:style>
  <w:style w:type="paragraph" w:styleId="NormalWeb">
    <w:name w:val="Normal (Web)"/>
    <w:basedOn w:val="Normal"/>
    <w:uiPriority w:val="99"/>
    <w:unhideWhenUsed/>
    <w:rsid w:val="006D63A5"/>
    <w:pPr>
      <w:spacing w:before="100" w:beforeAutospacing="1" w:after="100" w:afterAutospacing="1" w:line="240" w:lineRule="auto"/>
    </w:pPr>
    <w:rPr>
      <w:rFonts w:ascii="Times New Roman" w:eastAsia="Times New Roman" w:hAnsi="Times New Roman" w:cs="Times New Roman"/>
      <w:sz w:val="24"/>
      <w:szCs w:val="24"/>
      <w:lang w:val="en-US" w:eastAsia="es-MX"/>
    </w:rPr>
  </w:style>
  <w:style w:type="paragraph" w:styleId="Textoindependiente">
    <w:name w:val="Body Text"/>
    <w:basedOn w:val="Normal"/>
    <w:link w:val="TextoindependienteCar"/>
    <w:rsid w:val="006D63A5"/>
    <w:pPr>
      <w:spacing w:after="0" w:line="240" w:lineRule="auto"/>
      <w:jc w:val="both"/>
    </w:pPr>
    <w:rPr>
      <w:rFonts w:ascii="Arial" w:eastAsia="Times New Roman" w:hAnsi="Arial" w:cs="Times New Roman"/>
      <w:bCs/>
      <w:szCs w:val="20"/>
      <w:lang w:eastAsia="es-MX"/>
    </w:rPr>
  </w:style>
  <w:style w:type="character" w:customStyle="1" w:styleId="TextoindependienteCar">
    <w:name w:val="Texto independiente Car"/>
    <w:basedOn w:val="Fuentedeprrafopredeter"/>
    <w:link w:val="Textoindependiente"/>
    <w:rsid w:val="006D63A5"/>
    <w:rPr>
      <w:rFonts w:ascii="Arial" w:eastAsia="Times New Roman" w:hAnsi="Arial" w:cs="Times New Roman"/>
      <w:bCs/>
      <w:szCs w:val="20"/>
      <w:lang w:eastAsia="es-MX"/>
    </w:rPr>
  </w:style>
  <w:style w:type="paragraph" w:styleId="Prrafodelista">
    <w:name w:val="List Paragraph"/>
    <w:basedOn w:val="Normal"/>
    <w:uiPriority w:val="34"/>
    <w:qFormat/>
    <w:rsid w:val="00F546C4"/>
    <w:pPr>
      <w:spacing w:after="200" w:line="276" w:lineRule="auto"/>
      <w:ind w:left="720"/>
      <w:contextualSpacing/>
    </w:pPr>
    <w:rPr>
      <w:rFonts w:eastAsiaTheme="minorEastAsia"/>
      <w:lang w:eastAsia="es-MX"/>
    </w:rPr>
  </w:style>
  <w:style w:type="table" w:styleId="Tablaconcuadrcula">
    <w:name w:val="Table Grid"/>
    <w:basedOn w:val="Tablanormal"/>
    <w:uiPriority w:val="59"/>
    <w:rsid w:val="00EC59E3"/>
    <w:pPr>
      <w:spacing w:after="0" w:line="240" w:lineRule="auto"/>
    </w:pPr>
    <w:rPr>
      <w:rFonts w:eastAsiaTheme="minorEastAsia"/>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792"/>
    <w:pPr>
      <w:autoSpaceDE w:val="0"/>
      <w:autoSpaceDN w:val="0"/>
      <w:adjustRightInd w:val="0"/>
      <w:spacing w:after="0" w:line="240" w:lineRule="auto"/>
    </w:pPr>
    <w:rPr>
      <w:rFonts w:ascii="Times" w:eastAsiaTheme="minorEastAsia" w:hAnsi="Times" w:cs="Times"/>
      <w:color w:val="000000"/>
      <w:sz w:val="24"/>
      <w:szCs w:val="24"/>
      <w:lang w:eastAsia="es-MX"/>
    </w:rPr>
  </w:style>
  <w:style w:type="character" w:customStyle="1" w:styleId="apple-converted-space">
    <w:name w:val="apple-converted-space"/>
    <w:basedOn w:val="Fuentedeprrafopredeter"/>
    <w:rsid w:val="00ED6469"/>
  </w:style>
  <w:style w:type="character" w:customStyle="1" w:styleId="ref-title">
    <w:name w:val="ref-title"/>
    <w:basedOn w:val="Fuentedeprrafopredeter"/>
    <w:rsid w:val="005F4504"/>
  </w:style>
  <w:style w:type="character" w:customStyle="1" w:styleId="ref-journal">
    <w:name w:val="ref-journal"/>
    <w:basedOn w:val="Fuentedeprrafopredeter"/>
    <w:rsid w:val="005F4504"/>
  </w:style>
  <w:style w:type="character" w:customStyle="1" w:styleId="ref-vol">
    <w:name w:val="ref-vol"/>
    <w:basedOn w:val="Fuentedeprrafopredeter"/>
    <w:rsid w:val="005F4504"/>
  </w:style>
  <w:style w:type="paragraph" w:styleId="Encabezado">
    <w:name w:val="header"/>
    <w:basedOn w:val="Normal"/>
    <w:link w:val="EncabezadoCar"/>
    <w:uiPriority w:val="99"/>
    <w:unhideWhenUsed/>
    <w:rsid w:val="002C68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6899"/>
  </w:style>
  <w:style w:type="paragraph" w:styleId="Piedepgina">
    <w:name w:val="footer"/>
    <w:basedOn w:val="Normal"/>
    <w:link w:val="PiedepginaCar"/>
    <w:uiPriority w:val="99"/>
    <w:unhideWhenUsed/>
    <w:rsid w:val="002C68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6899"/>
  </w:style>
  <w:style w:type="paragraph" w:styleId="Textodeglobo">
    <w:name w:val="Balloon Text"/>
    <w:basedOn w:val="Normal"/>
    <w:link w:val="TextodegloboCar"/>
    <w:uiPriority w:val="99"/>
    <w:semiHidden/>
    <w:unhideWhenUsed/>
    <w:rsid w:val="004C73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73EF"/>
    <w:rPr>
      <w:rFonts w:ascii="Segoe UI" w:hAnsi="Segoe UI" w:cs="Segoe UI"/>
      <w:sz w:val="18"/>
      <w:szCs w:val="18"/>
    </w:rPr>
  </w:style>
  <w:style w:type="character" w:customStyle="1" w:styleId="Ttulo1Car">
    <w:name w:val="Título 1 Car"/>
    <w:basedOn w:val="Fuentedeprrafopredeter"/>
    <w:link w:val="Ttulo1"/>
    <w:uiPriority w:val="9"/>
    <w:rsid w:val="0083013A"/>
    <w:rPr>
      <w:rFonts w:ascii="Times New Roman" w:eastAsia="Times New Roman" w:hAnsi="Times New Roman" w:cs="Times New Roman"/>
      <w:b/>
      <w:bCs/>
      <w:kern w:val="36"/>
      <w:sz w:val="48"/>
      <w:szCs w:val="48"/>
      <w:lang w:eastAsia="es-MX"/>
    </w:rPr>
  </w:style>
  <w:style w:type="character" w:customStyle="1" w:styleId="Mencinsinresolver1">
    <w:name w:val="Mención sin resolver1"/>
    <w:basedOn w:val="Fuentedeprrafopredeter"/>
    <w:uiPriority w:val="99"/>
    <w:semiHidden/>
    <w:unhideWhenUsed/>
    <w:rsid w:val="008E3508"/>
    <w:rPr>
      <w:color w:val="605E5C"/>
      <w:shd w:val="clear" w:color="auto" w:fill="E1DFDD"/>
    </w:rPr>
  </w:style>
  <w:style w:type="character" w:customStyle="1" w:styleId="Mencinsinresolver2">
    <w:name w:val="Mención sin resolver2"/>
    <w:basedOn w:val="Fuentedeprrafopredeter"/>
    <w:uiPriority w:val="99"/>
    <w:semiHidden/>
    <w:unhideWhenUsed/>
    <w:rsid w:val="00A6515B"/>
    <w:rPr>
      <w:color w:val="605E5C"/>
      <w:shd w:val="clear" w:color="auto" w:fill="E1DFDD"/>
    </w:rPr>
  </w:style>
  <w:style w:type="paragraph" w:styleId="Textonotapie">
    <w:name w:val="footnote text"/>
    <w:basedOn w:val="Normal"/>
    <w:link w:val="TextonotapieCar"/>
    <w:uiPriority w:val="99"/>
    <w:semiHidden/>
    <w:unhideWhenUsed/>
    <w:rsid w:val="00DA70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7025"/>
    <w:rPr>
      <w:sz w:val="20"/>
      <w:szCs w:val="20"/>
    </w:rPr>
  </w:style>
  <w:style w:type="character" w:styleId="Refdenotaalpie">
    <w:name w:val="footnote reference"/>
    <w:basedOn w:val="Fuentedeprrafopredeter"/>
    <w:uiPriority w:val="99"/>
    <w:semiHidden/>
    <w:unhideWhenUsed/>
    <w:rsid w:val="00DA7025"/>
    <w:rPr>
      <w:vertAlign w:val="superscript"/>
    </w:rPr>
  </w:style>
  <w:style w:type="character" w:styleId="Hipervnculovisitado">
    <w:name w:val="FollowedHyperlink"/>
    <w:basedOn w:val="Fuentedeprrafopredeter"/>
    <w:uiPriority w:val="99"/>
    <w:semiHidden/>
    <w:unhideWhenUsed/>
    <w:rsid w:val="00965655"/>
    <w:rPr>
      <w:color w:val="954F72" w:themeColor="followedHyperlink"/>
      <w:u w:val="single"/>
    </w:rPr>
  </w:style>
  <w:style w:type="paragraph" w:styleId="HTMLconformatoprevio">
    <w:name w:val="HTML Preformatted"/>
    <w:basedOn w:val="Normal"/>
    <w:link w:val="HTMLconformatoprevioCar"/>
    <w:uiPriority w:val="99"/>
    <w:unhideWhenUsed/>
    <w:rsid w:val="00903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03856"/>
    <w:rPr>
      <w:rFonts w:ascii="Courier New" w:eastAsia="Times New Roman" w:hAnsi="Courier New" w:cs="Courier New"/>
      <w:sz w:val="20"/>
      <w:szCs w:val="20"/>
      <w:lang w:eastAsia="es-MX"/>
    </w:rPr>
  </w:style>
  <w:style w:type="character" w:customStyle="1" w:styleId="orcid-id-https">
    <w:name w:val="orcid-id-https"/>
    <w:basedOn w:val="Fuentedeprrafopredeter"/>
    <w:rsid w:val="00865610"/>
  </w:style>
  <w:style w:type="character" w:customStyle="1" w:styleId="Ttulo3Car">
    <w:name w:val="Título 3 Car"/>
    <w:basedOn w:val="Fuentedeprrafopredeter"/>
    <w:link w:val="Ttulo3"/>
    <w:uiPriority w:val="9"/>
    <w:semiHidden/>
    <w:rsid w:val="00D502DA"/>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Fuentedeprrafopredeter"/>
    <w:uiPriority w:val="99"/>
    <w:semiHidden/>
    <w:unhideWhenUsed/>
    <w:rsid w:val="00D50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934437">
      <w:bodyDiv w:val="1"/>
      <w:marLeft w:val="0"/>
      <w:marRight w:val="0"/>
      <w:marTop w:val="0"/>
      <w:marBottom w:val="0"/>
      <w:divBdr>
        <w:top w:val="none" w:sz="0" w:space="0" w:color="auto"/>
        <w:left w:val="none" w:sz="0" w:space="0" w:color="auto"/>
        <w:bottom w:val="none" w:sz="0" w:space="0" w:color="auto"/>
        <w:right w:val="none" w:sz="0" w:space="0" w:color="auto"/>
      </w:divBdr>
    </w:div>
    <w:div w:id="1186555669">
      <w:bodyDiv w:val="1"/>
      <w:marLeft w:val="0"/>
      <w:marRight w:val="0"/>
      <w:marTop w:val="0"/>
      <w:marBottom w:val="0"/>
      <w:divBdr>
        <w:top w:val="none" w:sz="0" w:space="0" w:color="auto"/>
        <w:left w:val="none" w:sz="0" w:space="0" w:color="auto"/>
        <w:bottom w:val="none" w:sz="0" w:space="0" w:color="auto"/>
        <w:right w:val="none" w:sz="0" w:space="0" w:color="auto"/>
      </w:divBdr>
    </w:div>
    <w:div w:id="1718550868">
      <w:bodyDiv w:val="1"/>
      <w:marLeft w:val="0"/>
      <w:marRight w:val="0"/>
      <w:marTop w:val="0"/>
      <w:marBottom w:val="0"/>
      <w:divBdr>
        <w:top w:val="none" w:sz="0" w:space="0" w:color="auto"/>
        <w:left w:val="none" w:sz="0" w:space="0" w:color="auto"/>
        <w:bottom w:val="none" w:sz="0" w:space="0" w:color="auto"/>
        <w:right w:val="none" w:sz="0" w:space="0" w:color="auto"/>
      </w:divBdr>
    </w:div>
    <w:div w:id="2074742195">
      <w:bodyDiv w:val="1"/>
      <w:marLeft w:val="0"/>
      <w:marRight w:val="0"/>
      <w:marTop w:val="0"/>
      <w:marBottom w:val="0"/>
      <w:divBdr>
        <w:top w:val="none" w:sz="0" w:space="0" w:color="auto"/>
        <w:left w:val="none" w:sz="0" w:space="0" w:color="auto"/>
        <w:bottom w:val="none" w:sz="0" w:space="0" w:color="auto"/>
        <w:right w:val="none" w:sz="0" w:space="0" w:color="auto"/>
      </w:divBdr>
      <w:divsChild>
        <w:div w:id="2109348499">
          <w:marLeft w:val="0"/>
          <w:marRight w:val="0"/>
          <w:marTop w:val="0"/>
          <w:marBottom w:val="0"/>
          <w:divBdr>
            <w:top w:val="none" w:sz="0" w:space="0" w:color="auto"/>
            <w:left w:val="none" w:sz="0" w:space="0" w:color="auto"/>
            <w:bottom w:val="none" w:sz="0" w:space="0" w:color="auto"/>
            <w:right w:val="none" w:sz="0" w:space="0" w:color="auto"/>
          </w:divBdr>
          <w:divsChild>
            <w:div w:id="371417054">
              <w:marLeft w:val="0"/>
              <w:marRight w:val="0"/>
              <w:marTop w:val="0"/>
              <w:marBottom w:val="0"/>
              <w:divBdr>
                <w:top w:val="none" w:sz="0" w:space="0" w:color="auto"/>
                <w:left w:val="none" w:sz="0" w:space="0" w:color="auto"/>
                <w:bottom w:val="none" w:sz="0" w:space="0" w:color="auto"/>
                <w:right w:val="none" w:sz="0" w:space="0" w:color="auto"/>
              </w:divBdr>
              <w:divsChild>
                <w:div w:id="919750531">
                  <w:marLeft w:val="0"/>
                  <w:marRight w:val="0"/>
                  <w:marTop w:val="120"/>
                  <w:marBottom w:val="0"/>
                  <w:divBdr>
                    <w:top w:val="none" w:sz="0" w:space="0" w:color="auto"/>
                    <w:left w:val="none" w:sz="0" w:space="0" w:color="auto"/>
                    <w:bottom w:val="none" w:sz="0" w:space="0" w:color="auto"/>
                    <w:right w:val="none" w:sz="0" w:space="0" w:color="auto"/>
                  </w:divBdr>
                  <w:divsChild>
                    <w:div w:id="913201790">
                      <w:marLeft w:val="0"/>
                      <w:marRight w:val="0"/>
                      <w:marTop w:val="0"/>
                      <w:marBottom w:val="0"/>
                      <w:divBdr>
                        <w:top w:val="none" w:sz="0" w:space="0" w:color="auto"/>
                        <w:left w:val="none" w:sz="0" w:space="0" w:color="auto"/>
                        <w:bottom w:val="none" w:sz="0" w:space="0" w:color="auto"/>
                        <w:right w:val="none" w:sz="0" w:space="0" w:color="auto"/>
                      </w:divBdr>
                      <w:divsChild>
                        <w:div w:id="461195340">
                          <w:marLeft w:val="0"/>
                          <w:marRight w:val="0"/>
                          <w:marTop w:val="0"/>
                          <w:marBottom w:val="0"/>
                          <w:divBdr>
                            <w:top w:val="none" w:sz="0" w:space="0" w:color="auto"/>
                            <w:left w:val="none" w:sz="0" w:space="0" w:color="auto"/>
                            <w:bottom w:val="none" w:sz="0" w:space="0" w:color="auto"/>
                            <w:right w:val="none" w:sz="0" w:space="0" w:color="auto"/>
                          </w:divBdr>
                          <w:divsChild>
                            <w:div w:id="1966042067">
                              <w:marLeft w:val="0"/>
                              <w:marRight w:val="0"/>
                              <w:marTop w:val="0"/>
                              <w:marBottom w:val="0"/>
                              <w:divBdr>
                                <w:top w:val="none" w:sz="0" w:space="0" w:color="auto"/>
                                <w:left w:val="none" w:sz="0" w:space="0" w:color="auto"/>
                                <w:bottom w:val="none" w:sz="0" w:space="0" w:color="auto"/>
                                <w:right w:val="none" w:sz="0" w:space="0" w:color="auto"/>
                              </w:divBdr>
                              <w:divsChild>
                                <w:div w:id="962275387">
                                  <w:marLeft w:val="0"/>
                                  <w:marRight w:val="0"/>
                                  <w:marTop w:val="30"/>
                                  <w:marBottom w:val="0"/>
                                  <w:divBdr>
                                    <w:top w:val="none" w:sz="0" w:space="0" w:color="auto"/>
                                    <w:left w:val="none" w:sz="0" w:space="0" w:color="auto"/>
                                    <w:bottom w:val="none" w:sz="0" w:space="0" w:color="auto"/>
                                    <w:right w:val="none" w:sz="0" w:space="0" w:color="auto"/>
                                  </w:divBdr>
                                  <w:divsChild>
                                    <w:div w:id="122140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xgo.net/e-booksfree180511/8saludyestadofisico/Mesejo%20Arizmendi%20-%20Manual%20Basico%20De%20Nutricion%20Clinica%20Y%20Dietetic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term=Gupta%20AK%5BAuthor%5D&amp;cauthor=true&amp;cauthor_uid=175563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iga.info/guias/NutricionArtificial.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onografias.com/trabajos14/falta-oxigeno/falta-oxigeno.shtml" TargetMode="External"/><Relationship Id="rId4" Type="http://schemas.openxmlformats.org/officeDocument/2006/relationships/settings" Target="settings.xml"/><Relationship Id="rId9" Type="http://schemas.openxmlformats.org/officeDocument/2006/relationships/hyperlink" Target="http://www.monografias.com/trabajos28/dano-derecho/dano-derecho.shtml" TargetMode="External"/><Relationship Id="rId14" Type="http://schemas.openxmlformats.org/officeDocument/2006/relationships/hyperlink" Target="http://bvs.sld.cu/revistas/mie/vol2_4_03/mie06403.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0331B-8C49-4480-8D05-41E8103A4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25</Pages>
  <Words>6862</Words>
  <Characters>37743</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Ponce y Ponce de Leon</dc:creator>
  <cp:keywords/>
  <dc:description/>
  <cp:lastModifiedBy>elsom</cp:lastModifiedBy>
  <cp:revision>10</cp:revision>
  <cp:lastPrinted>2017-07-19T23:17:00Z</cp:lastPrinted>
  <dcterms:created xsi:type="dcterms:W3CDTF">2019-06-24T15:39:00Z</dcterms:created>
  <dcterms:modified xsi:type="dcterms:W3CDTF">2019-06-25T15:52:00Z</dcterms:modified>
</cp:coreProperties>
</file>