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3BF3" w14:textId="6403BF4D" w:rsidR="001731E1" w:rsidRPr="00495A0D" w:rsidRDefault="00E5649F" w:rsidP="00495A0D">
      <w:pPr>
        <w:spacing w:after="0"/>
        <w:jc w:val="right"/>
        <w:rPr>
          <w:rFonts w:cs="Calibri"/>
          <w:b/>
          <w:color w:val="000000" w:themeColor="text1"/>
          <w:sz w:val="36"/>
          <w:szCs w:val="36"/>
          <w:shd w:val="solid" w:color="FFFFFF" w:fill="auto"/>
          <w:lang w:eastAsia="ru-RU"/>
        </w:rPr>
      </w:pPr>
      <w:r w:rsidRPr="00495A0D">
        <w:rPr>
          <w:rFonts w:cs="Calibri"/>
          <w:b/>
          <w:color w:val="000000" w:themeColor="text1"/>
          <w:sz w:val="36"/>
          <w:szCs w:val="36"/>
          <w:shd w:val="solid" w:color="FFFFFF" w:fill="auto"/>
          <w:lang w:eastAsia="ru-RU"/>
        </w:rPr>
        <w:t>Riesgo cardiovascular en</w:t>
      </w:r>
      <w:r w:rsidR="00CE0706" w:rsidRPr="00495A0D">
        <w:rPr>
          <w:rFonts w:cs="Calibri"/>
          <w:b/>
          <w:color w:val="000000" w:themeColor="text1"/>
          <w:sz w:val="36"/>
          <w:szCs w:val="36"/>
          <w:shd w:val="solid" w:color="FFFFFF" w:fill="auto"/>
          <w:lang w:eastAsia="ru-RU"/>
        </w:rPr>
        <w:t xml:space="preserve"> profesionales de enfermería adscritos a una unidad de cuidados intensivos</w:t>
      </w:r>
    </w:p>
    <w:p w14:paraId="7ECEE0CF" w14:textId="61935E5B" w:rsidR="00495A0D" w:rsidRPr="00495A0D" w:rsidRDefault="00495A0D" w:rsidP="00495A0D">
      <w:pPr>
        <w:spacing w:after="0"/>
        <w:jc w:val="right"/>
        <w:rPr>
          <w:rFonts w:cs="Calibri"/>
          <w:b/>
          <w:color w:val="000000" w:themeColor="text1"/>
          <w:sz w:val="24"/>
          <w:szCs w:val="36"/>
          <w:shd w:val="solid" w:color="FFFFFF" w:fill="auto"/>
          <w:lang w:eastAsia="ru-RU"/>
        </w:rPr>
      </w:pPr>
    </w:p>
    <w:p w14:paraId="6D97BE52" w14:textId="3413C461" w:rsidR="00495A0D" w:rsidRPr="00EE1BD6" w:rsidRDefault="00495A0D" w:rsidP="00495A0D">
      <w:pPr>
        <w:spacing w:after="0"/>
        <w:jc w:val="right"/>
        <w:rPr>
          <w:rFonts w:cs="Calibri"/>
          <w:b/>
          <w:i/>
          <w:color w:val="000000" w:themeColor="text1"/>
          <w:sz w:val="28"/>
          <w:szCs w:val="36"/>
          <w:shd w:val="solid" w:color="FFFFFF" w:fill="auto"/>
          <w:lang w:val="en-US" w:eastAsia="ru-RU"/>
        </w:rPr>
      </w:pPr>
      <w:r w:rsidRPr="00EE1BD6">
        <w:rPr>
          <w:rFonts w:cs="Calibri"/>
          <w:b/>
          <w:i/>
          <w:color w:val="000000" w:themeColor="text1"/>
          <w:sz w:val="28"/>
          <w:szCs w:val="36"/>
          <w:shd w:val="solid" w:color="FFFFFF" w:fill="auto"/>
          <w:lang w:val="en-US" w:eastAsia="ru-RU"/>
        </w:rPr>
        <w:t>Cardiovascular risk in nursing professionals assigned to an intensive care unit</w:t>
      </w:r>
    </w:p>
    <w:p w14:paraId="75619F64" w14:textId="3D2CBD95" w:rsidR="00495A0D" w:rsidRPr="00EE1BD6" w:rsidRDefault="00495A0D" w:rsidP="00495A0D">
      <w:pPr>
        <w:spacing w:after="0"/>
        <w:jc w:val="right"/>
        <w:rPr>
          <w:rFonts w:cs="Calibri"/>
          <w:b/>
          <w:i/>
          <w:color w:val="000000" w:themeColor="text1"/>
          <w:sz w:val="24"/>
          <w:szCs w:val="36"/>
          <w:shd w:val="solid" w:color="FFFFFF" w:fill="auto"/>
          <w:lang w:val="en-US" w:eastAsia="ru-RU"/>
        </w:rPr>
      </w:pPr>
    </w:p>
    <w:p w14:paraId="7871D983" w14:textId="5EE2D556" w:rsidR="00495A0D" w:rsidRPr="00495A0D" w:rsidRDefault="00495A0D" w:rsidP="00495A0D">
      <w:pPr>
        <w:spacing w:after="0"/>
        <w:jc w:val="right"/>
        <w:rPr>
          <w:rFonts w:cs="Calibri"/>
          <w:b/>
          <w:i/>
          <w:color w:val="000000" w:themeColor="text1"/>
          <w:sz w:val="28"/>
          <w:szCs w:val="36"/>
          <w:shd w:val="solid" w:color="FFFFFF" w:fill="auto"/>
          <w:lang w:eastAsia="ru-RU"/>
        </w:rPr>
      </w:pPr>
      <w:r w:rsidRPr="00495A0D">
        <w:rPr>
          <w:rFonts w:cs="Calibri"/>
          <w:b/>
          <w:i/>
          <w:color w:val="000000" w:themeColor="text1"/>
          <w:sz w:val="28"/>
          <w:szCs w:val="36"/>
          <w:shd w:val="solid" w:color="FFFFFF" w:fill="auto"/>
          <w:lang w:eastAsia="ru-RU"/>
        </w:rPr>
        <w:t>Risco cardiovascular em profissionais de enfermagem lotados em unidade de terapia intensiva</w:t>
      </w:r>
    </w:p>
    <w:p w14:paraId="1F9DA38D" w14:textId="77777777" w:rsidR="00391441" w:rsidRPr="00D24753" w:rsidRDefault="00391441" w:rsidP="00D24753">
      <w:pPr>
        <w:spacing w:after="0"/>
        <w:jc w:val="both"/>
        <w:rPr>
          <w:rFonts w:ascii="Arial" w:hAnsi="Arial" w:cs="Arial"/>
          <w:b/>
          <w:sz w:val="24"/>
          <w:szCs w:val="24"/>
        </w:rPr>
      </w:pPr>
    </w:p>
    <w:p w14:paraId="4DEB6513" w14:textId="213DA1BF" w:rsidR="001731E1" w:rsidRDefault="00BE4585" w:rsidP="00495A0D">
      <w:pPr>
        <w:spacing w:after="0"/>
        <w:jc w:val="right"/>
        <w:rPr>
          <w:rFonts w:ascii="Arial" w:hAnsi="Arial" w:cs="Arial"/>
          <w:sz w:val="24"/>
          <w:szCs w:val="24"/>
        </w:rPr>
      </w:pPr>
      <w:r w:rsidRPr="00495A0D">
        <w:rPr>
          <w:rFonts w:eastAsiaTheme="minorEastAsia" w:cs="Calibri"/>
          <w:b/>
          <w:sz w:val="24"/>
          <w:szCs w:val="24"/>
          <w:lang w:val="es-ES_tradnl" w:eastAsia="es-ES"/>
        </w:rPr>
        <w:t xml:space="preserve">Eduardo </w:t>
      </w:r>
      <w:r w:rsidR="00126C9F" w:rsidRPr="00495A0D">
        <w:rPr>
          <w:rFonts w:eastAsiaTheme="minorEastAsia" w:cs="Calibri"/>
          <w:b/>
          <w:sz w:val="24"/>
          <w:szCs w:val="24"/>
          <w:lang w:val="es-ES_tradnl" w:eastAsia="es-ES"/>
        </w:rPr>
        <w:t>Tamayo Salazar</w:t>
      </w:r>
    </w:p>
    <w:p w14:paraId="3EF167C3" w14:textId="68D5AD66" w:rsidR="00495A0D" w:rsidRPr="00495A0D" w:rsidRDefault="00495A0D" w:rsidP="00495A0D">
      <w:pPr>
        <w:spacing w:after="0"/>
        <w:jc w:val="right"/>
        <w:rPr>
          <w:rFonts w:ascii="Times New Roman" w:eastAsia="Calibri" w:hAnsi="Times New Roman"/>
          <w:sz w:val="24"/>
          <w:szCs w:val="24"/>
        </w:rPr>
      </w:pPr>
      <w:r w:rsidRPr="00495A0D">
        <w:rPr>
          <w:rFonts w:ascii="Times New Roman" w:eastAsia="Calibri" w:hAnsi="Times New Roman"/>
          <w:sz w:val="24"/>
          <w:szCs w:val="24"/>
        </w:rPr>
        <w:t>Universidad Autónoma del Estado de México, México</w:t>
      </w:r>
    </w:p>
    <w:p w14:paraId="459A4326" w14:textId="7049EB90" w:rsidR="00495A0D" w:rsidRPr="00495A0D" w:rsidRDefault="00425459" w:rsidP="00495A0D">
      <w:pPr>
        <w:spacing w:after="0"/>
        <w:jc w:val="right"/>
        <w:rPr>
          <w:rFonts w:eastAsia="Calibri" w:cs="Calibri"/>
          <w:color w:val="FF0000"/>
          <w:sz w:val="24"/>
          <w:szCs w:val="24"/>
        </w:rPr>
      </w:pPr>
      <w:hyperlink r:id="rId8" w:history="1">
        <w:r w:rsidR="00495A0D" w:rsidRPr="00495A0D">
          <w:rPr>
            <w:rFonts w:eastAsia="Calibri" w:cs="Calibri"/>
            <w:color w:val="FF0000"/>
            <w:sz w:val="24"/>
            <w:szCs w:val="24"/>
          </w:rPr>
          <w:t>lalocritcare@gmail.com</w:t>
        </w:r>
      </w:hyperlink>
    </w:p>
    <w:p w14:paraId="01DF22A2" w14:textId="47D56C9E" w:rsidR="005E66EF" w:rsidRPr="00B96D4A" w:rsidRDefault="007F7CFC" w:rsidP="005E66EF">
      <w:pPr>
        <w:spacing w:after="0"/>
        <w:jc w:val="right"/>
        <w:rPr>
          <w:rStyle w:val="Hipervnculo"/>
          <w:rFonts w:ascii="Times New Roman" w:eastAsia="Calibri" w:hAnsi="Times New Roman"/>
          <w:noProof/>
          <w:color w:val="auto"/>
          <w:sz w:val="24"/>
          <w:szCs w:val="24"/>
          <w:u w:val="none"/>
        </w:rPr>
      </w:pPr>
      <w:r w:rsidRPr="00B96D4A">
        <w:rPr>
          <w:rFonts w:ascii="Times New Roman" w:eastAsia="Calibri" w:hAnsi="Times New Roman"/>
          <w:noProof/>
          <w:sz w:val="24"/>
          <w:szCs w:val="24"/>
        </w:rPr>
        <w:t>https://orcid.org/</w:t>
      </w:r>
      <w:r w:rsidR="005E66EF" w:rsidRPr="00B96D4A">
        <w:rPr>
          <w:rFonts w:ascii="Times New Roman" w:eastAsia="Calibri" w:hAnsi="Times New Roman"/>
          <w:noProof/>
          <w:sz w:val="24"/>
          <w:szCs w:val="24"/>
        </w:rPr>
        <w:t>0000-0001-7020-244X</w:t>
      </w:r>
    </w:p>
    <w:p w14:paraId="37D78897" w14:textId="77777777" w:rsidR="00495A0D" w:rsidRPr="00D24753" w:rsidRDefault="00495A0D" w:rsidP="00495A0D">
      <w:pPr>
        <w:spacing w:after="0"/>
        <w:jc w:val="right"/>
        <w:rPr>
          <w:rFonts w:ascii="Arial" w:hAnsi="Arial" w:cs="Arial"/>
          <w:sz w:val="24"/>
          <w:szCs w:val="24"/>
        </w:rPr>
      </w:pPr>
    </w:p>
    <w:p w14:paraId="5A917BCB" w14:textId="57B653C0" w:rsidR="001731E1" w:rsidRDefault="008C6B53" w:rsidP="00495A0D">
      <w:pPr>
        <w:spacing w:after="0"/>
        <w:jc w:val="right"/>
        <w:rPr>
          <w:rFonts w:ascii="Arial" w:hAnsi="Arial" w:cs="Arial"/>
          <w:sz w:val="24"/>
          <w:szCs w:val="24"/>
        </w:rPr>
      </w:pPr>
      <w:r w:rsidRPr="00495A0D">
        <w:rPr>
          <w:rFonts w:eastAsiaTheme="minorEastAsia" w:cs="Calibri"/>
          <w:b/>
          <w:sz w:val="24"/>
          <w:szCs w:val="24"/>
          <w:lang w:val="es-ES_tradnl" w:eastAsia="es-ES"/>
        </w:rPr>
        <w:t>Rafael Antonio Estévez Ramos</w:t>
      </w:r>
    </w:p>
    <w:p w14:paraId="78618637" w14:textId="77777777" w:rsidR="00495A0D" w:rsidRPr="00495A0D" w:rsidRDefault="00495A0D" w:rsidP="00495A0D">
      <w:pPr>
        <w:spacing w:after="0"/>
        <w:jc w:val="right"/>
        <w:rPr>
          <w:rFonts w:ascii="Times New Roman" w:eastAsia="Calibri" w:hAnsi="Times New Roman"/>
          <w:sz w:val="24"/>
          <w:szCs w:val="24"/>
        </w:rPr>
      </w:pPr>
      <w:r w:rsidRPr="00495A0D">
        <w:rPr>
          <w:rFonts w:ascii="Times New Roman" w:eastAsia="Calibri" w:hAnsi="Times New Roman"/>
          <w:sz w:val="24"/>
          <w:szCs w:val="24"/>
        </w:rPr>
        <w:t>Universidad Autónoma del Estado de México, México</w:t>
      </w:r>
    </w:p>
    <w:p w14:paraId="57DDFB92" w14:textId="7B501573" w:rsidR="0019338F" w:rsidRPr="007F7CFC" w:rsidRDefault="0019338F" w:rsidP="0019338F">
      <w:pPr>
        <w:spacing w:after="0"/>
        <w:jc w:val="right"/>
        <w:rPr>
          <w:rFonts w:eastAsia="Calibri" w:cs="Calibri"/>
          <w:sz w:val="24"/>
        </w:rPr>
      </w:pPr>
      <w:r w:rsidRPr="007F7CFC">
        <w:rPr>
          <w:rFonts w:eastAsia="Calibri" w:cs="Calibri"/>
          <w:color w:val="FF0000"/>
          <w:sz w:val="24"/>
        </w:rPr>
        <w:t>restevezr@hotmail.com</w:t>
      </w:r>
    </w:p>
    <w:p w14:paraId="7A08E59B" w14:textId="464E018C" w:rsidR="0019338F" w:rsidRPr="00EE1BD6" w:rsidRDefault="007F7CFC" w:rsidP="0019338F">
      <w:pPr>
        <w:spacing w:after="0"/>
        <w:jc w:val="right"/>
        <w:rPr>
          <w:rStyle w:val="Hipervnculo"/>
          <w:rFonts w:ascii="Times New Roman" w:eastAsia="Calibri" w:hAnsi="Times New Roman"/>
          <w:noProof/>
          <w:color w:val="auto"/>
          <w:sz w:val="24"/>
          <w:szCs w:val="24"/>
          <w:u w:val="none"/>
          <w:lang w:val="en-US"/>
        </w:rPr>
      </w:pPr>
      <w:r w:rsidRPr="007F7CFC">
        <w:rPr>
          <w:rFonts w:ascii="Times New Roman" w:eastAsia="Calibri" w:hAnsi="Times New Roman"/>
          <w:noProof/>
          <w:sz w:val="24"/>
          <w:szCs w:val="24"/>
          <w:lang w:val="en-US"/>
        </w:rPr>
        <w:t>https://orcid.org/</w:t>
      </w:r>
      <w:r w:rsidR="00B96D4A">
        <w:rPr>
          <w:rFonts w:ascii="Times New Roman" w:eastAsia="Calibri" w:hAnsi="Times New Roman"/>
          <w:noProof/>
          <w:sz w:val="24"/>
          <w:szCs w:val="24"/>
          <w:lang w:val="en-US"/>
        </w:rPr>
        <w:t>0000-0001-66</w:t>
      </w:r>
      <w:r w:rsidR="0019338F" w:rsidRPr="00EE1BD6">
        <w:rPr>
          <w:rFonts w:ascii="Times New Roman" w:eastAsia="Calibri" w:hAnsi="Times New Roman"/>
          <w:noProof/>
          <w:sz w:val="24"/>
          <w:szCs w:val="24"/>
          <w:lang w:val="en-US"/>
        </w:rPr>
        <w:t>38-0550</w:t>
      </w:r>
    </w:p>
    <w:p w14:paraId="063126B7" w14:textId="77777777" w:rsidR="00495A0D" w:rsidRPr="00EE1BD6" w:rsidRDefault="00495A0D" w:rsidP="00495A0D">
      <w:pPr>
        <w:spacing w:after="0"/>
        <w:jc w:val="right"/>
        <w:rPr>
          <w:rFonts w:eastAsia="Calibri" w:cs="Calibri"/>
          <w:color w:val="FF0000"/>
          <w:sz w:val="24"/>
          <w:szCs w:val="24"/>
          <w:lang w:val="en-US"/>
        </w:rPr>
      </w:pPr>
    </w:p>
    <w:p w14:paraId="1A46F82F" w14:textId="11C54CEE" w:rsidR="001731E1" w:rsidRPr="00B96D4A" w:rsidRDefault="008C6B53" w:rsidP="00495A0D">
      <w:pPr>
        <w:spacing w:after="0"/>
        <w:jc w:val="right"/>
        <w:rPr>
          <w:rFonts w:ascii="Arial" w:hAnsi="Arial" w:cs="Arial"/>
          <w:sz w:val="24"/>
          <w:szCs w:val="24"/>
        </w:rPr>
      </w:pPr>
      <w:r w:rsidRPr="00B96D4A">
        <w:rPr>
          <w:rFonts w:eastAsiaTheme="minorEastAsia" w:cs="Calibri"/>
          <w:b/>
          <w:sz w:val="24"/>
          <w:szCs w:val="24"/>
          <w:lang w:eastAsia="es-ES"/>
        </w:rPr>
        <w:t>Ihosvany Basset Machado</w:t>
      </w:r>
    </w:p>
    <w:p w14:paraId="5066D7F4" w14:textId="77777777" w:rsidR="00495A0D" w:rsidRPr="00495A0D" w:rsidRDefault="00495A0D" w:rsidP="00495A0D">
      <w:pPr>
        <w:spacing w:after="0"/>
        <w:jc w:val="right"/>
        <w:rPr>
          <w:rFonts w:ascii="Times New Roman" w:eastAsia="Calibri" w:hAnsi="Times New Roman"/>
          <w:sz w:val="24"/>
          <w:szCs w:val="24"/>
        </w:rPr>
      </w:pPr>
      <w:r w:rsidRPr="00495A0D">
        <w:rPr>
          <w:rFonts w:ascii="Times New Roman" w:eastAsia="Calibri" w:hAnsi="Times New Roman"/>
          <w:sz w:val="24"/>
          <w:szCs w:val="24"/>
        </w:rPr>
        <w:t>Universidad Autónoma del Estado de México, México</w:t>
      </w:r>
    </w:p>
    <w:p w14:paraId="10028AA2" w14:textId="77777777" w:rsidR="005E66EF" w:rsidRPr="00B96D4A" w:rsidRDefault="00F54E52" w:rsidP="005E66EF">
      <w:pPr>
        <w:spacing w:after="0"/>
        <w:jc w:val="right"/>
        <w:rPr>
          <w:rFonts w:ascii="Times New Roman" w:eastAsia="Calibri" w:hAnsi="Times New Roman"/>
          <w:noProof/>
          <w:sz w:val="24"/>
          <w:szCs w:val="24"/>
        </w:rPr>
      </w:pPr>
      <w:r>
        <w:rPr>
          <w:rFonts w:asciiTheme="minorHAnsi" w:hAnsiTheme="minorHAnsi" w:cstheme="minorHAnsi"/>
          <w:color w:val="FF0000"/>
          <w:sz w:val="24"/>
          <w:szCs w:val="24"/>
        </w:rPr>
        <w:t>ibassetcuba@yahoo.com</w:t>
      </w:r>
      <w:r w:rsidR="005E66EF" w:rsidRPr="00B96D4A">
        <w:rPr>
          <w:rFonts w:ascii="Times New Roman" w:eastAsia="Calibri" w:hAnsi="Times New Roman"/>
          <w:noProof/>
          <w:sz w:val="24"/>
          <w:szCs w:val="24"/>
        </w:rPr>
        <w:t xml:space="preserve"> </w:t>
      </w:r>
    </w:p>
    <w:p w14:paraId="1A8BB98F" w14:textId="3F23EBB3" w:rsidR="005E66EF" w:rsidRPr="00B96D4A" w:rsidRDefault="007F7CFC" w:rsidP="005E66EF">
      <w:pPr>
        <w:spacing w:after="0"/>
        <w:jc w:val="right"/>
        <w:rPr>
          <w:rStyle w:val="Hipervnculo"/>
          <w:rFonts w:ascii="Times New Roman" w:eastAsia="Calibri" w:hAnsi="Times New Roman"/>
          <w:noProof/>
          <w:color w:val="auto"/>
          <w:sz w:val="24"/>
          <w:szCs w:val="24"/>
          <w:u w:val="none"/>
        </w:rPr>
      </w:pPr>
      <w:r w:rsidRPr="00B96D4A">
        <w:rPr>
          <w:rFonts w:ascii="Times New Roman" w:eastAsia="Calibri" w:hAnsi="Times New Roman"/>
          <w:noProof/>
          <w:sz w:val="24"/>
          <w:szCs w:val="24"/>
        </w:rPr>
        <w:t>https://orcid.org/</w:t>
      </w:r>
      <w:r w:rsidR="005E66EF" w:rsidRPr="00B96D4A">
        <w:rPr>
          <w:rFonts w:ascii="Times New Roman" w:eastAsia="Calibri" w:hAnsi="Times New Roman"/>
          <w:noProof/>
          <w:sz w:val="24"/>
          <w:szCs w:val="24"/>
        </w:rPr>
        <w:t>0000-0001-7764-8276</w:t>
      </w:r>
    </w:p>
    <w:p w14:paraId="40317A65" w14:textId="77777777" w:rsidR="00A5730E" w:rsidRPr="00F54E52" w:rsidRDefault="00A5730E" w:rsidP="005E66EF">
      <w:pPr>
        <w:spacing w:after="0"/>
        <w:rPr>
          <w:rFonts w:asciiTheme="minorHAnsi" w:hAnsiTheme="minorHAnsi" w:cstheme="minorHAnsi"/>
          <w:color w:val="FF0000"/>
          <w:sz w:val="24"/>
          <w:szCs w:val="24"/>
        </w:rPr>
      </w:pPr>
    </w:p>
    <w:p w14:paraId="4DCF8EBE" w14:textId="175654D6" w:rsidR="007A38D7" w:rsidRDefault="007A38D7" w:rsidP="00495A0D">
      <w:pPr>
        <w:spacing w:after="0"/>
        <w:jc w:val="right"/>
        <w:rPr>
          <w:rFonts w:ascii="Arial" w:hAnsi="Arial" w:cs="Arial"/>
          <w:sz w:val="24"/>
          <w:szCs w:val="24"/>
        </w:rPr>
      </w:pPr>
      <w:r w:rsidRPr="00495A0D">
        <w:rPr>
          <w:rFonts w:eastAsiaTheme="minorEastAsia" w:cs="Calibri"/>
          <w:b/>
          <w:sz w:val="24"/>
          <w:szCs w:val="24"/>
          <w:lang w:val="es-ES_tradnl" w:eastAsia="es-ES"/>
        </w:rPr>
        <w:t>María Cristina Pérez Guerrero</w:t>
      </w:r>
    </w:p>
    <w:p w14:paraId="7E1AD232" w14:textId="3C79457E" w:rsidR="00495A0D" w:rsidRPr="00671D42" w:rsidRDefault="00495A0D" w:rsidP="00495A0D">
      <w:pPr>
        <w:spacing w:after="0"/>
        <w:jc w:val="right"/>
        <w:rPr>
          <w:rFonts w:ascii="Times New Roman" w:hAnsi="Times New Roman"/>
          <w:sz w:val="24"/>
          <w:szCs w:val="24"/>
        </w:rPr>
      </w:pPr>
      <w:r w:rsidRPr="00B76982">
        <w:rPr>
          <w:rFonts w:ascii="Times New Roman" w:hAnsi="Times New Roman"/>
          <w:sz w:val="24"/>
        </w:rPr>
        <w:t>Universidad de Ciencias Médicas Carlos J. Finlay, Cuba</w:t>
      </w:r>
    </w:p>
    <w:p w14:paraId="7B53A4B7" w14:textId="0E59FA9F" w:rsidR="00495A0D" w:rsidRPr="007F7CFC" w:rsidRDefault="005E66EF" w:rsidP="00495A0D">
      <w:pPr>
        <w:spacing w:after="0"/>
        <w:jc w:val="right"/>
        <w:rPr>
          <w:rFonts w:eastAsia="Calibri" w:cs="Calibri"/>
          <w:color w:val="FF0000"/>
          <w:sz w:val="28"/>
        </w:rPr>
      </w:pPr>
      <w:r w:rsidRPr="007F7CFC">
        <w:rPr>
          <w:rFonts w:eastAsia="Calibri" w:cs="Calibri"/>
          <w:color w:val="FF0000"/>
          <w:sz w:val="24"/>
        </w:rPr>
        <w:t>mcperezg.cmw@infomed.sld.cu</w:t>
      </w:r>
    </w:p>
    <w:p w14:paraId="1D31A8B6" w14:textId="2E46A56E" w:rsidR="005E66EF" w:rsidRPr="00B96D4A" w:rsidRDefault="007F7CFC" w:rsidP="005E66EF">
      <w:pPr>
        <w:spacing w:after="0"/>
        <w:jc w:val="right"/>
        <w:rPr>
          <w:rStyle w:val="Hipervnculo"/>
          <w:rFonts w:ascii="Times New Roman" w:eastAsia="Calibri" w:hAnsi="Times New Roman"/>
          <w:noProof/>
          <w:color w:val="auto"/>
          <w:sz w:val="24"/>
          <w:szCs w:val="24"/>
          <w:u w:val="none"/>
        </w:rPr>
      </w:pPr>
      <w:r w:rsidRPr="00B96D4A">
        <w:rPr>
          <w:rFonts w:ascii="Times New Roman" w:eastAsia="Calibri" w:hAnsi="Times New Roman"/>
          <w:noProof/>
          <w:sz w:val="24"/>
          <w:szCs w:val="24"/>
        </w:rPr>
        <w:t>https://orcid.org/</w:t>
      </w:r>
      <w:r w:rsidR="005E66EF" w:rsidRPr="00B96D4A">
        <w:rPr>
          <w:rFonts w:ascii="Times New Roman" w:eastAsia="Calibri" w:hAnsi="Times New Roman"/>
          <w:noProof/>
          <w:sz w:val="24"/>
          <w:szCs w:val="24"/>
        </w:rPr>
        <w:t>0000-000</w:t>
      </w:r>
      <w:r w:rsidR="00896E62">
        <w:rPr>
          <w:rFonts w:ascii="Times New Roman" w:eastAsia="Calibri" w:hAnsi="Times New Roman"/>
          <w:noProof/>
          <w:sz w:val="24"/>
          <w:szCs w:val="24"/>
        </w:rPr>
        <w:t>3</w:t>
      </w:r>
      <w:r w:rsidR="005E66EF" w:rsidRPr="00B96D4A">
        <w:rPr>
          <w:rFonts w:ascii="Times New Roman" w:eastAsia="Calibri" w:hAnsi="Times New Roman"/>
          <w:noProof/>
          <w:sz w:val="24"/>
          <w:szCs w:val="24"/>
        </w:rPr>
        <w:t>-4593-0538</w:t>
      </w:r>
    </w:p>
    <w:p w14:paraId="419FBDC9" w14:textId="77777777" w:rsidR="0019338F" w:rsidRDefault="0019338F" w:rsidP="00495A0D">
      <w:pPr>
        <w:spacing w:after="0"/>
        <w:jc w:val="right"/>
        <w:rPr>
          <w:rFonts w:ascii="Arial" w:hAnsi="Arial" w:cs="Arial"/>
          <w:sz w:val="24"/>
          <w:szCs w:val="24"/>
        </w:rPr>
      </w:pPr>
    </w:p>
    <w:p w14:paraId="0B592DBC" w14:textId="5BDB4A13" w:rsidR="007A38D7" w:rsidRDefault="007A38D7" w:rsidP="00495A0D">
      <w:pPr>
        <w:spacing w:after="0"/>
        <w:jc w:val="right"/>
        <w:rPr>
          <w:rFonts w:ascii="Arial" w:hAnsi="Arial" w:cs="Arial"/>
          <w:sz w:val="24"/>
          <w:szCs w:val="24"/>
        </w:rPr>
      </w:pPr>
      <w:r w:rsidRPr="00495A0D">
        <w:rPr>
          <w:rFonts w:eastAsiaTheme="minorEastAsia" w:cs="Calibri"/>
          <w:b/>
          <w:sz w:val="24"/>
          <w:szCs w:val="24"/>
          <w:lang w:val="es-ES_tradnl" w:eastAsia="es-ES"/>
        </w:rPr>
        <w:t>Gloria Ángeles Ávila</w:t>
      </w:r>
    </w:p>
    <w:p w14:paraId="1A6A927A" w14:textId="7B51987C" w:rsidR="00495A0D" w:rsidRDefault="00495A0D" w:rsidP="00495A0D">
      <w:pPr>
        <w:spacing w:after="0"/>
        <w:jc w:val="right"/>
        <w:rPr>
          <w:rFonts w:ascii="Times New Roman" w:eastAsia="Calibri" w:hAnsi="Times New Roman"/>
          <w:sz w:val="24"/>
          <w:szCs w:val="24"/>
        </w:rPr>
      </w:pPr>
      <w:r w:rsidRPr="00495A0D">
        <w:rPr>
          <w:rFonts w:ascii="Times New Roman" w:eastAsia="Calibri" w:hAnsi="Times New Roman"/>
          <w:sz w:val="24"/>
          <w:szCs w:val="24"/>
        </w:rPr>
        <w:t>Universidad Autónoma del Estado de México, México</w:t>
      </w:r>
    </w:p>
    <w:p w14:paraId="122FFB39" w14:textId="1BC768E5" w:rsidR="0019338F" w:rsidRPr="007F7CFC" w:rsidRDefault="0019338F" w:rsidP="00495A0D">
      <w:pPr>
        <w:spacing w:after="0"/>
        <w:jc w:val="right"/>
        <w:rPr>
          <w:rFonts w:eastAsia="Calibri" w:cs="Calibri"/>
          <w:color w:val="FF0000"/>
          <w:sz w:val="28"/>
        </w:rPr>
      </w:pPr>
      <w:r w:rsidRPr="007F7CFC">
        <w:rPr>
          <w:rFonts w:eastAsia="Calibri" w:cs="Calibri"/>
          <w:color w:val="FF0000"/>
          <w:sz w:val="24"/>
        </w:rPr>
        <w:t>gloangelesavila@yahoo.cpm.mx</w:t>
      </w:r>
    </w:p>
    <w:p w14:paraId="5DA46083" w14:textId="78E75C68" w:rsidR="005E66EF" w:rsidRPr="00B96D4A" w:rsidRDefault="007F7CFC" w:rsidP="005E66EF">
      <w:pPr>
        <w:spacing w:after="0"/>
        <w:jc w:val="right"/>
        <w:rPr>
          <w:rStyle w:val="Hipervnculo"/>
          <w:rFonts w:ascii="Times New Roman" w:eastAsia="Calibri" w:hAnsi="Times New Roman"/>
          <w:noProof/>
          <w:color w:val="auto"/>
          <w:sz w:val="24"/>
          <w:szCs w:val="24"/>
          <w:u w:val="none"/>
        </w:rPr>
      </w:pPr>
      <w:r w:rsidRPr="00B96D4A">
        <w:rPr>
          <w:rFonts w:ascii="Times New Roman" w:eastAsia="Calibri" w:hAnsi="Times New Roman"/>
          <w:noProof/>
          <w:sz w:val="24"/>
          <w:szCs w:val="24"/>
        </w:rPr>
        <w:t>https://orcid.org/</w:t>
      </w:r>
      <w:r w:rsidR="005E66EF" w:rsidRPr="00B96D4A">
        <w:rPr>
          <w:rFonts w:ascii="Times New Roman" w:eastAsia="Calibri" w:hAnsi="Times New Roman"/>
          <w:noProof/>
          <w:sz w:val="24"/>
          <w:szCs w:val="24"/>
        </w:rPr>
        <w:t>0000-0002-0023-5809</w:t>
      </w:r>
    </w:p>
    <w:p w14:paraId="55C575B9" w14:textId="77777777" w:rsidR="0019338F" w:rsidRDefault="0019338F" w:rsidP="00495A0D">
      <w:pPr>
        <w:spacing w:after="0"/>
        <w:jc w:val="right"/>
        <w:rPr>
          <w:rFonts w:ascii="Times New Roman" w:eastAsia="Calibri" w:hAnsi="Times New Roman"/>
          <w:sz w:val="24"/>
          <w:szCs w:val="24"/>
        </w:rPr>
      </w:pPr>
    </w:p>
    <w:p w14:paraId="6137CF3E" w14:textId="77777777" w:rsidR="0019338F" w:rsidRDefault="0019338F" w:rsidP="00495A0D">
      <w:pPr>
        <w:spacing w:after="0"/>
        <w:jc w:val="right"/>
        <w:rPr>
          <w:rFonts w:ascii="Times New Roman" w:eastAsia="Calibri" w:hAnsi="Times New Roman"/>
          <w:sz w:val="24"/>
          <w:szCs w:val="24"/>
        </w:rPr>
      </w:pPr>
    </w:p>
    <w:p w14:paraId="0D6FC326" w14:textId="77777777" w:rsidR="00495A0D" w:rsidRPr="00D24753" w:rsidRDefault="00495A0D" w:rsidP="00D24753">
      <w:pPr>
        <w:spacing w:after="0"/>
        <w:jc w:val="both"/>
        <w:rPr>
          <w:rFonts w:ascii="Arial" w:hAnsi="Arial" w:cs="Arial"/>
          <w:sz w:val="24"/>
          <w:szCs w:val="24"/>
        </w:rPr>
      </w:pPr>
      <w:bookmarkStart w:id="0" w:name="_GoBack"/>
      <w:bookmarkEnd w:id="0"/>
    </w:p>
    <w:p w14:paraId="713B2F65" w14:textId="77777777" w:rsidR="001731E1" w:rsidRPr="00495A0D" w:rsidRDefault="001731E1" w:rsidP="00D24753">
      <w:pPr>
        <w:spacing w:after="0"/>
        <w:jc w:val="both"/>
        <w:rPr>
          <w:rFonts w:cs="Calibri"/>
          <w:b/>
          <w:color w:val="000000" w:themeColor="text1"/>
          <w:sz w:val="28"/>
          <w:szCs w:val="28"/>
          <w:lang w:val="es-ES" w:eastAsia="es-ES"/>
        </w:rPr>
      </w:pPr>
      <w:r w:rsidRPr="00495A0D">
        <w:rPr>
          <w:rFonts w:cs="Calibri"/>
          <w:b/>
          <w:color w:val="000000" w:themeColor="text1"/>
          <w:sz w:val="28"/>
          <w:szCs w:val="28"/>
          <w:lang w:val="es-ES" w:eastAsia="es-ES"/>
        </w:rPr>
        <w:lastRenderedPageBreak/>
        <w:t>Resumen</w:t>
      </w:r>
    </w:p>
    <w:p w14:paraId="06963C44" w14:textId="1E60D4FD" w:rsidR="001731E1" w:rsidRPr="00495A0D" w:rsidRDefault="001731E1" w:rsidP="00495A0D">
      <w:pPr>
        <w:spacing w:after="0" w:line="360" w:lineRule="auto"/>
        <w:jc w:val="both"/>
        <w:rPr>
          <w:rFonts w:ascii="Times New Roman" w:hAnsi="Times New Roman"/>
          <w:sz w:val="24"/>
          <w:szCs w:val="24"/>
        </w:rPr>
      </w:pPr>
      <w:r w:rsidRPr="00495A0D">
        <w:rPr>
          <w:rFonts w:ascii="Times New Roman" w:hAnsi="Times New Roman"/>
          <w:b/>
          <w:sz w:val="24"/>
          <w:szCs w:val="24"/>
        </w:rPr>
        <w:t xml:space="preserve">Introducción: </w:t>
      </w:r>
      <w:r w:rsidR="007354D0" w:rsidRPr="00495A0D">
        <w:rPr>
          <w:rFonts w:ascii="Times New Roman" w:hAnsi="Times New Roman"/>
          <w:sz w:val="24"/>
          <w:szCs w:val="24"/>
        </w:rPr>
        <w:t xml:space="preserve">la </w:t>
      </w:r>
      <w:r w:rsidRPr="00495A0D">
        <w:rPr>
          <w:rFonts w:ascii="Times New Roman" w:hAnsi="Times New Roman"/>
          <w:sz w:val="24"/>
          <w:szCs w:val="24"/>
        </w:rPr>
        <w:t>Organización Mundial de la S</w:t>
      </w:r>
      <w:r w:rsidR="0046508F" w:rsidRPr="00495A0D">
        <w:rPr>
          <w:rFonts w:ascii="Times New Roman" w:hAnsi="Times New Roman"/>
          <w:sz w:val="24"/>
          <w:szCs w:val="24"/>
        </w:rPr>
        <w:t>alud</w:t>
      </w:r>
      <w:r w:rsidR="007354D0" w:rsidRPr="00495A0D">
        <w:rPr>
          <w:rFonts w:ascii="Times New Roman" w:hAnsi="Times New Roman"/>
          <w:sz w:val="24"/>
          <w:szCs w:val="24"/>
        </w:rPr>
        <w:t xml:space="preserve"> (OMS)</w:t>
      </w:r>
      <w:r w:rsidR="0046508F" w:rsidRPr="00495A0D">
        <w:rPr>
          <w:rFonts w:ascii="Times New Roman" w:hAnsi="Times New Roman"/>
          <w:sz w:val="24"/>
          <w:szCs w:val="24"/>
        </w:rPr>
        <w:t xml:space="preserve"> afirma que </w:t>
      </w:r>
      <w:r w:rsidR="00ED41CE" w:rsidRPr="00495A0D">
        <w:rPr>
          <w:rFonts w:ascii="Times New Roman" w:hAnsi="Times New Roman"/>
          <w:sz w:val="24"/>
          <w:szCs w:val="24"/>
        </w:rPr>
        <w:t>las enfermedades cardiovasculares</w:t>
      </w:r>
      <w:r w:rsidR="00A23B8B" w:rsidRPr="00495A0D">
        <w:rPr>
          <w:rFonts w:ascii="Times New Roman" w:hAnsi="Times New Roman"/>
          <w:sz w:val="24"/>
          <w:szCs w:val="24"/>
        </w:rPr>
        <w:t xml:space="preserve"> son la principal</w:t>
      </w:r>
      <w:r w:rsidRPr="00495A0D">
        <w:rPr>
          <w:rFonts w:ascii="Times New Roman" w:hAnsi="Times New Roman"/>
          <w:sz w:val="24"/>
          <w:szCs w:val="24"/>
        </w:rPr>
        <w:t xml:space="preserve"> causa de muerte en el mundo. En Méx</w:t>
      </w:r>
      <w:r w:rsidR="00B248C4" w:rsidRPr="00495A0D">
        <w:rPr>
          <w:rFonts w:ascii="Times New Roman" w:hAnsi="Times New Roman"/>
          <w:sz w:val="24"/>
          <w:szCs w:val="24"/>
        </w:rPr>
        <w:t>ico</w:t>
      </w:r>
      <w:r w:rsidR="005A32DA" w:rsidRPr="00495A0D">
        <w:rPr>
          <w:rFonts w:ascii="Times New Roman" w:hAnsi="Times New Roman"/>
          <w:sz w:val="24"/>
          <w:szCs w:val="24"/>
        </w:rPr>
        <w:t>,</w:t>
      </w:r>
      <w:r w:rsidR="00B248C4" w:rsidRPr="00495A0D">
        <w:rPr>
          <w:rFonts w:ascii="Times New Roman" w:hAnsi="Times New Roman"/>
          <w:sz w:val="24"/>
          <w:szCs w:val="24"/>
        </w:rPr>
        <w:t xml:space="preserve"> las enfermedades del corazón</w:t>
      </w:r>
      <w:r w:rsidRPr="00495A0D">
        <w:rPr>
          <w:rFonts w:ascii="Times New Roman" w:hAnsi="Times New Roman"/>
          <w:sz w:val="24"/>
          <w:szCs w:val="24"/>
        </w:rPr>
        <w:t xml:space="preserve"> y la enfermedad cerebrova</w:t>
      </w:r>
      <w:r w:rsidR="00B248C4" w:rsidRPr="00495A0D">
        <w:rPr>
          <w:rFonts w:ascii="Times New Roman" w:hAnsi="Times New Roman"/>
          <w:sz w:val="24"/>
          <w:szCs w:val="24"/>
        </w:rPr>
        <w:t>scular ocuparon el primer y sex</w:t>
      </w:r>
      <w:r w:rsidRPr="00495A0D">
        <w:rPr>
          <w:rFonts w:ascii="Times New Roman" w:hAnsi="Times New Roman"/>
          <w:sz w:val="24"/>
          <w:szCs w:val="24"/>
        </w:rPr>
        <w:t>to lugar</w:t>
      </w:r>
      <w:r w:rsidR="004350F8" w:rsidRPr="00495A0D">
        <w:rPr>
          <w:rFonts w:ascii="Times New Roman" w:hAnsi="Times New Roman"/>
          <w:sz w:val="24"/>
          <w:szCs w:val="24"/>
        </w:rPr>
        <w:t>, respectivamente,</w:t>
      </w:r>
      <w:r w:rsidRPr="00495A0D">
        <w:rPr>
          <w:rFonts w:ascii="Times New Roman" w:hAnsi="Times New Roman"/>
          <w:sz w:val="24"/>
          <w:szCs w:val="24"/>
        </w:rPr>
        <w:t xml:space="preserve"> en la tabla de mortal</w:t>
      </w:r>
      <w:r w:rsidR="00B248C4" w:rsidRPr="00495A0D">
        <w:rPr>
          <w:rFonts w:ascii="Times New Roman" w:hAnsi="Times New Roman"/>
          <w:sz w:val="24"/>
          <w:szCs w:val="24"/>
        </w:rPr>
        <w:t>idad general durante el año 2014</w:t>
      </w:r>
      <w:r w:rsidRPr="00495A0D">
        <w:rPr>
          <w:rFonts w:ascii="Times New Roman" w:hAnsi="Times New Roman"/>
          <w:sz w:val="24"/>
          <w:szCs w:val="24"/>
        </w:rPr>
        <w:t>.</w:t>
      </w:r>
      <w:r w:rsidR="004350F8" w:rsidRPr="00495A0D">
        <w:rPr>
          <w:rFonts w:ascii="Times New Roman" w:hAnsi="Times New Roman"/>
          <w:sz w:val="24"/>
          <w:szCs w:val="24"/>
        </w:rPr>
        <w:t xml:space="preserve"> </w:t>
      </w:r>
      <w:r w:rsidR="007A70D9" w:rsidRPr="00495A0D">
        <w:rPr>
          <w:rFonts w:ascii="Times New Roman" w:hAnsi="Times New Roman"/>
          <w:sz w:val="24"/>
          <w:szCs w:val="24"/>
        </w:rPr>
        <w:t>La prevalencia de obesid</w:t>
      </w:r>
      <w:r w:rsidR="00B01B5C" w:rsidRPr="00495A0D">
        <w:rPr>
          <w:rFonts w:ascii="Times New Roman" w:hAnsi="Times New Roman"/>
          <w:sz w:val="24"/>
          <w:szCs w:val="24"/>
        </w:rPr>
        <w:t>ad y sobrepeso en</w:t>
      </w:r>
      <w:r w:rsidR="007A70D9" w:rsidRPr="00495A0D">
        <w:rPr>
          <w:rFonts w:ascii="Times New Roman" w:hAnsi="Times New Roman"/>
          <w:sz w:val="24"/>
          <w:szCs w:val="24"/>
        </w:rPr>
        <w:t xml:space="preserve"> enfermeras es elevado.</w:t>
      </w:r>
    </w:p>
    <w:p w14:paraId="4C92B8DF" w14:textId="53ECEF33" w:rsidR="001731E1" w:rsidRPr="00495A0D" w:rsidRDefault="001731E1" w:rsidP="00495A0D">
      <w:pPr>
        <w:spacing w:after="0" w:line="360" w:lineRule="auto"/>
        <w:jc w:val="both"/>
        <w:rPr>
          <w:rFonts w:ascii="Times New Roman" w:hAnsi="Times New Roman"/>
          <w:sz w:val="24"/>
          <w:szCs w:val="24"/>
        </w:rPr>
      </w:pPr>
      <w:r w:rsidRPr="00495A0D">
        <w:rPr>
          <w:rFonts w:ascii="Times New Roman" w:hAnsi="Times New Roman"/>
          <w:b/>
          <w:sz w:val="24"/>
          <w:szCs w:val="24"/>
        </w:rPr>
        <w:t>Objetivo:</w:t>
      </w:r>
      <w:r w:rsidRPr="00495A0D">
        <w:rPr>
          <w:rFonts w:ascii="Times New Roman" w:hAnsi="Times New Roman"/>
          <w:sz w:val="24"/>
          <w:szCs w:val="24"/>
        </w:rPr>
        <w:t xml:space="preserve"> </w:t>
      </w:r>
      <w:r w:rsidR="007354D0" w:rsidRPr="00495A0D">
        <w:rPr>
          <w:rFonts w:ascii="Times New Roman" w:hAnsi="Times New Roman"/>
          <w:sz w:val="24"/>
          <w:szCs w:val="24"/>
        </w:rPr>
        <w:t xml:space="preserve">evaluar </w:t>
      </w:r>
      <w:r w:rsidRPr="00495A0D">
        <w:rPr>
          <w:rFonts w:ascii="Times New Roman" w:hAnsi="Times New Roman"/>
          <w:sz w:val="24"/>
          <w:szCs w:val="24"/>
        </w:rPr>
        <w:t xml:space="preserve">el riesgo cardiovascular en los profesionales de enfermería que </w:t>
      </w:r>
      <w:r w:rsidR="00CD2D55" w:rsidRPr="00495A0D">
        <w:rPr>
          <w:rFonts w:ascii="Times New Roman" w:hAnsi="Times New Roman"/>
          <w:sz w:val="24"/>
          <w:szCs w:val="24"/>
        </w:rPr>
        <w:t xml:space="preserve">laboran en una </w:t>
      </w:r>
      <w:r w:rsidR="007354D0" w:rsidRPr="00495A0D">
        <w:rPr>
          <w:rFonts w:ascii="Times New Roman" w:hAnsi="Times New Roman"/>
          <w:sz w:val="24"/>
          <w:szCs w:val="24"/>
        </w:rPr>
        <w:t xml:space="preserve">unidad </w:t>
      </w:r>
      <w:r w:rsidR="00CD2D55" w:rsidRPr="00495A0D">
        <w:rPr>
          <w:rFonts w:ascii="Times New Roman" w:hAnsi="Times New Roman"/>
          <w:sz w:val="24"/>
          <w:szCs w:val="24"/>
        </w:rPr>
        <w:t xml:space="preserve">de </w:t>
      </w:r>
      <w:r w:rsidR="007354D0" w:rsidRPr="00495A0D">
        <w:rPr>
          <w:rFonts w:ascii="Times New Roman" w:hAnsi="Times New Roman"/>
          <w:sz w:val="24"/>
          <w:szCs w:val="24"/>
        </w:rPr>
        <w:t>cuidados intensivos</w:t>
      </w:r>
      <w:r w:rsidR="00CD2D55" w:rsidRPr="00495A0D">
        <w:rPr>
          <w:rFonts w:ascii="Times New Roman" w:hAnsi="Times New Roman"/>
          <w:sz w:val="24"/>
          <w:szCs w:val="24"/>
        </w:rPr>
        <w:t>.</w:t>
      </w:r>
    </w:p>
    <w:p w14:paraId="33CB1762" w14:textId="28A03836" w:rsidR="00D24528" w:rsidRPr="00495A0D" w:rsidRDefault="001731E1" w:rsidP="00495A0D">
      <w:pPr>
        <w:spacing w:after="0" w:line="360" w:lineRule="auto"/>
        <w:jc w:val="both"/>
        <w:rPr>
          <w:rFonts w:ascii="Times New Roman" w:hAnsi="Times New Roman"/>
          <w:sz w:val="24"/>
          <w:szCs w:val="24"/>
        </w:rPr>
      </w:pPr>
      <w:r w:rsidRPr="00495A0D">
        <w:rPr>
          <w:rFonts w:ascii="Times New Roman" w:hAnsi="Times New Roman"/>
          <w:b/>
          <w:sz w:val="24"/>
          <w:szCs w:val="24"/>
        </w:rPr>
        <w:t xml:space="preserve">Material y </w:t>
      </w:r>
      <w:r w:rsidR="007354D0" w:rsidRPr="00495A0D">
        <w:rPr>
          <w:rFonts w:ascii="Times New Roman" w:hAnsi="Times New Roman"/>
          <w:b/>
          <w:sz w:val="24"/>
          <w:szCs w:val="24"/>
        </w:rPr>
        <w:t>métodos</w:t>
      </w:r>
      <w:r w:rsidRPr="00495A0D">
        <w:rPr>
          <w:rFonts w:ascii="Times New Roman" w:hAnsi="Times New Roman"/>
          <w:b/>
          <w:sz w:val="24"/>
          <w:szCs w:val="24"/>
        </w:rPr>
        <w:t>:</w:t>
      </w:r>
      <w:r w:rsidRPr="00495A0D">
        <w:rPr>
          <w:rFonts w:ascii="Times New Roman" w:hAnsi="Times New Roman"/>
          <w:sz w:val="24"/>
          <w:szCs w:val="24"/>
        </w:rPr>
        <w:t xml:space="preserve"> </w:t>
      </w:r>
      <w:r w:rsidR="007354D0" w:rsidRPr="00495A0D">
        <w:rPr>
          <w:rFonts w:ascii="Times New Roman" w:hAnsi="Times New Roman"/>
          <w:sz w:val="24"/>
          <w:szCs w:val="24"/>
        </w:rPr>
        <w:t xml:space="preserve">estudio </w:t>
      </w:r>
      <w:r w:rsidR="00C7660E" w:rsidRPr="00495A0D">
        <w:rPr>
          <w:rFonts w:ascii="Times New Roman" w:hAnsi="Times New Roman"/>
          <w:sz w:val="24"/>
          <w:szCs w:val="24"/>
        </w:rPr>
        <w:t xml:space="preserve">descriptivo, </w:t>
      </w:r>
      <w:r w:rsidRPr="00495A0D">
        <w:rPr>
          <w:rFonts w:ascii="Times New Roman" w:hAnsi="Times New Roman"/>
          <w:sz w:val="24"/>
          <w:szCs w:val="24"/>
        </w:rPr>
        <w:t xml:space="preserve">transversal. Se evaluaron </w:t>
      </w:r>
      <w:r w:rsidR="0031023F" w:rsidRPr="00495A0D">
        <w:rPr>
          <w:rFonts w:ascii="Times New Roman" w:hAnsi="Times New Roman"/>
          <w:sz w:val="24"/>
          <w:szCs w:val="24"/>
        </w:rPr>
        <w:t>25 enfermeras</w:t>
      </w:r>
      <w:r w:rsidR="00C55DF2" w:rsidRPr="00495A0D">
        <w:rPr>
          <w:rFonts w:ascii="Times New Roman" w:hAnsi="Times New Roman"/>
          <w:sz w:val="24"/>
          <w:szCs w:val="24"/>
        </w:rPr>
        <w:t xml:space="preserve"> </w:t>
      </w:r>
      <w:r w:rsidR="007354D0" w:rsidRPr="00495A0D">
        <w:rPr>
          <w:rFonts w:ascii="Times New Roman" w:hAnsi="Times New Roman"/>
          <w:sz w:val="24"/>
          <w:szCs w:val="24"/>
        </w:rPr>
        <w:t>—</w:t>
      </w:r>
      <w:r w:rsidR="00C55DF2" w:rsidRPr="00495A0D">
        <w:rPr>
          <w:rFonts w:ascii="Times New Roman" w:hAnsi="Times New Roman"/>
          <w:sz w:val="24"/>
          <w:szCs w:val="24"/>
        </w:rPr>
        <w:t>elegidas mediante criterios de selección</w:t>
      </w:r>
      <w:r w:rsidR="007354D0" w:rsidRPr="00495A0D">
        <w:rPr>
          <w:rFonts w:ascii="Times New Roman" w:hAnsi="Times New Roman"/>
          <w:sz w:val="24"/>
          <w:szCs w:val="24"/>
        </w:rPr>
        <w:t>—</w:t>
      </w:r>
      <w:r w:rsidR="00A46623" w:rsidRPr="00495A0D">
        <w:rPr>
          <w:rFonts w:ascii="Times New Roman" w:hAnsi="Times New Roman"/>
          <w:sz w:val="24"/>
          <w:szCs w:val="24"/>
        </w:rPr>
        <w:t xml:space="preserve"> </w:t>
      </w:r>
      <w:r w:rsidR="003D2D31" w:rsidRPr="00495A0D">
        <w:rPr>
          <w:rFonts w:ascii="Times New Roman" w:hAnsi="Times New Roman"/>
          <w:sz w:val="24"/>
          <w:szCs w:val="24"/>
        </w:rPr>
        <w:t>que laboran en l</w:t>
      </w:r>
      <w:r w:rsidRPr="00495A0D">
        <w:rPr>
          <w:rFonts w:ascii="Times New Roman" w:hAnsi="Times New Roman"/>
          <w:sz w:val="24"/>
          <w:szCs w:val="24"/>
        </w:rPr>
        <w:t xml:space="preserve">a </w:t>
      </w:r>
      <w:r w:rsidR="007354D0" w:rsidRPr="00495A0D">
        <w:rPr>
          <w:rFonts w:ascii="Times New Roman" w:hAnsi="Times New Roman"/>
          <w:sz w:val="24"/>
          <w:szCs w:val="24"/>
        </w:rPr>
        <w:t xml:space="preserve">unidad </w:t>
      </w:r>
      <w:r w:rsidRPr="00495A0D">
        <w:rPr>
          <w:rFonts w:ascii="Times New Roman" w:hAnsi="Times New Roman"/>
          <w:sz w:val="24"/>
          <w:szCs w:val="24"/>
        </w:rPr>
        <w:t xml:space="preserve">de </w:t>
      </w:r>
      <w:r w:rsidR="007354D0" w:rsidRPr="00495A0D">
        <w:rPr>
          <w:rFonts w:ascii="Times New Roman" w:hAnsi="Times New Roman"/>
          <w:sz w:val="24"/>
          <w:szCs w:val="24"/>
        </w:rPr>
        <w:t xml:space="preserve">cuidados intensivos </w:t>
      </w:r>
      <w:r w:rsidR="00242FD6" w:rsidRPr="00495A0D">
        <w:rPr>
          <w:rFonts w:ascii="Times New Roman" w:hAnsi="Times New Roman"/>
          <w:sz w:val="24"/>
          <w:szCs w:val="24"/>
        </w:rPr>
        <w:t>de un hospital de tercer nivel</w:t>
      </w:r>
      <w:r w:rsidRPr="00495A0D">
        <w:rPr>
          <w:rFonts w:ascii="Times New Roman" w:hAnsi="Times New Roman"/>
          <w:sz w:val="24"/>
          <w:szCs w:val="24"/>
        </w:rPr>
        <w:t xml:space="preserve"> de la Ciudad de México</w:t>
      </w:r>
      <w:r w:rsidR="00F14473" w:rsidRPr="00495A0D">
        <w:rPr>
          <w:rFonts w:ascii="Times New Roman" w:hAnsi="Times New Roman"/>
          <w:sz w:val="24"/>
          <w:szCs w:val="24"/>
        </w:rPr>
        <w:t xml:space="preserve"> durante el año 2016</w:t>
      </w:r>
      <w:r w:rsidRPr="00495A0D">
        <w:rPr>
          <w:rFonts w:ascii="Times New Roman" w:hAnsi="Times New Roman"/>
          <w:sz w:val="24"/>
          <w:szCs w:val="24"/>
        </w:rPr>
        <w:t xml:space="preserve">, con aplicación de una </w:t>
      </w:r>
      <w:r w:rsidR="003D2D31" w:rsidRPr="00495A0D">
        <w:rPr>
          <w:rFonts w:ascii="Times New Roman" w:hAnsi="Times New Roman"/>
          <w:sz w:val="24"/>
          <w:szCs w:val="24"/>
        </w:rPr>
        <w:t>entrevista, mediciones</w:t>
      </w:r>
      <w:r w:rsidR="009D0F39" w:rsidRPr="00495A0D">
        <w:rPr>
          <w:rFonts w:ascii="Times New Roman" w:hAnsi="Times New Roman"/>
          <w:sz w:val="24"/>
          <w:szCs w:val="24"/>
        </w:rPr>
        <w:t xml:space="preserve"> antropométricas y toma de perfil lipídico</w:t>
      </w:r>
      <w:r w:rsidR="00F6779F" w:rsidRPr="00495A0D">
        <w:rPr>
          <w:rFonts w:ascii="Times New Roman" w:hAnsi="Times New Roman"/>
          <w:sz w:val="24"/>
          <w:szCs w:val="24"/>
        </w:rPr>
        <w:t>.</w:t>
      </w:r>
      <w:r w:rsidR="00F13BDF" w:rsidRPr="00495A0D">
        <w:rPr>
          <w:rFonts w:ascii="Times New Roman" w:hAnsi="Times New Roman"/>
          <w:sz w:val="24"/>
          <w:szCs w:val="24"/>
        </w:rPr>
        <w:t xml:space="preserve"> El análisis estadístico se realizó con el programa SPSS versión 21.</w:t>
      </w:r>
    </w:p>
    <w:p w14:paraId="114CD250" w14:textId="67CF0C64" w:rsidR="001731E1" w:rsidRPr="00495A0D" w:rsidRDefault="001731E1" w:rsidP="00495A0D">
      <w:pPr>
        <w:spacing w:after="0" w:line="360" w:lineRule="auto"/>
        <w:jc w:val="both"/>
        <w:rPr>
          <w:rFonts w:ascii="Times New Roman" w:hAnsi="Times New Roman"/>
          <w:color w:val="000000" w:themeColor="text1"/>
          <w:sz w:val="24"/>
          <w:szCs w:val="24"/>
        </w:rPr>
      </w:pPr>
      <w:r w:rsidRPr="00495A0D">
        <w:rPr>
          <w:rFonts w:ascii="Times New Roman" w:hAnsi="Times New Roman"/>
          <w:b/>
          <w:sz w:val="24"/>
          <w:szCs w:val="24"/>
        </w:rPr>
        <w:t>Resultados:</w:t>
      </w:r>
      <w:r w:rsidR="009F4F91" w:rsidRPr="00495A0D">
        <w:rPr>
          <w:rFonts w:ascii="Times New Roman" w:hAnsi="Times New Roman"/>
          <w:b/>
          <w:sz w:val="24"/>
          <w:szCs w:val="24"/>
        </w:rPr>
        <w:t xml:space="preserve"> </w:t>
      </w:r>
      <w:r w:rsidR="00A51058" w:rsidRPr="00495A0D">
        <w:rPr>
          <w:rFonts w:ascii="Times New Roman" w:hAnsi="Times New Roman"/>
          <w:sz w:val="24"/>
          <w:szCs w:val="24"/>
        </w:rPr>
        <w:t xml:space="preserve">el </w:t>
      </w:r>
      <w:r w:rsidR="009F4F91" w:rsidRPr="00495A0D">
        <w:rPr>
          <w:rFonts w:ascii="Times New Roman" w:hAnsi="Times New Roman"/>
          <w:sz w:val="24"/>
          <w:szCs w:val="24"/>
        </w:rPr>
        <w:t xml:space="preserve">riesgo cardiovascular encontrado en los profesionales de </w:t>
      </w:r>
      <w:r w:rsidR="00D80C6D" w:rsidRPr="00495A0D">
        <w:rPr>
          <w:rFonts w:ascii="Times New Roman" w:hAnsi="Times New Roman"/>
          <w:sz w:val="24"/>
          <w:szCs w:val="24"/>
        </w:rPr>
        <w:t>enfermería</w:t>
      </w:r>
      <w:r w:rsidR="00DB04E4" w:rsidRPr="00495A0D">
        <w:rPr>
          <w:rFonts w:ascii="Times New Roman" w:hAnsi="Times New Roman"/>
          <w:sz w:val="24"/>
          <w:szCs w:val="24"/>
        </w:rPr>
        <w:t xml:space="preserve"> a través de las tablas de estratificación</w:t>
      </w:r>
      <w:r w:rsidR="009F4F91" w:rsidRPr="00495A0D">
        <w:rPr>
          <w:rFonts w:ascii="Times New Roman" w:hAnsi="Times New Roman"/>
          <w:sz w:val="24"/>
          <w:szCs w:val="24"/>
        </w:rPr>
        <w:t xml:space="preserve"> fue bajo</w:t>
      </w:r>
      <w:r w:rsidR="00A51058" w:rsidRPr="00495A0D">
        <w:rPr>
          <w:rFonts w:ascii="Times New Roman" w:hAnsi="Times New Roman"/>
          <w:sz w:val="24"/>
          <w:szCs w:val="24"/>
        </w:rPr>
        <w:t>,</w:t>
      </w:r>
      <w:r w:rsidR="009F4F91" w:rsidRPr="00495A0D">
        <w:rPr>
          <w:rFonts w:ascii="Times New Roman" w:hAnsi="Times New Roman"/>
          <w:sz w:val="24"/>
          <w:szCs w:val="24"/>
        </w:rPr>
        <w:t xml:space="preserve"> </w:t>
      </w:r>
      <w:r w:rsidR="00DB04E4" w:rsidRPr="00495A0D">
        <w:rPr>
          <w:rFonts w:ascii="Times New Roman" w:hAnsi="Times New Roman"/>
          <w:sz w:val="24"/>
          <w:szCs w:val="24"/>
        </w:rPr>
        <w:t xml:space="preserve">con un porcentaje de riesgo </w:t>
      </w:r>
      <w:r w:rsidR="005B2420" w:rsidRPr="00495A0D">
        <w:rPr>
          <w:rFonts w:ascii="Times New Roman" w:hAnsi="Times New Roman"/>
          <w:sz w:val="24"/>
          <w:szCs w:val="24"/>
        </w:rPr>
        <w:t xml:space="preserve">menor a 10 </w:t>
      </w:r>
      <w:r w:rsidR="00F711C8" w:rsidRPr="00495A0D">
        <w:rPr>
          <w:rFonts w:ascii="Times New Roman" w:hAnsi="Times New Roman"/>
          <w:sz w:val="24"/>
          <w:szCs w:val="24"/>
        </w:rPr>
        <w:t>%</w:t>
      </w:r>
      <w:r w:rsidR="00A51058" w:rsidRPr="00495A0D">
        <w:rPr>
          <w:rFonts w:ascii="Times New Roman" w:hAnsi="Times New Roman"/>
          <w:sz w:val="24"/>
          <w:szCs w:val="24"/>
        </w:rPr>
        <w:t>.</w:t>
      </w:r>
      <w:r w:rsidR="00F711C8" w:rsidRPr="00495A0D">
        <w:rPr>
          <w:rFonts w:ascii="Times New Roman" w:hAnsi="Times New Roman"/>
          <w:sz w:val="24"/>
          <w:szCs w:val="24"/>
        </w:rPr>
        <w:t xml:space="preserve"> </w:t>
      </w:r>
      <w:r w:rsidR="00A51058" w:rsidRPr="00495A0D">
        <w:rPr>
          <w:rFonts w:ascii="Times New Roman" w:hAnsi="Times New Roman"/>
          <w:sz w:val="24"/>
          <w:szCs w:val="24"/>
        </w:rPr>
        <w:t xml:space="preserve">Sin </w:t>
      </w:r>
      <w:r w:rsidR="00E86615" w:rsidRPr="00495A0D">
        <w:rPr>
          <w:rFonts w:ascii="Times New Roman" w:hAnsi="Times New Roman"/>
          <w:sz w:val="24"/>
          <w:szCs w:val="24"/>
        </w:rPr>
        <w:t>embargo,</w:t>
      </w:r>
      <w:r w:rsidR="009F4F91" w:rsidRPr="00495A0D">
        <w:rPr>
          <w:rFonts w:ascii="Times New Roman" w:hAnsi="Times New Roman"/>
          <w:sz w:val="24"/>
          <w:szCs w:val="24"/>
        </w:rPr>
        <w:t xml:space="preserve"> se detec</w:t>
      </w:r>
      <w:r w:rsidR="000052D0" w:rsidRPr="00495A0D">
        <w:rPr>
          <w:rFonts w:ascii="Times New Roman" w:hAnsi="Times New Roman"/>
          <w:sz w:val="24"/>
          <w:szCs w:val="24"/>
        </w:rPr>
        <w:t>tó síndrome metab</w:t>
      </w:r>
      <w:r w:rsidR="004343C1" w:rsidRPr="00495A0D">
        <w:rPr>
          <w:rFonts w:ascii="Times New Roman" w:hAnsi="Times New Roman"/>
          <w:sz w:val="24"/>
          <w:szCs w:val="24"/>
        </w:rPr>
        <w:t>ólico en</w:t>
      </w:r>
      <w:r w:rsidR="0049610C" w:rsidRPr="00495A0D">
        <w:rPr>
          <w:rFonts w:ascii="Times New Roman" w:hAnsi="Times New Roman"/>
          <w:sz w:val="24"/>
          <w:szCs w:val="24"/>
        </w:rPr>
        <w:t xml:space="preserve"> </w:t>
      </w:r>
      <w:r w:rsidR="00BE66ED" w:rsidRPr="00495A0D">
        <w:rPr>
          <w:rFonts w:ascii="Times New Roman" w:hAnsi="Times New Roman"/>
          <w:sz w:val="24"/>
          <w:szCs w:val="24"/>
        </w:rPr>
        <w:t>28</w:t>
      </w:r>
      <w:r w:rsidR="00A51058" w:rsidRPr="00495A0D">
        <w:rPr>
          <w:rFonts w:ascii="Times New Roman" w:hAnsi="Times New Roman"/>
          <w:sz w:val="24"/>
          <w:szCs w:val="24"/>
        </w:rPr>
        <w:t xml:space="preserve"> </w:t>
      </w:r>
      <w:r w:rsidR="00BE66ED" w:rsidRPr="00495A0D">
        <w:rPr>
          <w:rFonts w:ascii="Times New Roman" w:hAnsi="Times New Roman"/>
          <w:sz w:val="24"/>
          <w:szCs w:val="24"/>
        </w:rPr>
        <w:t>%</w:t>
      </w:r>
      <w:r w:rsidR="0049610C" w:rsidRPr="00495A0D">
        <w:rPr>
          <w:rFonts w:ascii="Times New Roman" w:hAnsi="Times New Roman"/>
          <w:sz w:val="24"/>
          <w:szCs w:val="24"/>
        </w:rPr>
        <w:t xml:space="preserve"> de la población</w:t>
      </w:r>
      <w:r w:rsidR="00A51058" w:rsidRPr="00495A0D">
        <w:rPr>
          <w:rFonts w:ascii="Times New Roman" w:hAnsi="Times New Roman"/>
          <w:sz w:val="24"/>
          <w:szCs w:val="24"/>
        </w:rPr>
        <w:t xml:space="preserve">, </w:t>
      </w:r>
      <w:r w:rsidR="009F4F91" w:rsidRPr="00495A0D">
        <w:rPr>
          <w:rFonts w:ascii="Times New Roman" w:hAnsi="Times New Roman"/>
          <w:sz w:val="24"/>
          <w:szCs w:val="24"/>
        </w:rPr>
        <w:t xml:space="preserve">así como </w:t>
      </w:r>
      <w:r w:rsidR="00BD639C" w:rsidRPr="00495A0D">
        <w:rPr>
          <w:rFonts w:ascii="Times New Roman" w:hAnsi="Times New Roman"/>
          <w:sz w:val="24"/>
          <w:szCs w:val="24"/>
        </w:rPr>
        <w:t>dos predictores de mortalidad cardio</w:t>
      </w:r>
      <w:r w:rsidR="00FB5A25" w:rsidRPr="00495A0D">
        <w:rPr>
          <w:rFonts w:ascii="Times New Roman" w:hAnsi="Times New Roman"/>
          <w:sz w:val="24"/>
          <w:szCs w:val="24"/>
        </w:rPr>
        <w:t xml:space="preserve">lógica y </w:t>
      </w:r>
      <w:r w:rsidR="00BD639C" w:rsidRPr="00495A0D">
        <w:rPr>
          <w:rFonts w:ascii="Times New Roman" w:hAnsi="Times New Roman"/>
          <w:sz w:val="24"/>
          <w:szCs w:val="24"/>
        </w:rPr>
        <w:t xml:space="preserve">vascular: </w:t>
      </w:r>
      <w:r w:rsidR="009F4F91" w:rsidRPr="00495A0D">
        <w:rPr>
          <w:rFonts w:ascii="Times New Roman" w:hAnsi="Times New Roman"/>
          <w:sz w:val="24"/>
          <w:szCs w:val="24"/>
        </w:rPr>
        <w:t>enfermedad arterial periférica</w:t>
      </w:r>
      <w:r w:rsidR="0049610C" w:rsidRPr="00495A0D">
        <w:rPr>
          <w:rFonts w:ascii="Times New Roman" w:hAnsi="Times New Roman"/>
          <w:sz w:val="24"/>
          <w:szCs w:val="24"/>
        </w:rPr>
        <w:t xml:space="preserve"> </w:t>
      </w:r>
      <w:r w:rsidR="009F4F91" w:rsidRPr="00495A0D">
        <w:rPr>
          <w:rFonts w:ascii="Times New Roman" w:hAnsi="Times New Roman"/>
          <w:sz w:val="24"/>
          <w:szCs w:val="24"/>
        </w:rPr>
        <w:t xml:space="preserve">y </w:t>
      </w:r>
      <w:r w:rsidR="006F4D23" w:rsidRPr="00495A0D">
        <w:rPr>
          <w:rFonts w:ascii="Times New Roman" w:hAnsi="Times New Roman"/>
          <w:sz w:val="24"/>
          <w:szCs w:val="24"/>
        </w:rPr>
        <w:t>valores</w:t>
      </w:r>
      <w:r w:rsidR="009F4F91" w:rsidRPr="00495A0D">
        <w:rPr>
          <w:rFonts w:ascii="Times New Roman" w:hAnsi="Times New Roman"/>
          <w:sz w:val="24"/>
          <w:szCs w:val="24"/>
        </w:rPr>
        <w:t xml:space="preserve"> de producto de acumulación</w:t>
      </w:r>
      <w:r w:rsidR="006F4D23" w:rsidRPr="00495A0D">
        <w:rPr>
          <w:rFonts w:ascii="Times New Roman" w:hAnsi="Times New Roman"/>
          <w:sz w:val="24"/>
          <w:szCs w:val="24"/>
        </w:rPr>
        <w:t xml:space="preserve"> </w:t>
      </w:r>
      <w:r w:rsidR="00DC7196" w:rsidRPr="00495A0D">
        <w:rPr>
          <w:rFonts w:ascii="Times New Roman" w:hAnsi="Times New Roman"/>
          <w:sz w:val="24"/>
          <w:szCs w:val="24"/>
        </w:rPr>
        <w:t>lipídica</w:t>
      </w:r>
      <w:r w:rsidR="000052D0" w:rsidRPr="00495A0D">
        <w:rPr>
          <w:rFonts w:ascii="Times New Roman" w:hAnsi="Times New Roman"/>
          <w:sz w:val="24"/>
          <w:szCs w:val="24"/>
        </w:rPr>
        <w:t xml:space="preserve"> de </w:t>
      </w:r>
      <w:r w:rsidR="000052D0" w:rsidRPr="00495A0D">
        <w:rPr>
          <w:rFonts w:ascii="Times New Roman" w:hAnsi="Times New Roman"/>
          <w:color w:val="000000" w:themeColor="text1"/>
          <w:sz w:val="24"/>
          <w:szCs w:val="24"/>
        </w:rPr>
        <w:t xml:space="preserve">riesgo </w:t>
      </w:r>
      <w:r w:rsidR="00915F66" w:rsidRPr="00495A0D">
        <w:rPr>
          <w:rFonts w:ascii="Times New Roman" w:hAnsi="Times New Roman"/>
          <w:color w:val="000000" w:themeColor="text1"/>
          <w:sz w:val="24"/>
          <w:szCs w:val="24"/>
        </w:rPr>
        <w:t>para desarrollar</w:t>
      </w:r>
      <w:r w:rsidR="000052D0" w:rsidRPr="00495A0D">
        <w:rPr>
          <w:rFonts w:ascii="Times New Roman" w:hAnsi="Times New Roman"/>
          <w:color w:val="000000" w:themeColor="text1"/>
          <w:sz w:val="24"/>
          <w:szCs w:val="24"/>
        </w:rPr>
        <w:t xml:space="preserve"> enfermedad coronaria</w:t>
      </w:r>
      <w:r w:rsidR="00BD639C" w:rsidRPr="00495A0D">
        <w:rPr>
          <w:rFonts w:ascii="Times New Roman" w:hAnsi="Times New Roman"/>
          <w:color w:val="000000" w:themeColor="text1"/>
          <w:sz w:val="24"/>
          <w:szCs w:val="24"/>
        </w:rPr>
        <w:t>.</w:t>
      </w:r>
      <w:r w:rsidR="000063E5" w:rsidRPr="00495A0D">
        <w:rPr>
          <w:rFonts w:ascii="Times New Roman" w:hAnsi="Times New Roman"/>
          <w:color w:val="000000" w:themeColor="text1"/>
          <w:sz w:val="24"/>
          <w:szCs w:val="24"/>
        </w:rPr>
        <w:t xml:space="preserve"> Con respecto a los antecedentes heredofamiliares de cardiopatía coronaria o ictus, 28 % de los profesionales refirió tener antecedentes cardiovasculares de relevancia </w:t>
      </w:r>
      <w:r w:rsidR="00A51058" w:rsidRPr="00495A0D">
        <w:rPr>
          <w:rFonts w:ascii="Times New Roman" w:hAnsi="Times New Roman"/>
          <w:sz w:val="24"/>
          <w:szCs w:val="24"/>
        </w:rPr>
        <w:t>—</w:t>
      </w:r>
      <w:r w:rsidR="000063E5" w:rsidRPr="00495A0D">
        <w:rPr>
          <w:rFonts w:ascii="Times New Roman" w:hAnsi="Times New Roman"/>
          <w:color w:val="000000" w:themeColor="text1"/>
          <w:sz w:val="24"/>
          <w:szCs w:val="24"/>
        </w:rPr>
        <w:t xml:space="preserve">siendo el infarto agudo al miocardio la </w:t>
      </w:r>
      <w:r w:rsidR="00A51058" w:rsidRPr="00495A0D">
        <w:rPr>
          <w:rFonts w:ascii="Times New Roman" w:hAnsi="Times New Roman"/>
          <w:color w:val="000000" w:themeColor="text1"/>
          <w:sz w:val="24"/>
          <w:szCs w:val="24"/>
        </w:rPr>
        <w:t xml:space="preserve">cardiopatía </w:t>
      </w:r>
      <w:r w:rsidR="000063E5" w:rsidRPr="00495A0D">
        <w:rPr>
          <w:rFonts w:ascii="Times New Roman" w:hAnsi="Times New Roman"/>
          <w:color w:val="000000" w:themeColor="text1"/>
          <w:sz w:val="24"/>
          <w:szCs w:val="24"/>
        </w:rPr>
        <w:t>principal</w:t>
      </w:r>
      <w:r w:rsidR="00A51058" w:rsidRPr="00495A0D">
        <w:rPr>
          <w:rFonts w:ascii="Times New Roman" w:hAnsi="Times New Roman"/>
          <w:sz w:val="24"/>
          <w:szCs w:val="24"/>
        </w:rPr>
        <w:t>—</w:t>
      </w:r>
      <w:r w:rsidR="00A51058" w:rsidRPr="00495A0D">
        <w:rPr>
          <w:rFonts w:ascii="Times New Roman" w:hAnsi="Times New Roman"/>
          <w:color w:val="000000" w:themeColor="text1"/>
          <w:sz w:val="24"/>
          <w:szCs w:val="24"/>
        </w:rPr>
        <w:t xml:space="preserve">, </w:t>
      </w:r>
      <w:r w:rsidR="000063E5" w:rsidRPr="00495A0D">
        <w:rPr>
          <w:rFonts w:ascii="Times New Roman" w:hAnsi="Times New Roman"/>
          <w:color w:val="000000" w:themeColor="text1"/>
          <w:sz w:val="24"/>
          <w:szCs w:val="24"/>
        </w:rPr>
        <w:t>24 % mostró problemas de hipercolesterolemia</w:t>
      </w:r>
      <w:r w:rsidR="007D1360" w:rsidRPr="00495A0D">
        <w:rPr>
          <w:rFonts w:ascii="Times New Roman" w:hAnsi="Times New Roman"/>
          <w:color w:val="000000" w:themeColor="text1"/>
          <w:sz w:val="24"/>
          <w:szCs w:val="24"/>
        </w:rPr>
        <w:t xml:space="preserve">, </w:t>
      </w:r>
      <w:r w:rsidR="000063E5" w:rsidRPr="00495A0D">
        <w:rPr>
          <w:rFonts w:ascii="Times New Roman" w:hAnsi="Times New Roman"/>
          <w:color w:val="000000" w:themeColor="text1"/>
          <w:sz w:val="24"/>
          <w:szCs w:val="24"/>
        </w:rPr>
        <w:t>20 % cifras de riesgo en triglicéridos</w:t>
      </w:r>
      <w:r w:rsidR="007D1360" w:rsidRPr="00495A0D">
        <w:rPr>
          <w:rFonts w:ascii="Times New Roman" w:hAnsi="Times New Roman"/>
          <w:color w:val="000000" w:themeColor="text1"/>
          <w:sz w:val="24"/>
          <w:szCs w:val="24"/>
        </w:rPr>
        <w:t xml:space="preserve"> y 24 % mostró un depósito </w:t>
      </w:r>
      <w:r w:rsidR="00F819F8" w:rsidRPr="00495A0D">
        <w:rPr>
          <w:rFonts w:ascii="Times New Roman" w:hAnsi="Times New Roman"/>
          <w:color w:val="000000" w:themeColor="text1"/>
          <w:sz w:val="24"/>
          <w:szCs w:val="24"/>
        </w:rPr>
        <w:t>acelerado del</w:t>
      </w:r>
      <w:r w:rsidR="007D1360" w:rsidRPr="00495A0D">
        <w:rPr>
          <w:rFonts w:ascii="Times New Roman" w:hAnsi="Times New Roman"/>
          <w:color w:val="000000" w:themeColor="text1"/>
          <w:sz w:val="24"/>
          <w:szCs w:val="24"/>
        </w:rPr>
        <w:t xml:space="preserve"> material lipídico al interior de los vasos sanguíneos.</w:t>
      </w:r>
      <w:r w:rsidR="005703B4" w:rsidRPr="00495A0D">
        <w:rPr>
          <w:rFonts w:ascii="Times New Roman" w:hAnsi="Times New Roman"/>
          <w:color w:val="000000" w:themeColor="text1"/>
          <w:sz w:val="24"/>
          <w:szCs w:val="24"/>
        </w:rPr>
        <w:t xml:space="preserve"> </w:t>
      </w:r>
      <w:r w:rsidR="00A51058" w:rsidRPr="00495A0D">
        <w:rPr>
          <w:rFonts w:ascii="Times New Roman" w:hAnsi="Times New Roman"/>
          <w:color w:val="000000" w:themeColor="text1"/>
          <w:sz w:val="24"/>
          <w:szCs w:val="24"/>
        </w:rPr>
        <w:t xml:space="preserve">Por otro lado, </w:t>
      </w:r>
      <w:r w:rsidR="005703B4" w:rsidRPr="00495A0D">
        <w:rPr>
          <w:rFonts w:ascii="Times New Roman" w:hAnsi="Times New Roman"/>
          <w:color w:val="000000" w:themeColor="text1"/>
          <w:sz w:val="24"/>
          <w:szCs w:val="24"/>
        </w:rPr>
        <w:t>40 % de los profesionales de enfermería padecían un nivel de estrés alto.</w:t>
      </w:r>
    </w:p>
    <w:p w14:paraId="4B2CF405" w14:textId="40EC8118" w:rsidR="001731E1" w:rsidRDefault="001731E1" w:rsidP="00495A0D">
      <w:pPr>
        <w:spacing w:after="0" w:line="360" w:lineRule="auto"/>
        <w:jc w:val="both"/>
        <w:rPr>
          <w:rFonts w:ascii="Arial" w:hAnsi="Arial" w:cs="Arial"/>
          <w:color w:val="000000" w:themeColor="text1"/>
          <w:sz w:val="24"/>
          <w:szCs w:val="24"/>
        </w:rPr>
      </w:pPr>
      <w:r w:rsidRPr="00495A0D">
        <w:rPr>
          <w:rFonts w:ascii="Times New Roman" w:hAnsi="Times New Roman"/>
          <w:b/>
          <w:color w:val="000000" w:themeColor="text1"/>
          <w:sz w:val="24"/>
          <w:szCs w:val="24"/>
        </w:rPr>
        <w:t xml:space="preserve">Conclusiones: </w:t>
      </w:r>
      <w:r w:rsidR="00A51058" w:rsidRPr="00495A0D">
        <w:rPr>
          <w:rFonts w:ascii="Times New Roman" w:hAnsi="Times New Roman"/>
          <w:color w:val="000000" w:themeColor="text1"/>
          <w:sz w:val="24"/>
          <w:szCs w:val="24"/>
        </w:rPr>
        <w:t xml:space="preserve">la </w:t>
      </w:r>
      <w:r w:rsidRPr="00495A0D">
        <w:rPr>
          <w:rFonts w:ascii="Times New Roman" w:hAnsi="Times New Roman"/>
          <w:color w:val="000000" w:themeColor="text1"/>
          <w:sz w:val="24"/>
          <w:szCs w:val="24"/>
        </w:rPr>
        <w:t xml:space="preserve">población estudiada mostró un riesgo cardiovascular bajo </w:t>
      </w:r>
      <w:r w:rsidR="0003683A" w:rsidRPr="00495A0D">
        <w:rPr>
          <w:rFonts w:ascii="Times New Roman" w:hAnsi="Times New Roman"/>
          <w:color w:val="000000" w:themeColor="text1"/>
          <w:sz w:val="24"/>
          <w:szCs w:val="24"/>
        </w:rPr>
        <w:t xml:space="preserve">calculado </w:t>
      </w:r>
      <w:r w:rsidR="00BE5E2A" w:rsidRPr="00495A0D">
        <w:rPr>
          <w:rFonts w:ascii="Times New Roman" w:hAnsi="Times New Roman"/>
          <w:color w:val="000000" w:themeColor="text1"/>
          <w:sz w:val="24"/>
          <w:szCs w:val="24"/>
        </w:rPr>
        <w:t>med</w:t>
      </w:r>
      <w:r w:rsidR="001C5227" w:rsidRPr="00495A0D">
        <w:rPr>
          <w:rFonts w:ascii="Times New Roman" w:hAnsi="Times New Roman"/>
          <w:color w:val="000000" w:themeColor="text1"/>
          <w:sz w:val="24"/>
          <w:szCs w:val="24"/>
        </w:rPr>
        <w:t>iante diversas escalas</w:t>
      </w:r>
      <w:r w:rsidR="00A51058" w:rsidRPr="00495A0D">
        <w:rPr>
          <w:rFonts w:ascii="Times New Roman" w:hAnsi="Times New Roman"/>
          <w:color w:val="000000" w:themeColor="text1"/>
          <w:sz w:val="24"/>
          <w:szCs w:val="24"/>
        </w:rPr>
        <w:t xml:space="preserve">. Sin </w:t>
      </w:r>
      <w:r w:rsidR="00DA6497" w:rsidRPr="00495A0D">
        <w:rPr>
          <w:rFonts w:ascii="Times New Roman" w:hAnsi="Times New Roman"/>
          <w:color w:val="000000" w:themeColor="text1"/>
          <w:sz w:val="24"/>
          <w:szCs w:val="24"/>
        </w:rPr>
        <w:t>embargo,</w:t>
      </w:r>
      <w:r w:rsidR="003C2A05" w:rsidRPr="00495A0D">
        <w:rPr>
          <w:rFonts w:ascii="Times New Roman" w:hAnsi="Times New Roman"/>
          <w:color w:val="000000" w:themeColor="text1"/>
          <w:sz w:val="24"/>
          <w:szCs w:val="24"/>
        </w:rPr>
        <w:t xml:space="preserve"> </w:t>
      </w:r>
      <w:r w:rsidR="00A51058" w:rsidRPr="00495A0D">
        <w:rPr>
          <w:rFonts w:ascii="Times New Roman" w:hAnsi="Times New Roman"/>
          <w:color w:val="000000" w:themeColor="text1"/>
          <w:sz w:val="24"/>
          <w:szCs w:val="24"/>
        </w:rPr>
        <w:t xml:space="preserve">presentó </w:t>
      </w:r>
      <w:r w:rsidRPr="00495A0D">
        <w:rPr>
          <w:rFonts w:ascii="Times New Roman" w:hAnsi="Times New Roman"/>
          <w:color w:val="000000" w:themeColor="text1"/>
          <w:sz w:val="24"/>
          <w:szCs w:val="24"/>
        </w:rPr>
        <w:t>otros f</w:t>
      </w:r>
      <w:r w:rsidR="0046522D" w:rsidRPr="00495A0D">
        <w:rPr>
          <w:rFonts w:ascii="Times New Roman" w:hAnsi="Times New Roman"/>
          <w:color w:val="000000" w:themeColor="text1"/>
          <w:sz w:val="24"/>
          <w:szCs w:val="24"/>
        </w:rPr>
        <w:t>actores de riesgo</w:t>
      </w:r>
      <w:r w:rsidRPr="00495A0D">
        <w:rPr>
          <w:rFonts w:ascii="Times New Roman" w:hAnsi="Times New Roman"/>
          <w:color w:val="000000" w:themeColor="text1"/>
          <w:sz w:val="24"/>
          <w:szCs w:val="24"/>
        </w:rPr>
        <w:t xml:space="preserve"> independientes para </w:t>
      </w:r>
      <w:r w:rsidR="00224D66" w:rsidRPr="00495A0D">
        <w:rPr>
          <w:rFonts w:ascii="Times New Roman" w:hAnsi="Times New Roman"/>
          <w:color w:val="000000" w:themeColor="text1"/>
          <w:sz w:val="24"/>
          <w:szCs w:val="24"/>
        </w:rPr>
        <w:t>enfermedad coronaria</w:t>
      </w:r>
      <w:r w:rsidR="00A51058" w:rsidRPr="00495A0D">
        <w:rPr>
          <w:rFonts w:ascii="Times New Roman" w:hAnsi="Times New Roman"/>
          <w:color w:val="000000" w:themeColor="text1"/>
          <w:sz w:val="24"/>
          <w:szCs w:val="24"/>
        </w:rPr>
        <w:t>,</w:t>
      </w:r>
      <w:r w:rsidR="00224D66"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por lo que se deben tomar medidas de preven</w:t>
      </w:r>
      <w:r w:rsidR="00B1491E" w:rsidRPr="00495A0D">
        <w:rPr>
          <w:rFonts w:ascii="Times New Roman" w:hAnsi="Times New Roman"/>
          <w:color w:val="000000" w:themeColor="text1"/>
          <w:sz w:val="24"/>
          <w:szCs w:val="24"/>
        </w:rPr>
        <w:t>ción primaria y secundaria</w:t>
      </w:r>
      <w:r w:rsidRPr="00495A0D">
        <w:rPr>
          <w:rFonts w:ascii="Times New Roman" w:hAnsi="Times New Roman"/>
          <w:color w:val="000000" w:themeColor="text1"/>
          <w:sz w:val="24"/>
          <w:szCs w:val="24"/>
        </w:rPr>
        <w:t>.</w:t>
      </w:r>
    </w:p>
    <w:p w14:paraId="169A3D0F" w14:textId="77285154" w:rsidR="001731E1" w:rsidRDefault="001731E1" w:rsidP="00495A0D">
      <w:pPr>
        <w:spacing w:after="0" w:line="360" w:lineRule="auto"/>
        <w:jc w:val="both"/>
        <w:rPr>
          <w:rFonts w:ascii="Arial" w:hAnsi="Arial" w:cs="Arial"/>
          <w:color w:val="000000" w:themeColor="text1"/>
          <w:sz w:val="24"/>
          <w:szCs w:val="24"/>
        </w:rPr>
      </w:pPr>
      <w:r w:rsidRPr="00495A0D">
        <w:rPr>
          <w:rFonts w:cs="Calibri"/>
          <w:b/>
          <w:color w:val="000000" w:themeColor="text1"/>
          <w:sz w:val="28"/>
          <w:szCs w:val="28"/>
          <w:lang w:val="es-ES" w:eastAsia="es-ES"/>
        </w:rPr>
        <w:t>Palabras clave:</w:t>
      </w:r>
      <w:r w:rsidRPr="00447037">
        <w:rPr>
          <w:rFonts w:ascii="Arial" w:hAnsi="Arial" w:cs="Arial"/>
          <w:color w:val="000000" w:themeColor="text1"/>
          <w:sz w:val="24"/>
          <w:szCs w:val="24"/>
        </w:rPr>
        <w:t xml:space="preserve"> </w:t>
      </w:r>
      <w:r w:rsidR="00A51058" w:rsidRPr="00495A0D">
        <w:rPr>
          <w:rFonts w:ascii="Times New Roman" w:hAnsi="Times New Roman"/>
          <w:color w:val="000000" w:themeColor="text1"/>
          <w:sz w:val="24"/>
          <w:szCs w:val="24"/>
        </w:rPr>
        <w:t xml:space="preserve">índice tobillo-brazo, perfil antropométrico, profesional de enfermería, riesgo cardiovascular, </w:t>
      </w:r>
      <w:r w:rsidR="00827845" w:rsidRPr="00495A0D">
        <w:rPr>
          <w:rFonts w:ascii="Times New Roman" w:hAnsi="Times New Roman"/>
          <w:color w:val="000000" w:themeColor="text1"/>
          <w:sz w:val="24"/>
          <w:szCs w:val="24"/>
        </w:rPr>
        <w:t>tabla de Framingham.</w:t>
      </w:r>
    </w:p>
    <w:p w14:paraId="077142E5" w14:textId="186361E7" w:rsidR="00495A0D" w:rsidRPr="00EE1BD6" w:rsidRDefault="00495A0D" w:rsidP="00D24753">
      <w:pPr>
        <w:spacing w:after="0"/>
        <w:jc w:val="both"/>
        <w:rPr>
          <w:rFonts w:cs="Calibri"/>
          <w:b/>
          <w:color w:val="000000" w:themeColor="text1"/>
          <w:sz w:val="28"/>
          <w:szCs w:val="28"/>
          <w:lang w:val="en-US" w:eastAsia="es-ES"/>
        </w:rPr>
      </w:pPr>
      <w:r w:rsidRPr="00EE1BD6">
        <w:rPr>
          <w:rFonts w:cs="Calibri"/>
          <w:b/>
          <w:color w:val="000000" w:themeColor="text1"/>
          <w:sz w:val="28"/>
          <w:szCs w:val="28"/>
          <w:lang w:val="en-US" w:eastAsia="es-ES"/>
        </w:rPr>
        <w:lastRenderedPageBreak/>
        <w:t>Abstract</w:t>
      </w:r>
    </w:p>
    <w:p w14:paraId="5EBED96A" w14:textId="77777777" w:rsidR="00495A0D" w:rsidRPr="00EE1BD6" w:rsidRDefault="00495A0D" w:rsidP="00495A0D">
      <w:pPr>
        <w:spacing w:after="0" w:line="360" w:lineRule="auto"/>
        <w:jc w:val="both"/>
        <w:rPr>
          <w:rFonts w:ascii="Times New Roman" w:hAnsi="Times New Roman"/>
          <w:color w:val="000000" w:themeColor="text1"/>
          <w:sz w:val="24"/>
          <w:szCs w:val="24"/>
          <w:lang w:val="en-US"/>
        </w:rPr>
      </w:pPr>
      <w:r w:rsidRPr="00EE1BD6">
        <w:rPr>
          <w:rFonts w:ascii="Times New Roman" w:hAnsi="Times New Roman"/>
          <w:color w:val="000000" w:themeColor="text1"/>
          <w:sz w:val="24"/>
          <w:szCs w:val="24"/>
          <w:lang w:val="en-US"/>
        </w:rPr>
        <w:t>Introduction: the World Health Organization (WHO) states that cardiovascular diseases are the leading cause of death in the world. In Mexico, heart disease and cerebrovascular disease occupied the first and sixth place, respectively, in the general mortality table during 2014. The prevalence of obesity and overweight in nurses is high.</w:t>
      </w:r>
    </w:p>
    <w:p w14:paraId="5AA7B071" w14:textId="77777777" w:rsidR="00495A0D" w:rsidRPr="00EE1BD6" w:rsidRDefault="00495A0D" w:rsidP="00495A0D">
      <w:pPr>
        <w:spacing w:after="0" w:line="360" w:lineRule="auto"/>
        <w:jc w:val="both"/>
        <w:rPr>
          <w:rFonts w:ascii="Times New Roman" w:hAnsi="Times New Roman"/>
          <w:color w:val="000000" w:themeColor="text1"/>
          <w:sz w:val="24"/>
          <w:szCs w:val="24"/>
          <w:lang w:val="en-US"/>
        </w:rPr>
      </w:pPr>
      <w:r w:rsidRPr="00EE1BD6">
        <w:rPr>
          <w:rFonts w:ascii="Times New Roman" w:hAnsi="Times New Roman"/>
          <w:color w:val="000000" w:themeColor="text1"/>
          <w:sz w:val="24"/>
          <w:szCs w:val="24"/>
          <w:lang w:val="en-US"/>
        </w:rPr>
        <w:t>Objective: to evaluate the cardiovascular risk in the nursing professionals who work in an intensive care unit.</w:t>
      </w:r>
    </w:p>
    <w:p w14:paraId="6E28BF55" w14:textId="77777777" w:rsidR="00495A0D" w:rsidRPr="00EE1BD6" w:rsidRDefault="00495A0D" w:rsidP="00495A0D">
      <w:pPr>
        <w:spacing w:after="0" w:line="360" w:lineRule="auto"/>
        <w:jc w:val="both"/>
        <w:rPr>
          <w:rFonts w:ascii="Times New Roman" w:hAnsi="Times New Roman"/>
          <w:color w:val="000000" w:themeColor="text1"/>
          <w:sz w:val="24"/>
          <w:szCs w:val="24"/>
          <w:lang w:val="en-US"/>
        </w:rPr>
      </w:pPr>
      <w:r w:rsidRPr="00EE1BD6">
        <w:rPr>
          <w:rFonts w:ascii="Times New Roman" w:hAnsi="Times New Roman"/>
          <w:color w:val="000000" w:themeColor="text1"/>
          <w:sz w:val="24"/>
          <w:szCs w:val="24"/>
          <w:lang w:val="en-US"/>
        </w:rPr>
        <w:t>Material and methods: descriptive, transversal study. Twenty-five nurses -elected by selection criteria- who work in the intensive care unit of a tertiary hospital in Mexico City during 2016, with an interview, anthropometric measurements and lipid profile taking were evaluated. The statistical analysis was performed with the SPSS program version 21.</w:t>
      </w:r>
    </w:p>
    <w:p w14:paraId="2C410961" w14:textId="77777777" w:rsidR="00495A0D" w:rsidRPr="00EE1BD6" w:rsidRDefault="00495A0D" w:rsidP="00495A0D">
      <w:pPr>
        <w:spacing w:after="0" w:line="360" w:lineRule="auto"/>
        <w:jc w:val="both"/>
        <w:rPr>
          <w:rFonts w:ascii="Times New Roman" w:hAnsi="Times New Roman"/>
          <w:color w:val="000000" w:themeColor="text1"/>
          <w:sz w:val="24"/>
          <w:szCs w:val="24"/>
          <w:lang w:val="en-US"/>
        </w:rPr>
      </w:pPr>
      <w:r w:rsidRPr="00EE1BD6">
        <w:rPr>
          <w:rFonts w:ascii="Times New Roman" w:hAnsi="Times New Roman"/>
          <w:color w:val="000000" w:themeColor="text1"/>
          <w:sz w:val="24"/>
          <w:szCs w:val="24"/>
          <w:lang w:val="en-US"/>
        </w:rPr>
        <w:t>Results: the cardiovascular risk found in the nursing professionals through the stratification tables was low, with a risk percentage lower than 10%. However, metabolic syndrome was detected in 28% of the population, as well as two predictors of cardiological and vascular mortality: peripheral arterial disease and product values ​​of lipid accumulation of risk to develop coronary disease. With respect to the heredity of coronary heart disease or stroke, 28% of the professionals reported having a relevant cardiovascular history - acute myocardial infarction being the main heart disease - 24% showed problems of hypercholesterolemia, 20% triglyceride risk figures and 24% showed an accelerated deposition of the lipid material inside the blood vessels. On the other hand, 40% of nursing professionals suffered from a high level of stress.</w:t>
      </w:r>
    </w:p>
    <w:p w14:paraId="56119E7C" w14:textId="77777777" w:rsidR="00495A0D" w:rsidRPr="00EE1BD6" w:rsidRDefault="00495A0D" w:rsidP="00495A0D">
      <w:pPr>
        <w:spacing w:after="0" w:line="360" w:lineRule="auto"/>
        <w:jc w:val="both"/>
        <w:rPr>
          <w:rFonts w:ascii="Times New Roman" w:hAnsi="Times New Roman"/>
          <w:color w:val="000000" w:themeColor="text1"/>
          <w:sz w:val="24"/>
          <w:szCs w:val="24"/>
          <w:lang w:val="en-US"/>
        </w:rPr>
      </w:pPr>
      <w:r w:rsidRPr="00EE1BD6">
        <w:rPr>
          <w:rFonts w:ascii="Times New Roman" w:hAnsi="Times New Roman"/>
          <w:color w:val="000000" w:themeColor="text1"/>
          <w:sz w:val="24"/>
          <w:szCs w:val="24"/>
          <w:lang w:val="en-US"/>
        </w:rPr>
        <w:t>Conclusions: the population studied showed a low cardiovascular risk calculated using different scales. However, it presented other independent risk factors for coronary heart disease, so primary and secondary prevention measures should be taken.</w:t>
      </w:r>
    </w:p>
    <w:p w14:paraId="37AFABEB" w14:textId="42F924CE" w:rsidR="00495A0D" w:rsidRDefault="00495A0D" w:rsidP="00495A0D">
      <w:pPr>
        <w:spacing w:after="0" w:line="360" w:lineRule="auto"/>
        <w:jc w:val="both"/>
        <w:rPr>
          <w:rFonts w:ascii="Times New Roman" w:hAnsi="Times New Roman"/>
          <w:color w:val="000000" w:themeColor="text1"/>
          <w:sz w:val="24"/>
          <w:szCs w:val="24"/>
          <w:lang w:val="en-US"/>
        </w:rPr>
      </w:pPr>
      <w:r w:rsidRPr="00EE1BD6">
        <w:rPr>
          <w:rFonts w:cs="Calibri"/>
          <w:b/>
          <w:color w:val="000000" w:themeColor="text1"/>
          <w:sz w:val="28"/>
          <w:szCs w:val="28"/>
          <w:lang w:val="en-US" w:eastAsia="es-ES"/>
        </w:rPr>
        <w:t>Keywords:</w:t>
      </w:r>
      <w:r w:rsidRPr="00EE1BD6">
        <w:rPr>
          <w:rFonts w:ascii="Arial" w:hAnsi="Arial" w:cs="Arial"/>
          <w:color w:val="000000" w:themeColor="text1"/>
          <w:sz w:val="24"/>
          <w:szCs w:val="24"/>
          <w:lang w:val="en-US"/>
        </w:rPr>
        <w:t xml:space="preserve"> </w:t>
      </w:r>
      <w:r w:rsidRPr="00EE1BD6">
        <w:rPr>
          <w:rFonts w:ascii="Times New Roman" w:hAnsi="Times New Roman"/>
          <w:color w:val="000000" w:themeColor="text1"/>
          <w:sz w:val="24"/>
          <w:szCs w:val="24"/>
          <w:lang w:val="en-US"/>
        </w:rPr>
        <w:t>ankle-brachial index, anthropometric profile, nursing professional, cardiovascular risk, Framingham table.</w:t>
      </w:r>
    </w:p>
    <w:p w14:paraId="6B05D045" w14:textId="5913D450" w:rsidR="00B07455" w:rsidRDefault="00B07455" w:rsidP="00495A0D">
      <w:pPr>
        <w:spacing w:after="0" w:line="360" w:lineRule="auto"/>
        <w:jc w:val="both"/>
        <w:rPr>
          <w:rFonts w:ascii="Times New Roman" w:hAnsi="Times New Roman"/>
          <w:color w:val="000000" w:themeColor="text1"/>
          <w:sz w:val="24"/>
          <w:szCs w:val="24"/>
          <w:lang w:val="en-US"/>
        </w:rPr>
      </w:pPr>
    </w:p>
    <w:p w14:paraId="68C4D49B" w14:textId="77777777" w:rsidR="00B07455" w:rsidRPr="00EE1BD6" w:rsidRDefault="00B07455" w:rsidP="00495A0D">
      <w:pPr>
        <w:spacing w:after="0" w:line="360" w:lineRule="auto"/>
        <w:jc w:val="both"/>
        <w:rPr>
          <w:rFonts w:ascii="Times New Roman" w:hAnsi="Times New Roman"/>
          <w:color w:val="000000" w:themeColor="text1"/>
          <w:sz w:val="24"/>
          <w:szCs w:val="24"/>
          <w:lang w:val="en-US"/>
        </w:rPr>
      </w:pPr>
    </w:p>
    <w:p w14:paraId="65CC9481" w14:textId="0C50BDF6" w:rsidR="00495A0D" w:rsidRDefault="00495A0D" w:rsidP="00495A0D">
      <w:pPr>
        <w:spacing w:after="0" w:line="360" w:lineRule="auto"/>
        <w:jc w:val="both"/>
        <w:rPr>
          <w:rFonts w:ascii="Arial" w:hAnsi="Arial" w:cs="Arial"/>
          <w:color w:val="000000" w:themeColor="text1"/>
          <w:sz w:val="24"/>
          <w:szCs w:val="24"/>
          <w:lang w:val="en-US"/>
        </w:rPr>
      </w:pPr>
    </w:p>
    <w:p w14:paraId="109434FA" w14:textId="77777777" w:rsidR="00D27A09" w:rsidRPr="00EE1BD6" w:rsidRDefault="00D27A09" w:rsidP="00495A0D">
      <w:pPr>
        <w:spacing w:after="0" w:line="360" w:lineRule="auto"/>
        <w:jc w:val="both"/>
        <w:rPr>
          <w:rFonts w:ascii="Arial" w:hAnsi="Arial" w:cs="Arial"/>
          <w:color w:val="000000" w:themeColor="text1"/>
          <w:sz w:val="24"/>
          <w:szCs w:val="24"/>
          <w:lang w:val="en-US"/>
        </w:rPr>
      </w:pPr>
    </w:p>
    <w:p w14:paraId="22DDCF0B" w14:textId="30B83031" w:rsidR="00495A0D" w:rsidRPr="00495A0D" w:rsidRDefault="00495A0D" w:rsidP="00495A0D">
      <w:pPr>
        <w:spacing w:after="0" w:line="360" w:lineRule="auto"/>
        <w:jc w:val="both"/>
        <w:rPr>
          <w:rFonts w:cs="Calibri"/>
          <w:b/>
          <w:color w:val="000000" w:themeColor="text1"/>
          <w:sz w:val="28"/>
          <w:szCs w:val="28"/>
          <w:lang w:val="es-ES" w:eastAsia="es-ES"/>
        </w:rPr>
      </w:pPr>
      <w:r w:rsidRPr="00495A0D">
        <w:rPr>
          <w:rFonts w:cs="Calibri"/>
          <w:b/>
          <w:color w:val="000000" w:themeColor="text1"/>
          <w:sz w:val="28"/>
          <w:szCs w:val="28"/>
          <w:lang w:val="es-ES" w:eastAsia="es-ES"/>
        </w:rPr>
        <w:lastRenderedPageBreak/>
        <w:t>Resumo</w:t>
      </w:r>
    </w:p>
    <w:p w14:paraId="1297B7C8" w14:textId="77777777" w:rsidR="00495A0D" w:rsidRPr="00495A0D" w:rsidRDefault="00495A0D" w:rsidP="00495A0D">
      <w:pPr>
        <w:spacing w:after="0" w:line="360" w:lineRule="auto"/>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Introdução: a Organização Mundial de Saúde (OMS) afirma que as doenças cardiovasculares são a principal causa de morte no mundo. No México, as doenças cardíacas e cerebrovasculares ocuparam o primeiro e o sexto lugares, respectivamente, na tábua geral de mortalidade em 2014. A prevalência de obesidade e sobrepeso em enfermeiros é alta.</w:t>
      </w:r>
    </w:p>
    <w:p w14:paraId="61722F5F" w14:textId="77777777" w:rsidR="00495A0D" w:rsidRPr="00495A0D" w:rsidRDefault="00495A0D" w:rsidP="00495A0D">
      <w:pPr>
        <w:spacing w:after="0" w:line="360" w:lineRule="auto"/>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Objetivo: avaliar o risco cardiovascular nos profissionais de enfermagem que atuam em uma unidade de terapia intensiva.</w:t>
      </w:r>
    </w:p>
    <w:p w14:paraId="749046CB" w14:textId="77777777" w:rsidR="00495A0D" w:rsidRPr="00495A0D" w:rsidRDefault="00495A0D" w:rsidP="00495A0D">
      <w:pPr>
        <w:spacing w:after="0" w:line="360" w:lineRule="auto"/>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Material e métodos: estudo descritivo, transversal. 25 -elegidas enfermeiros foram avaliados por critérios selecção- de trabalho na unidade de terapia intensiva de um hospital terciário na Cidade do México em 2016, com a aplicação de uma entrevista, tomando medidas antropométricas e perfil lipídico. A análise estatística foi realizada com o programa SPSS versão 21.</w:t>
      </w:r>
    </w:p>
    <w:p w14:paraId="5DF8E08A" w14:textId="77777777" w:rsidR="00495A0D" w:rsidRPr="00495A0D" w:rsidRDefault="00495A0D" w:rsidP="00495A0D">
      <w:pPr>
        <w:spacing w:after="0" w:line="360" w:lineRule="auto"/>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Resultados: o risco cardiovascular encontrado nos profissionais de enfermagem através das tabelas de estratificação foi baixo, com percentual de risco menor que 10%. No entanto, a síndrome metabólica foi detectada em 28% da população, e dois preditores de mortalidade cardíaca e vascular: doença arterial periférica e os valores dos produtos risco de acumulação de lípidos para o desenvolvimento de doença cardíaca coronária. No que diz respeito a uma história familiar de doença cardíaca coronária ou acidente vascular cerebral, 28% dos profissionais relataram ter histórico cardiovascular de relevância -ser infarto agudo do miocárdio a doença, principalmente, 24% apresentaram problemas hipercolesterolemia, 20% figuras risco triglicérides e 24% mostraram uma deposição acelerada do material lipídico dentro dos vasos sanguíneos. Por outro lado, 40% dos profissionais de enfermagem sofreram um alto nível de estresse.</w:t>
      </w:r>
    </w:p>
    <w:p w14:paraId="2FCB05A5" w14:textId="77777777" w:rsidR="00495A0D" w:rsidRPr="00495A0D" w:rsidRDefault="00495A0D" w:rsidP="00495A0D">
      <w:pPr>
        <w:spacing w:after="0" w:line="360" w:lineRule="auto"/>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Conclusões: a população estudada apresentou baixo risco cardiovascular calculado em diferentes escalas. No entanto, apresentava outros fatores de risco independentes para doença coronariana, de modo que medidas de prevenção primária e secundária deveriam ser tomadas.</w:t>
      </w:r>
    </w:p>
    <w:p w14:paraId="251D95F4" w14:textId="2B13B87F" w:rsidR="00495A0D" w:rsidRDefault="00495A0D" w:rsidP="00495A0D">
      <w:pPr>
        <w:spacing w:after="0" w:line="360" w:lineRule="auto"/>
        <w:jc w:val="both"/>
        <w:rPr>
          <w:rFonts w:ascii="Times New Roman" w:hAnsi="Times New Roman"/>
          <w:color w:val="000000" w:themeColor="text1"/>
          <w:sz w:val="24"/>
          <w:szCs w:val="24"/>
        </w:rPr>
      </w:pPr>
      <w:r w:rsidRPr="00495A0D">
        <w:rPr>
          <w:rFonts w:cs="Calibri"/>
          <w:b/>
          <w:color w:val="000000" w:themeColor="text1"/>
          <w:sz w:val="28"/>
          <w:szCs w:val="28"/>
          <w:lang w:val="es-ES" w:eastAsia="es-ES"/>
        </w:rPr>
        <w:t>Palavras-chave:</w:t>
      </w:r>
      <w:r w:rsidRPr="00495A0D">
        <w:rPr>
          <w:rFonts w:ascii="Arial" w:hAnsi="Arial" w:cs="Arial"/>
          <w:color w:val="000000" w:themeColor="text1"/>
          <w:sz w:val="24"/>
          <w:szCs w:val="24"/>
        </w:rPr>
        <w:t xml:space="preserve"> </w:t>
      </w:r>
      <w:r w:rsidRPr="00495A0D">
        <w:rPr>
          <w:rFonts w:ascii="Times New Roman" w:hAnsi="Times New Roman"/>
          <w:color w:val="000000" w:themeColor="text1"/>
          <w:sz w:val="24"/>
          <w:szCs w:val="24"/>
        </w:rPr>
        <w:t>índice tornozelo-braquial, perfil antropométrico, profissional de enfermagem, risco cardiovascular, tabela de Framingham.</w:t>
      </w:r>
    </w:p>
    <w:p w14:paraId="0205409B" w14:textId="7B2AFCDC" w:rsidR="00495A0D" w:rsidRPr="00EE1BD6" w:rsidRDefault="00495A0D" w:rsidP="00495A0D">
      <w:pPr>
        <w:spacing w:after="0" w:line="360" w:lineRule="auto"/>
        <w:jc w:val="both"/>
        <w:rPr>
          <w:rFonts w:ascii="Times New Roman" w:eastAsia="Calibri" w:hAnsi="Times New Roman"/>
          <w:sz w:val="24"/>
          <w:szCs w:val="24"/>
        </w:rPr>
      </w:pPr>
      <w:r w:rsidRPr="00DA3479">
        <w:rPr>
          <w:rFonts w:ascii="Times New Roman" w:eastAsia="Calibri" w:hAnsi="Times New Roman"/>
          <w:b/>
          <w:color w:val="000000" w:themeColor="text1"/>
          <w:sz w:val="24"/>
          <w:szCs w:val="24"/>
          <w:lang w:val="es-ES"/>
        </w:rPr>
        <w:lastRenderedPageBreak/>
        <w:t>Fecha recepción:</w:t>
      </w:r>
      <w:r w:rsidRPr="00DA3479">
        <w:rPr>
          <w:rFonts w:ascii="Times New Roman" w:eastAsia="Calibri" w:hAnsi="Times New Roman"/>
          <w:color w:val="000000" w:themeColor="text1"/>
          <w:sz w:val="24"/>
          <w:szCs w:val="24"/>
          <w:lang w:val="es-ES"/>
        </w:rPr>
        <w:t xml:space="preserve">     </w:t>
      </w:r>
      <w:proofErr w:type="gramStart"/>
      <w:r>
        <w:rPr>
          <w:rFonts w:ascii="Times New Roman" w:eastAsia="Calibri" w:hAnsi="Times New Roman"/>
          <w:color w:val="000000" w:themeColor="text1"/>
          <w:sz w:val="24"/>
          <w:szCs w:val="24"/>
          <w:lang w:val="es-ES"/>
        </w:rPr>
        <w:t>Septiembre</w:t>
      </w:r>
      <w:proofErr w:type="gramEnd"/>
      <w:r w:rsidRPr="00DA3479">
        <w:rPr>
          <w:rFonts w:ascii="Times New Roman" w:eastAsia="Calibri" w:hAnsi="Times New Roman"/>
          <w:color w:val="000000" w:themeColor="text1"/>
          <w:sz w:val="24"/>
          <w:szCs w:val="24"/>
          <w:lang w:val="es-ES"/>
        </w:rPr>
        <w:t xml:space="preserve"> 2017     </w:t>
      </w:r>
      <w:r>
        <w:rPr>
          <w:rFonts w:ascii="Times New Roman" w:eastAsia="Calibri" w:hAnsi="Times New Roman"/>
          <w:color w:val="000000" w:themeColor="text1"/>
          <w:sz w:val="24"/>
          <w:szCs w:val="24"/>
          <w:lang w:val="es-ES"/>
        </w:rPr>
        <w:t xml:space="preserve">                       </w:t>
      </w:r>
      <w:r w:rsidRPr="00DA3479">
        <w:rPr>
          <w:rFonts w:ascii="Times New Roman" w:eastAsia="Calibri" w:hAnsi="Times New Roman"/>
          <w:b/>
          <w:color w:val="000000" w:themeColor="text1"/>
          <w:sz w:val="24"/>
          <w:szCs w:val="24"/>
          <w:lang w:val="es-ES"/>
        </w:rPr>
        <w:t>Fecha aceptación:</w:t>
      </w:r>
      <w:r w:rsidRPr="00DA3479">
        <w:rPr>
          <w:rFonts w:ascii="Times New Roman" w:eastAsia="Calibri" w:hAnsi="Times New Roman"/>
          <w:color w:val="000000" w:themeColor="text1"/>
          <w:sz w:val="24"/>
          <w:szCs w:val="24"/>
          <w:lang w:val="es-ES"/>
        </w:rPr>
        <w:t xml:space="preserve"> Diciembre 2017</w:t>
      </w:r>
      <w:r w:rsidR="00425459">
        <w:rPr>
          <w:rFonts w:ascii="Times New Roman" w:hAnsi="Times New Roman"/>
          <w:sz w:val="24"/>
          <w:szCs w:val="24"/>
        </w:rPr>
        <w:pict w14:anchorId="22AA8035">
          <v:rect id="_x0000_i1025" style="width:0;height:1.5pt" o:hralign="center" o:hrstd="t" o:hr="t" fillcolor="#a0a0a0" stroked="f"/>
        </w:pict>
      </w:r>
    </w:p>
    <w:p w14:paraId="61466684" w14:textId="77777777" w:rsidR="00495A0D" w:rsidRPr="00447037" w:rsidRDefault="00495A0D" w:rsidP="00495A0D">
      <w:pPr>
        <w:spacing w:after="0" w:line="360" w:lineRule="auto"/>
        <w:jc w:val="both"/>
        <w:rPr>
          <w:rFonts w:ascii="Arial" w:hAnsi="Arial" w:cs="Arial"/>
          <w:color w:val="000000" w:themeColor="text1"/>
          <w:sz w:val="24"/>
          <w:szCs w:val="24"/>
        </w:rPr>
      </w:pPr>
    </w:p>
    <w:p w14:paraId="734D803A" w14:textId="4EE363A1" w:rsidR="00A56EC2" w:rsidRPr="00EE1BD6" w:rsidRDefault="00A56EC2" w:rsidP="00D24753">
      <w:pPr>
        <w:spacing w:after="0"/>
        <w:jc w:val="both"/>
        <w:rPr>
          <w:rFonts w:ascii="Arial" w:hAnsi="Arial" w:cs="Arial"/>
          <w:b/>
          <w:color w:val="000000" w:themeColor="text1"/>
          <w:sz w:val="24"/>
          <w:szCs w:val="24"/>
        </w:rPr>
      </w:pPr>
    </w:p>
    <w:p w14:paraId="7963CBE7" w14:textId="77777777" w:rsidR="001731E1" w:rsidRPr="00495A0D" w:rsidRDefault="001731E1" w:rsidP="00D24753">
      <w:pPr>
        <w:spacing w:after="0"/>
        <w:jc w:val="both"/>
        <w:rPr>
          <w:rFonts w:cs="Calibri"/>
          <w:b/>
          <w:color w:val="000000" w:themeColor="text1"/>
          <w:sz w:val="28"/>
          <w:szCs w:val="28"/>
          <w:lang w:val="es-ES" w:eastAsia="es-ES"/>
        </w:rPr>
      </w:pPr>
      <w:r w:rsidRPr="00495A0D">
        <w:rPr>
          <w:rFonts w:cs="Calibri"/>
          <w:b/>
          <w:color w:val="000000" w:themeColor="text1"/>
          <w:sz w:val="28"/>
          <w:szCs w:val="28"/>
          <w:lang w:val="es-ES" w:eastAsia="es-ES"/>
        </w:rPr>
        <w:t>Introducción</w:t>
      </w:r>
    </w:p>
    <w:p w14:paraId="049244B3" w14:textId="1BA7AB7F" w:rsidR="001731E1"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Actualmente</w:t>
      </w:r>
      <w:r w:rsidR="00D54081"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la Organización Mundial de la Salud</w:t>
      </w:r>
      <w:r w:rsidR="00D54081" w:rsidRPr="00495A0D">
        <w:rPr>
          <w:rFonts w:ascii="Times New Roman" w:hAnsi="Times New Roman"/>
          <w:color w:val="000000" w:themeColor="text1"/>
          <w:sz w:val="24"/>
          <w:szCs w:val="24"/>
        </w:rPr>
        <w:t xml:space="preserve"> (OMS)</w:t>
      </w:r>
      <w:r w:rsidRPr="00495A0D">
        <w:rPr>
          <w:rFonts w:ascii="Times New Roman" w:hAnsi="Times New Roman"/>
          <w:color w:val="000000" w:themeColor="text1"/>
          <w:sz w:val="24"/>
          <w:szCs w:val="24"/>
        </w:rPr>
        <w:t xml:space="preserve"> afirma que</w:t>
      </w:r>
      <w:r w:rsidR="00242378" w:rsidRPr="00495A0D">
        <w:rPr>
          <w:rFonts w:ascii="Times New Roman" w:hAnsi="Times New Roman"/>
          <w:color w:val="000000" w:themeColor="text1"/>
          <w:sz w:val="24"/>
          <w:szCs w:val="24"/>
        </w:rPr>
        <w:t xml:space="preserve"> las enfermedades cardio</w:t>
      </w:r>
      <w:r w:rsidR="003D6F63" w:rsidRPr="00495A0D">
        <w:rPr>
          <w:rFonts w:ascii="Times New Roman" w:hAnsi="Times New Roman"/>
          <w:color w:val="000000" w:themeColor="text1"/>
          <w:sz w:val="24"/>
          <w:szCs w:val="24"/>
        </w:rPr>
        <w:t xml:space="preserve">vasculares causan cerca de </w:t>
      </w:r>
      <w:r w:rsidR="003578EF" w:rsidRPr="00495A0D">
        <w:rPr>
          <w:rFonts w:ascii="Times New Roman" w:hAnsi="Times New Roman"/>
          <w:color w:val="000000" w:themeColor="text1"/>
          <w:sz w:val="24"/>
          <w:szCs w:val="24"/>
        </w:rPr>
        <w:t>“</w:t>
      </w:r>
      <w:r w:rsidR="003D6F63" w:rsidRPr="00495A0D">
        <w:rPr>
          <w:rFonts w:ascii="Times New Roman" w:hAnsi="Times New Roman"/>
          <w:color w:val="000000" w:themeColor="text1"/>
          <w:sz w:val="24"/>
          <w:szCs w:val="24"/>
        </w:rPr>
        <w:t>17 millones de muertes</w:t>
      </w:r>
      <w:r w:rsidRPr="00495A0D">
        <w:rPr>
          <w:rFonts w:ascii="Times New Roman" w:hAnsi="Times New Roman"/>
          <w:color w:val="000000" w:themeColor="text1"/>
          <w:sz w:val="24"/>
          <w:szCs w:val="24"/>
        </w:rPr>
        <w:t xml:space="preserve"> cada año</w:t>
      </w:r>
      <w:r w:rsidR="00B91905"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w:t>
      </w:r>
      <w:r w:rsidR="003D6F63" w:rsidRPr="00495A0D">
        <w:rPr>
          <w:rFonts w:ascii="Times New Roman" w:hAnsi="Times New Roman"/>
          <w:color w:val="000000" w:themeColor="text1"/>
          <w:sz w:val="24"/>
          <w:szCs w:val="24"/>
        </w:rPr>
        <w:t xml:space="preserve">cifra que equivale </w:t>
      </w:r>
      <w:r w:rsidRPr="00495A0D">
        <w:rPr>
          <w:rFonts w:ascii="Times New Roman" w:hAnsi="Times New Roman"/>
          <w:color w:val="000000" w:themeColor="text1"/>
          <w:sz w:val="24"/>
          <w:szCs w:val="24"/>
        </w:rPr>
        <w:t xml:space="preserve">aproximadamente </w:t>
      </w:r>
      <w:r w:rsidR="003D6F63" w:rsidRPr="00495A0D">
        <w:rPr>
          <w:rFonts w:ascii="Times New Roman" w:hAnsi="Times New Roman"/>
          <w:color w:val="000000" w:themeColor="text1"/>
          <w:sz w:val="24"/>
          <w:szCs w:val="24"/>
        </w:rPr>
        <w:t xml:space="preserve">a </w:t>
      </w:r>
      <w:r w:rsidR="00B91905" w:rsidRPr="00495A0D">
        <w:rPr>
          <w:rFonts w:ascii="Times New Roman" w:hAnsi="Times New Roman"/>
          <w:color w:val="000000" w:themeColor="text1"/>
          <w:sz w:val="24"/>
          <w:szCs w:val="24"/>
        </w:rPr>
        <w:t>“</w:t>
      </w:r>
      <w:r w:rsidR="003D6F63" w:rsidRPr="00495A0D">
        <w:rPr>
          <w:rFonts w:ascii="Times New Roman" w:hAnsi="Times New Roman"/>
          <w:color w:val="000000" w:themeColor="text1"/>
          <w:sz w:val="24"/>
          <w:szCs w:val="24"/>
        </w:rPr>
        <w:t>un tercio de las defuncion</w:t>
      </w:r>
      <w:r w:rsidRPr="00495A0D">
        <w:rPr>
          <w:rFonts w:ascii="Times New Roman" w:hAnsi="Times New Roman"/>
          <w:color w:val="000000" w:themeColor="text1"/>
          <w:sz w:val="24"/>
          <w:szCs w:val="24"/>
        </w:rPr>
        <w:t>es de todo el mundo</w:t>
      </w:r>
      <w:r w:rsidR="00B91905" w:rsidRPr="00495A0D">
        <w:rPr>
          <w:rFonts w:ascii="Times New Roman" w:hAnsi="Times New Roman"/>
          <w:color w:val="000000" w:themeColor="text1"/>
          <w:sz w:val="24"/>
          <w:szCs w:val="24"/>
        </w:rPr>
        <w:t>”</w:t>
      </w:r>
      <w:r w:rsidR="00061709" w:rsidRPr="00495A0D">
        <w:rPr>
          <w:rFonts w:ascii="Times New Roman" w:hAnsi="Times New Roman"/>
          <w:noProof/>
          <w:color w:val="000000" w:themeColor="text1"/>
          <w:sz w:val="24"/>
          <w:szCs w:val="24"/>
        </w:rPr>
        <w:t xml:space="preserve"> (OMS, 2013, p.1)</w:t>
      </w:r>
      <w:r w:rsidRPr="00495A0D">
        <w:rPr>
          <w:rFonts w:ascii="Times New Roman" w:hAnsi="Times New Roman"/>
          <w:color w:val="000000" w:themeColor="text1"/>
          <w:sz w:val="24"/>
          <w:szCs w:val="24"/>
        </w:rPr>
        <w:t xml:space="preserve">. Se prevé que </w:t>
      </w:r>
      <w:r w:rsidR="003D6F63" w:rsidRPr="00495A0D">
        <w:rPr>
          <w:rFonts w:ascii="Times New Roman" w:hAnsi="Times New Roman"/>
          <w:color w:val="000000" w:themeColor="text1"/>
          <w:sz w:val="24"/>
          <w:szCs w:val="24"/>
        </w:rPr>
        <w:t>estas enfermedades</w:t>
      </w:r>
      <w:r w:rsidRPr="00495A0D">
        <w:rPr>
          <w:rFonts w:ascii="Times New Roman" w:hAnsi="Times New Roman"/>
          <w:color w:val="000000" w:themeColor="text1"/>
          <w:sz w:val="24"/>
          <w:szCs w:val="24"/>
        </w:rPr>
        <w:t xml:space="preserve"> se</w:t>
      </w:r>
      <w:r w:rsidR="0047699A" w:rsidRPr="00495A0D">
        <w:rPr>
          <w:rFonts w:ascii="Times New Roman" w:hAnsi="Times New Roman"/>
          <w:color w:val="000000" w:themeColor="text1"/>
          <w:sz w:val="24"/>
          <w:szCs w:val="24"/>
        </w:rPr>
        <w:t>an la primera causa de</w:t>
      </w:r>
      <w:r w:rsidRPr="00495A0D">
        <w:rPr>
          <w:rFonts w:ascii="Times New Roman" w:hAnsi="Times New Roman"/>
          <w:color w:val="000000" w:themeColor="text1"/>
          <w:sz w:val="24"/>
          <w:szCs w:val="24"/>
        </w:rPr>
        <w:t xml:space="preserve"> discapacidad y</w:t>
      </w:r>
      <w:r w:rsidR="003D6F63" w:rsidRPr="00495A0D">
        <w:rPr>
          <w:rFonts w:ascii="Times New Roman" w:hAnsi="Times New Roman"/>
          <w:color w:val="000000" w:themeColor="text1"/>
          <w:sz w:val="24"/>
          <w:szCs w:val="24"/>
        </w:rPr>
        <w:t xml:space="preserve"> muerte en el futuro y que</w:t>
      </w:r>
      <w:r w:rsidRPr="00495A0D">
        <w:rPr>
          <w:rFonts w:ascii="Times New Roman" w:hAnsi="Times New Roman"/>
          <w:color w:val="000000" w:themeColor="text1"/>
          <w:sz w:val="24"/>
          <w:szCs w:val="24"/>
        </w:rPr>
        <w:t xml:space="preserve"> </w:t>
      </w:r>
      <w:r w:rsidR="00150AD2" w:rsidRPr="00495A0D">
        <w:rPr>
          <w:rFonts w:ascii="Times New Roman" w:hAnsi="Times New Roman"/>
          <w:color w:val="000000" w:themeColor="text1"/>
          <w:sz w:val="24"/>
          <w:szCs w:val="24"/>
        </w:rPr>
        <w:t>causen una carga económica cercana a los “3.76 billones de dólares</w:t>
      </w:r>
      <w:r w:rsidR="00D708D0" w:rsidRPr="00495A0D">
        <w:rPr>
          <w:rFonts w:ascii="Times New Roman" w:hAnsi="Times New Roman"/>
          <w:color w:val="000000" w:themeColor="text1"/>
          <w:sz w:val="24"/>
          <w:szCs w:val="24"/>
        </w:rPr>
        <w:t>”</w:t>
      </w:r>
      <w:r w:rsidR="00150AD2" w:rsidRPr="00495A0D">
        <w:rPr>
          <w:rFonts w:ascii="Times New Roman" w:hAnsi="Times New Roman"/>
          <w:color w:val="000000" w:themeColor="text1"/>
          <w:sz w:val="24"/>
          <w:szCs w:val="24"/>
        </w:rPr>
        <w:t xml:space="preserve"> durante el periodo comprendido del año </w:t>
      </w:r>
      <w:r w:rsidR="00D708D0" w:rsidRPr="00495A0D">
        <w:rPr>
          <w:rFonts w:ascii="Times New Roman" w:hAnsi="Times New Roman"/>
          <w:color w:val="000000" w:themeColor="text1"/>
          <w:sz w:val="24"/>
          <w:szCs w:val="24"/>
        </w:rPr>
        <w:t>“</w:t>
      </w:r>
      <w:r w:rsidR="00150AD2" w:rsidRPr="00495A0D">
        <w:rPr>
          <w:rFonts w:ascii="Times New Roman" w:hAnsi="Times New Roman"/>
          <w:color w:val="000000" w:themeColor="text1"/>
          <w:sz w:val="24"/>
          <w:szCs w:val="24"/>
        </w:rPr>
        <w:t>2011 al 2025 en países de ingresos bajos y medianos</w:t>
      </w:r>
      <w:r w:rsidR="00D708D0" w:rsidRPr="00495A0D">
        <w:rPr>
          <w:rFonts w:ascii="Times New Roman" w:hAnsi="Times New Roman"/>
          <w:color w:val="000000" w:themeColor="text1"/>
          <w:sz w:val="24"/>
          <w:szCs w:val="24"/>
        </w:rPr>
        <w:t>”</w:t>
      </w:r>
      <w:r w:rsidR="00150AD2" w:rsidRPr="00495A0D">
        <w:rPr>
          <w:rFonts w:ascii="Times New Roman" w:hAnsi="Times New Roman"/>
          <w:color w:val="000000" w:themeColor="text1"/>
          <w:sz w:val="24"/>
          <w:szCs w:val="24"/>
        </w:rPr>
        <w:t xml:space="preserve"> </w:t>
      </w:r>
      <w:r w:rsidR="00150AD2" w:rsidRPr="00495A0D">
        <w:rPr>
          <w:rFonts w:ascii="Times New Roman" w:hAnsi="Times New Roman"/>
          <w:noProof/>
          <w:color w:val="000000" w:themeColor="text1"/>
          <w:sz w:val="24"/>
          <w:szCs w:val="24"/>
        </w:rPr>
        <w:t>(OMS, 2013, p.14).</w:t>
      </w:r>
    </w:p>
    <w:p w14:paraId="7A622A2A" w14:textId="60E10ADC" w:rsidR="001731E1"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De acuerdo </w:t>
      </w:r>
      <w:r w:rsidR="00D54081" w:rsidRPr="00495A0D">
        <w:rPr>
          <w:rFonts w:ascii="Times New Roman" w:hAnsi="Times New Roman"/>
          <w:color w:val="000000" w:themeColor="text1"/>
          <w:sz w:val="24"/>
          <w:szCs w:val="24"/>
        </w:rPr>
        <w:t xml:space="preserve">con el </w:t>
      </w:r>
      <w:r w:rsidRPr="00495A0D">
        <w:rPr>
          <w:rFonts w:ascii="Times New Roman" w:hAnsi="Times New Roman"/>
          <w:color w:val="000000" w:themeColor="text1"/>
          <w:sz w:val="24"/>
          <w:szCs w:val="24"/>
        </w:rPr>
        <w:t>estudio</w:t>
      </w:r>
      <w:r w:rsidR="005B3301" w:rsidRPr="00495A0D">
        <w:rPr>
          <w:rFonts w:ascii="Times New Roman" w:hAnsi="Times New Roman"/>
          <w:i/>
          <w:color w:val="000000" w:themeColor="text1"/>
          <w:sz w:val="24"/>
          <w:szCs w:val="24"/>
        </w:rPr>
        <w:t xml:space="preserve"> </w:t>
      </w:r>
      <w:r w:rsidR="00D54081" w:rsidRPr="00495A0D">
        <w:rPr>
          <w:rFonts w:ascii="Times New Roman" w:hAnsi="Times New Roman"/>
          <w:i/>
          <w:color w:val="000000" w:themeColor="text1"/>
          <w:sz w:val="24"/>
          <w:szCs w:val="24"/>
        </w:rPr>
        <w:t xml:space="preserve">The </w:t>
      </w:r>
      <w:r w:rsidR="005B3301" w:rsidRPr="00495A0D">
        <w:rPr>
          <w:rFonts w:ascii="Times New Roman" w:hAnsi="Times New Roman"/>
          <w:i/>
          <w:color w:val="000000" w:themeColor="text1"/>
          <w:sz w:val="24"/>
          <w:szCs w:val="24"/>
        </w:rPr>
        <w:t>Global Burden of Disease Study 2010</w:t>
      </w:r>
      <w:r w:rsidR="009863B3"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avalado por el Banco Mundial </w:t>
      </w:r>
      <w:r w:rsidR="00D54081" w:rsidRPr="00495A0D">
        <w:rPr>
          <w:rFonts w:ascii="Times New Roman" w:hAnsi="Times New Roman"/>
          <w:color w:val="000000" w:themeColor="text1"/>
          <w:sz w:val="24"/>
          <w:szCs w:val="24"/>
        </w:rPr>
        <w:t xml:space="preserve">(BM) </w:t>
      </w:r>
      <w:r w:rsidRPr="00495A0D">
        <w:rPr>
          <w:rFonts w:ascii="Times New Roman" w:hAnsi="Times New Roman"/>
          <w:color w:val="000000" w:themeColor="text1"/>
          <w:sz w:val="24"/>
          <w:szCs w:val="24"/>
        </w:rPr>
        <w:t xml:space="preserve">y la </w:t>
      </w:r>
      <w:r w:rsidR="00D54081" w:rsidRPr="00495A0D">
        <w:rPr>
          <w:rFonts w:ascii="Times New Roman" w:hAnsi="Times New Roman"/>
          <w:color w:val="000000" w:themeColor="text1"/>
          <w:sz w:val="24"/>
          <w:szCs w:val="24"/>
        </w:rPr>
        <w:t>OMS</w:t>
      </w:r>
      <w:r w:rsidR="009863B3" w:rsidRPr="00495A0D">
        <w:rPr>
          <w:rFonts w:ascii="Times New Roman" w:hAnsi="Times New Roman"/>
          <w:color w:val="000000" w:themeColor="text1"/>
          <w:sz w:val="24"/>
          <w:szCs w:val="24"/>
        </w:rPr>
        <w:t>, mostró que</w:t>
      </w:r>
      <w:r w:rsidRPr="00495A0D">
        <w:rPr>
          <w:rFonts w:ascii="Times New Roman" w:hAnsi="Times New Roman"/>
          <w:color w:val="000000" w:themeColor="text1"/>
          <w:sz w:val="24"/>
          <w:szCs w:val="24"/>
        </w:rPr>
        <w:t xml:space="preserve"> la </w:t>
      </w:r>
      <w:r w:rsidR="00B24A93" w:rsidRPr="00495A0D">
        <w:rPr>
          <w:rFonts w:ascii="Times New Roman" w:hAnsi="Times New Roman"/>
          <w:color w:val="000000" w:themeColor="text1"/>
          <w:sz w:val="24"/>
          <w:szCs w:val="24"/>
        </w:rPr>
        <w:t>“cardiopatía</w:t>
      </w:r>
      <w:r w:rsidR="009863B3" w:rsidRPr="00495A0D">
        <w:rPr>
          <w:rFonts w:ascii="Times New Roman" w:hAnsi="Times New Roman"/>
          <w:color w:val="000000" w:themeColor="text1"/>
          <w:sz w:val="24"/>
          <w:szCs w:val="24"/>
        </w:rPr>
        <w:t xml:space="preserve"> isquémica </w:t>
      </w:r>
      <w:r w:rsidR="00B24A93" w:rsidRPr="00495A0D">
        <w:rPr>
          <w:rFonts w:ascii="Times New Roman" w:hAnsi="Times New Roman"/>
          <w:color w:val="000000" w:themeColor="text1"/>
          <w:sz w:val="24"/>
          <w:szCs w:val="24"/>
        </w:rPr>
        <w:t>y el accidente cerebrovascular” fueron las principales enfermedades que mataron cerca de “12.9 millones de personas</w:t>
      </w:r>
      <w:r w:rsidR="003A25EB" w:rsidRPr="00495A0D">
        <w:rPr>
          <w:rFonts w:ascii="Times New Roman" w:hAnsi="Times New Roman"/>
          <w:color w:val="000000" w:themeColor="text1"/>
          <w:sz w:val="24"/>
          <w:szCs w:val="24"/>
        </w:rPr>
        <w:t>”</w:t>
      </w:r>
      <w:r w:rsidR="00B24A93" w:rsidRPr="00495A0D">
        <w:rPr>
          <w:rFonts w:ascii="Times New Roman" w:hAnsi="Times New Roman"/>
          <w:color w:val="000000" w:themeColor="text1"/>
          <w:sz w:val="24"/>
          <w:szCs w:val="24"/>
        </w:rPr>
        <w:t xml:space="preserve"> en edades comprendidas de los </w:t>
      </w:r>
      <w:r w:rsidR="003A25EB" w:rsidRPr="00495A0D">
        <w:rPr>
          <w:rFonts w:ascii="Times New Roman" w:hAnsi="Times New Roman"/>
          <w:color w:val="000000" w:themeColor="text1"/>
          <w:sz w:val="24"/>
          <w:szCs w:val="24"/>
        </w:rPr>
        <w:t>“</w:t>
      </w:r>
      <w:r w:rsidR="00B24A93" w:rsidRPr="00495A0D">
        <w:rPr>
          <w:rFonts w:ascii="Times New Roman" w:hAnsi="Times New Roman"/>
          <w:color w:val="000000" w:themeColor="text1"/>
          <w:sz w:val="24"/>
          <w:szCs w:val="24"/>
        </w:rPr>
        <w:t>15 a 49 años de edad en todo el mundo durante el año 2010</w:t>
      </w:r>
      <w:r w:rsidR="003A25EB" w:rsidRPr="00495A0D">
        <w:rPr>
          <w:rFonts w:ascii="Times New Roman" w:hAnsi="Times New Roman"/>
          <w:color w:val="000000" w:themeColor="text1"/>
          <w:sz w:val="24"/>
          <w:szCs w:val="24"/>
        </w:rPr>
        <w:t>” (</w:t>
      </w:r>
      <w:r w:rsidR="00DD4FAC" w:rsidRPr="00495A0D">
        <w:rPr>
          <w:rFonts w:ascii="Times New Roman" w:hAnsi="Times New Roman"/>
          <w:color w:val="000000" w:themeColor="text1"/>
          <w:sz w:val="24"/>
          <w:szCs w:val="24"/>
        </w:rPr>
        <w:t xml:space="preserve">Lozano </w:t>
      </w:r>
      <w:r w:rsidR="00DD4FAC" w:rsidRPr="00495A0D">
        <w:rPr>
          <w:rFonts w:ascii="Times New Roman" w:hAnsi="Times New Roman"/>
          <w:i/>
          <w:color w:val="000000" w:themeColor="text1"/>
          <w:sz w:val="24"/>
          <w:szCs w:val="24"/>
        </w:rPr>
        <w:t>et al</w:t>
      </w:r>
      <w:r w:rsidR="00D54081" w:rsidRPr="00495A0D">
        <w:rPr>
          <w:rFonts w:ascii="Times New Roman" w:hAnsi="Times New Roman"/>
          <w:i/>
          <w:color w:val="000000" w:themeColor="text1"/>
          <w:sz w:val="24"/>
          <w:szCs w:val="24"/>
        </w:rPr>
        <w:t>.</w:t>
      </w:r>
      <w:r w:rsidR="00DD4FAC" w:rsidRPr="00495A0D">
        <w:rPr>
          <w:rFonts w:ascii="Times New Roman" w:hAnsi="Times New Roman"/>
          <w:color w:val="000000" w:themeColor="text1"/>
          <w:sz w:val="24"/>
          <w:szCs w:val="24"/>
        </w:rPr>
        <w:t>,</w:t>
      </w:r>
      <w:r w:rsidR="00135F96" w:rsidRPr="00495A0D">
        <w:rPr>
          <w:rFonts w:ascii="Times New Roman" w:hAnsi="Times New Roman"/>
          <w:color w:val="000000" w:themeColor="text1"/>
          <w:sz w:val="24"/>
          <w:szCs w:val="24"/>
        </w:rPr>
        <w:t xml:space="preserve"> 2012,</w:t>
      </w:r>
      <w:r w:rsidR="00DD4FAC" w:rsidRPr="00495A0D">
        <w:rPr>
          <w:rFonts w:ascii="Times New Roman" w:hAnsi="Times New Roman"/>
          <w:color w:val="000000" w:themeColor="text1"/>
          <w:sz w:val="24"/>
          <w:szCs w:val="24"/>
        </w:rPr>
        <w:t xml:space="preserve"> </w:t>
      </w:r>
      <w:r w:rsidR="003A25EB" w:rsidRPr="00495A0D">
        <w:rPr>
          <w:rFonts w:ascii="Times New Roman" w:hAnsi="Times New Roman"/>
          <w:color w:val="000000" w:themeColor="text1"/>
          <w:sz w:val="24"/>
          <w:szCs w:val="24"/>
        </w:rPr>
        <w:t>p.</w:t>
      </w:r>
      <w:r w:rsidR="00D54081" w:rsidRPr="00495A0D">
        <w:rPr>
          <w:rFonts w:ascii="Times New Roman" w:hAnsi="Times New Roman"/>
          <w:color w:val="000000" w:themeColor="text1"/>
          <w:sz w:val="24"/>
          <w:szCs w:val="24"/>
        </w:rPr>
        <w:t xml:space="preserve"> </w:t>
      </w:r>
      <w:r w:rsidR="003A25EB" w:rsidRPr="00495A0D">
        <w:rPr>
          <w:rFonts w:ascii="Times New Roman" w:hAnsi="Times New Roman"/>
          <w:color w:val="000000" w:themeColor="text1"/>
          <w:sz w:val="24"/>
          <w:szCs w:val="24"/>
        </w:rPr>
        <w:t>2112)</w:t>
      </w:r>
      <w:r w:rsidR="000D000F"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w:t>
      </w:r>
    </w:p>
    <w:p w14:paraId="22F894BB" w14:textId="472FC84B" w:rsidR="001731E1"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En México, el Instituto Nacional de Estadística, Geografía e Infor</w:t>
      </w:r>
      <w:r w:rsidR="000E3948" w:rsidRPr="00495A0D">
        <w:rPr>
          <w:rFonts w:ascii="Times New Roman" w:hAnsi="Times New Roman"/>
          <w:color w:val="000000" w:themeColor="text1"/>
          <w:sz w:val="24"/>
          <w:szCs w:val="24"/>
        </w:rPr>
        <w:t xml:space="preserve">mática </w:t>
      </w:r>
      <w:r w:rsidR="00F81BDC" w:rsidRPr="00495A0D">
        <w:rPr>
          <w:rFonts w:ascii="Times New Roman" w:hAnsi="Times New Roman"/>
          <w:color w:val="000000" w:themeColor="text1"/>
          <w:sz w:val="24"/>
          <w:szCs w:val="24"/>
        </w:rPr>
        <w:t>(</w:t>
      </w:r>
      <w:r w:rsidR="00D54081" w:rsidRPr="00495A0D">
        <w:rPr>
          <w:rFonts w:ascii="Times New Roman" w:hAnsi="Times New Roman"/>
          <w:color w:val="000000" w:themeColor="text1"/>
          <w:sz w:val="24"/>
          <w:szCs w:val="24"/>
        </w:rPr>
        <w:t xml:space="preserve">INEGI, </w:t>
      </w:r>
      <w:r w:rsidR="00F81BDC" w:rsidRPr="00495A0D">
        <w:rPr>
          <w:rFonts w:ascii="Times New Roman" w:hAnsi="Times New Roman"/>
          <w:color w:val="000000" w:themeColor="text1"/>
          <w:sz w:val="24"/>
          <w:szCs w:val="24"/>
        </w:rPr>
        <w:t xml:space="preserve">2015), </w:t>
      </w:r>
      <w:r w:rsidRPr="00495A0D">
        <w:rPr>
          <w:rFonts w:ascii="Times New Roman" w:hAnsi="Times New Roman"/>
          <w:color w:val="000000" w:themeColor="text1"/>
          <w:sz w:val="24"/>
          <w:szCs w:val="24"/>
        </w:rPr>
        <w:t xml:space="preserve">reportó </w:t>
      </w:r>
      <w:r w:rsidR="00D54081" w:rsidRPr="00495A0D">
        <w:rPr>
          <w:rFonts w:ascii="Times New Roman" w:hAnsi="Times New Roman"/>
          <w:color w:val="000000" w:themeColor="text1"/>
          <w:sz w:val="24"/>
          <w:szCs w:val="24"/>
        </w:rPr>
        <w:t xml:space="preserve">en el año 2014 </w:t>
      </w:r>
      <w:r w:rsidRPr="00495A0D">
        <w:rPr>
          <w:rFonts w:ascii="Times New Roman" w:hAnsi="Times New Roman"/>
          <w:color w:val="000000" w:themeColor="text1"/>
          <w:sz w:val="24"/>
          <w:szCs w:val="24"/>
        </w:rPr>
        <w:t xml:space="preserve">que las </w:t>
      </w:r>
      <w:r w:rsidR="001C4082" w:rsidRPr="00495A0D">
        <w:rPr>
          <w:rFonts w:ascii="Times New Roman" w:hAnsi="Times New Roman"/>
          <w:color w:val="000000" w:themeColor="text1"/>
          <w:sz w:val="24"/>
          <w:szCs w:val="24"/>
        </w:rPr>
        <w:t>enfermedades del corazón originaron</w:t>
      </w:r>
      <w:r w:rsidR="000E3948" w:rsidRPr="00495A0D">
        <w:rPr>
          <w:rFonts w:ascii="Times New Roman" w:hAnsi="Times New Roman"/>
          <w:color w:val="000000" w:themeColor="text1"/>
          <w:sz w:val="24"/>
          <w:szCs w:val="24"/>
        </w:rPr>
        <w:t xml:space="preserve"> 121</w:t>
      </w:r>
      <w:r w:rsidR="00D54081" w:rsidRPr="00495A0D">
        <w:rPr>
          <w:rFonts w:ascii="Times New Roman" w:hAnsi="Times New Roman"/>
          <w:color w:val="000000" w:themeColor="text1"/>
          <w:sz w:val="24"/>
          <w:szCs w:val="24"/>
        </w:rPr>
        <w:t xml:space="preserve"> mil</w:t>
      </w:r>
      <w:r w:rsidR="000E3948" w:rsidRPr="00495A0D">
        <w:rPr>
          <w:rFonts w:ascii="Times New Roman" w:hAnsi="Times New Roman"/>
          <w:color w:val="000000" w:themeColor="text1"/>
          <w:sz w:val="24"/>
          <w:szCs w:val="24"/>
        </w:rPr>
        <w:t xml:space="preserve"> 427</w:t>
      </w:r>
      <w:r w:rsidRPr="00495A0D">
        <w:rPr>
          <w:rFonts w:ascii="Times New Roman" w:hAnsi="Times New Roman"/>
          <w:color w:val="000000" w:themeColor="text1"/>
          <w:sz w:val="24"/>
          <w:szCs w:val="24"/>
        </w:rPr>
        <w:t xml:space="preserve"> defunci</w:t>
      </w:r>
      <w:r w:rsidR="000E3948" w:rsidRPr="00495A0D">
        <w:rPr>
          <w:rFonts w:ascii="Times New Roman" w:hAnsi="Times New Roman"/>
          <w:color w:val="000000" w:themeColor="text1"/>
          <w:sz w:val="24"/>
          <w:szCs w:val="24"/>
        </w:rPr>
        <w:t>ones</w:t>
      </w:r>
      <w:r w:rsidRPr="00495A0D">
        <w:rPr>
          <w:rFonts w:ascii="Times New Roman" w:hAnsi="Times New Roman"/>
          <w:color w:val="000000" w:themeColor="text1"/>
          <w:sz w:val="24"/>
          <w:szCs w:val="24"/>
        </w:rPr>
        <w:t xml:space="preserve"> </w:t>
      </w:r>
      <w:r w:rsidR="00D54081"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ocupando el primer lugar en </w:t>
      </w:r>
      <w:r w:rsidR="009863B3" w:rsidRPr="00495A0D">
        <w:rPr>
          <w:rFonts w:ascii="Times New Roman" w:hAnsi="Times New Roman"/>
          <w:color w:val="000000" w:themeColor="text1"/>
          <w:sz w:val="24"/>
          <w:szCs w:val="24"/>
        </w:rPr>
        <w:t>la tabla de mortalidad gen</w:t>
      </w:r>
      <w:r w:rsidR="00A85871" w:rsidRPr="00495A0D">
        <w:rPr>
          <w:rFonts w:ascii="Times New Roman" w:hAnsi="Times New Roman"/>
          <w:color w:val="000000" w:themeColor="text1"/>
          <w:sz w:val="24"/>
          <w:szCs w:val="24"/>
        </w:rPr>
        <w:t>eral</w:t>
      </w:r>
      <w:r w:rsidR="00D54081" w:rsidRPr="00495A0D">
        <w:rPr>
          <w:rFonts w:ascii="Times New Roman" w:hAnsi="Times New Roman"/>
          <w:color w:val="000000" w:themeColor="text1"/>
          <w:sz w:val="24"/>
          <w:szCs w:val="24"/>
        </w:rPr>
        <w:t>—,</w:t>
      </w:r>
      <w:r w:rsidR="00A85871" w:rsidRPr="00495A0D">
        <w:rPr>
          <w:rFonts w:ascii="Times New Roman" w:hAnsi="Times New Roman"/>
          <w:color w:val="000000" w:themeColor="text1"/>
          <w:sz w:val="24"/>
          <w:szCs w:val="24"/>
        </w:rPr>
        <w:t xml:space="preserve"> mientras que</w:t>
      </w:r>
      <w:r w:rsidRPr="00495A0D">
        <w:rPr>
          <w:rFonts w:ascii="Times New Roman" w:hAnsi="Times New Roman"/>
          <w:color w:val="000000" w:themeColor="text1"/>
          <w:sz w:val="24"/>
          <w:szCs w:val="24"/>
        </w:rPr>
        <w:t xml:space="preserve"> las enfermedades </w:t>
      </w:r>
      <w:r w:rsidR="000E3948" w:rsidRPr="00495A0D">
        <w:rPr>
          <w:rFonts w:ascii="Times New Roman" w:hAnsi="Times New Roman"/>
          <w:color w:val="000000" w:themeColor="text1"/>
          <w:sz w:val="24"/>
          <w:szCs w:val="24"/>
        </w:rPr>
        <w:t>cerebro</w:t>
      </w:r>
      <w:r w:rsidR="001C4082" w:rsidRPr="00495A0D">
        <w:rPr>
          <w:rFonts w:ascii="Times New Roman" w:hAnsi="Times New Roman"/>
          <w:color w:val="000000" w:themeColor="text1"/>
          <w:sz w:val="24"/>
          <w:szCs w:val="24"/>
        </w:rPr>
        <w:t>vasculares causaron</w:t>
      </w:r>
      <w:r w:rsidR="000E3948" w:rsidRPr="00495A0D">
        <w:rPr>
          <w:rFonts w:ascii="Times New Roman" w:hAnsi="Times New Roman"/>
          <w:color w:val="000000" w:themeColor="text1"/>
          <w:sz w:val="24"/>
          <w:szCs w:val="24"/>
        </w:rPr>
        <w:t xml:space="preserve"> 33 </w:t>
      </w:r>
      <w:r w:rsidR="00D54081" w:rsidRPr="00495A0D">
        <w:rPr>
          <w:rFonts w:ascii="Times New Roman" w:hAnsi="Times New Roman"/>
          <w:color w:val="000000" w:themeColor="text1"/>
          <w:sz w:val="24"/>
          <w:szCs w:val="24"/>
        </w:rPr>
        <w:t xml:space="preserve">mil </w:t>
      </w:r>
      <w:r w:rsidR="000E3948" w:rsidRPr="00495A0D">
        <w:rPr>
          <w:rFonts w:ascii="Times New Roman" w:hAnsi="Times New Roman"/>
          <w:color w:val="000000" w:themeColor="text1"/>
          <w:sz w:val="24"/>
          <w:szCs w:val="24"/>
        </w:rPr>
        <w:t>166 defunciones, ocupando el sex</w:t>
      </w:r>
      <w:r w:rsidR="00A85871" w:rsidRPr="00495A0D">
        <w:rPr>
          <w:rFonts w:ascii="Times New Roman" w:hAnsi="Times New Roman"/>
          <w:color w:val="000000" w:themeColor="text1"/>
          <w:sz w:val="24"/>
          <w:szCs w:val="24"/>
        </w:rPr>
        <w:t>to lugar en la tabla mencionada</w:t>
      </w:r>
      <w:r w:rsidRPr="00495A0D">
        <w:rPr>
          <w:rFonts w:ascii="Times New Roman" w:hAnsi="Times New Roman"/>
          <w:color w:val="000000" w:themeColor="text1"/>
          <w:sz w:val="24"/>
          <w:szCs w:val="24"/>
        </w:rPr>
        <w:t>.</w:t>
      </w:r>
    </w:p>
    <w:p w14:paraId="356E8CFF" w14:textId="091246B7" w:rsidR="001731E1"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En</w:t>
      </w:r>
      <w:r w:rsidR="005071DB" w:rsidRPr="00495A0D">
        <w:rPr>
          <w:rFonts w:ascii="Times New Roman" w:hAnsi="Times New Roman"/>
          <w:color w:val="000000" w:themeColor="text1"/>
          <w:sz w:val="24"/>
          <w:szCs w:val="24"/>
        </w:rPr>
        <w:t xml:space="preserve"> el caso de</w:t>
      </w:r>
      <w:r w:rsidRPr="00495A0D">
        <w:rPr>
          <w:rFonts w:ascii="Times New Roman" w:hAnsi="Times New Roman"/>
          <w:color w:val="000000" w:themeColor="text1"/>
          <w:sz w:val="24"/>
          <w:szCs w:val="24"/>
        </w:rPr>
        <w:t xml:space="preserve"> la Ciudad de México, el </w:t>
      </w:r>
      <w:r w:rsidR="00D54081" w:rsidRPr="00495A0D">
        <w:rPr>
          <w:rFonts w:ascii="Times New Roman" w:hAnsi="Times New Roman"/>
          <w:color w:val="000000" w:themeColor="text1"/>
          <w:sz w:val="24"/>
          <w:szCs w:val="24"/>
        </w:rPr>
        <w:t>INEGI</w:t>
      </w:r>
      <w:r w:rsidR="00B80CE6" w:rsidRPr="00495A0D">
        <w:rPr>
          <w:rFonts w:ascii="Times New Roman" w:hAnsi="Times New Roman"/>
          <w:color w:val="000000" w:themeColor="text1"/>
          <w:sz w:val="24"/>
          <w:szCs w:val="24"/>
        </w:rPr>
        <w:t xml:space="preserve"> (2015)</w:t>
      </w:r>
      <w:r w:rsidR="006D23CF"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w:t>
      </w:r>
      <w:r w:rsidR="00BC1C2E" w:rsidRPr="00495A0D">
        <w:rPr>
          <w:rFonts w:ascii="Times New Roman" w:hAnsi="Times New Roman"/>
          <w:color w:val="000000" w:themeColor="text1"/>
          <w:sz w:val="24"/>
          <w:szCs w:val="24"/>
        </w:rPr>
        <w:t>reportó</w:t>
      </w:r>
      <w:r w:rsidRPr="00495A0D">
        <w:rPr>
          <w:rFonts w:ascii="Times New Roman" w:hAnsi="Times New Roman"/>
          <w:color w:val="000000" w:themeColor="text1"/>
          <w:sz w:val="24"/>
          <w:szCs w:val="24"/>
        </w:rPr>
        <w:t xml:space="preserve"> </w:t>
      </w:r>
      <w:r w:rsidR="00D54081" w:rsidRPr="00495A0D">
        <w:rPr>
          <w:rFonts w:ascii="Times New Roman" w:hAnsi="Times New Roman"/>
          <w:color w:val="000000" w:themeColor="text1"/>
          <w:sz w:val="24"/>
          <w:szCs w:val="24"/>
        </w:rPr>
        <w:t xml:space="preserve">en 2014 </w:t>
      </w:r>
      <w:r w:rsidRPr="00495A0D">
        <w:rPr>
          <w:rFonts w:ascii="Times New Roman" w:hAnsi="Times New Roman"/>
          <w:color w:val="000000" w:themeColor="text1"/>
          <w:sz w:val="24"/>
          <w:szCs w:val="24"/>
        </w:rPr>
        <w:t>13</w:t>
      </w:r>
      <w:r w:rsidR="00D54081" w:rsidRPr="00495A0D">
        <w:rPr>
          <w:rFonts w:ascii="Times New Roman" w:hAnsi="Times New Roman"/>
          <w:color w:val="000000" w:themeColor="text1"/>
          <w:sz w:val="24"/>
          <w:szCs w:val="24"/>
        </w:rPr>
        <w:t xml:space="preserve"> mil</w:t>
      </w:r>
      <w:r w:rsidR="002139F6" w:rsidRPr="00495A0D">
        <w:rPr>
          <w:rFonts w:ascii="Times New Roman" w:hAnsi="Times New Roman"/>
          <w:color w:val="000000" w:themeColor="text1"/>
          <w:sz w:val="24"/>
          <w:szCs w:val="24"/>
        </w:rPr>
        <w:t xml:space="preserve"> 085 defunciones</w:t>
      </w:r>
      <w:r w:rsidR="003B5616" w:rsidRPr="00495A0D">
        <w:rPr>
          <w:rFonts w:ascii="Times New Roman" w:hAnsi="Times New Roman"/>
          <w:color w:val="000000" w:themeColor="text1"/>
          <w:sz w:val="24"/>
          <w:szCs w:val="24"/>
        </w:rPr>
        <w:t xml:space="preserve"> de origen cardíaco</w:t>
      </w:r>
      <w:r w:rsidR="006A4211" w:rsidRPr="00495A0D">
        <w:rPr>
          <w:rFonts w:ascii="Times New Roman" w:hAnsi="Times New Roman"/>
          <w:color w:val="000000" w:themeColor="text1"/>
          <w:sz w:val="24"/>
          <w:szCs w:val="24"/>
        </w:rPr>
        <w:t>, ocupando</w:t>
      </w:r>
      <w:r w:rsidRPr="00495A0D">
        <w:rPr>
          <w:rFonts w:ascii="Times New Roman" w:hAnsi="Times New Roman"/>
          <w:color w:val="000000" w:themeColor="text1"/>
          <w:sz w:val="24"/>
          <w:szCs w:val="24"/>
        </w:rPr>
        <w:t xml:space="preserve"> el primer lugar e</w:t>
      </w:r>
      <w:r w:rsidR="003B5616" w:rsidRPr="00495A0D">
        <w:rPr>
          <w:rFonts w:ascii="Times New Roman" w:hAnsi="Times New Roman"/>
          <w:color w:val="000000" w:themeColor="text1"/>
          <w:sz w:val="24"/>
          <w:szCs w:val="24"/>
        </w:rPr>
        <w:t>n la tabla de mortalidad local</w:t>
      </w:r>
      <w:r w:rsidR="00D54081" w:rsidRPr="00495A0D">
        <w:rPr>
          <w:rFonts w:ascii="Times New Roman" w:hAnsi="Times New Roman"/>
          <w:color w:val="000000" w:themeColor="text1"/>
          <w:sz w:val="24"/>
          <w:szCs w:val="24"/>
        </w:rPr>
        <w:t xml:space="preserve">. En </w:t>
      </w:r>
      <w:r w:rsidR="002A7816" w:rsidRPr="00495A0D">
        <w:rPr>
          <w:rFonts w:ascii="Times New Roman" w:hAnsi="Times New Roman"/>
          <w:color w:val="000000" w:themeColor="text1"/>
          <w:sz w:val="24"/>
          <w:szCs w:val="24"/>
        </w:rPr>
        <w:t>cambio</w:t>
      </w:r>
      <w:r w:rsidR="00D54081"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las enfermedades cer</w:t>
      </w:r>
      <w:r w:rsidR="003B5616" w:rsidRPr="00495A0D">
        <w:rPr>
          <w:rFonts w:ascii="Times New Roman" w:hAnsi="Times New Roman"/>
          <w:color w:val="000000" w:themeColor="text1"/>
          <w:sz w:val="24"/>
          <w:szCs w:val="24"/>
        </w:rPr>
        <w:t>e</w:t>
      </w:r>
      <w:r w:rsidR="00BC1C2E" w:rsidRPr="00495A0D">
        <w:rPr>
          <w:rFonts w:ascii="Times New Roman" w:hAnsi="Times New Roman"/>
          <w:color w:val="000000" w:themeColor="text1"/>
          <w:sz w:val="24"/>
          <w:szCs w:val="24"/>
        </w:rPr>
        <w:t xml:space="preserve">brovasculares </w:t>
      </w:r>
      <w:r w:rsidR="00D54081" w:rsidRPr="00495A0D">
        <w:rPr>
          <w:rFonts w:ascii="Times New Roman" w:hAnsi="Times New Roman"/>
          <w:color w:val="000000" w:themeColor="text1"/>
          <w:sz w:val="24"/>
          <w:szCs w:val="24"/>
        </w:rPr>
        <w:t>provocaron</w:t>
      </w:r>
      <w:r w:rsidR="003B5616" w:rsidRPr="00495A0D">
        <w:rPr>
          <w:rFonts w:ascii="Times New Roman" w:hAnsi="Times New Roman"/>
          <w:color w:val="000000" w:themeColor="text1"/>
          <w:sz w:val="24"/>
          <w:szCs w:val="24"/>
        </w:rPr>
        <w:t xml:space="preserve"> </w:t>
      </w:r>
      <w:r w:rsidR="00D54081" w:rsidRPr="00495A0D">
        <w:rPr>
          <w:rFonts w:ascii="Times New Roman" w:hAnsi="Times New Roman"/>
          <w:color w:val="000000" w:themeColor="text1"/>
          <w:sz w:val="24"/>
          <w:szCs w:val="24"/>
        </w:rPr>
        <w:t xml:space="preserve">tres mil </w:t>
      </w:r>
      <w:r w:rsidR="003B5616" w:rsidRPr="00495A0D">
        <w:rPr>
          <w:rFonts w:ascii="Times New Roman" w:hAnsi="Times New Roman"/>
          <w:color w:val="000000" w:themeColor="text1"/>
          <w:sz w:val="24"/>
          <w:szCs w:val="24"/>
        </w:rPr>
        <w:t>11</w:t>
      </w:r>
      <w:r w:rsidRPr="00495A0D">
        <w:rPr>
          <w:rFonts w:ascii="Times New Roman" w:hAnsi="Times New Roman"/>
          <w:color w:val="000000" w:themeColor="text1"/>
          <w:sz w:val="24"/>
          <w:szCs w:val="24"/>
        </w:rPr>
        <w:t>7 defunci</w:t>
      </w:r>
      <w:r w:rsidR="003B5616" w:rsidRPr="00495A0D">
        <w:rPr>
          <w:rFonts w:ascii="Times New Roman" w:hAnsi="Times New Roman"/>
          <w:color w:val="000000" w:themeColor="text1"/>
          <w:sz w:val="24"/>
          <w:szCs w:val="24"/>
        </w:rPr>
        <w:t>ones</w:t>
      </w:r>
      <w:r w:rsidRPr="00495A0D">
        <w:rPr>
          <w:rFonts w:ascii="Times New Roman" w:hAnsi="Times New Roman"/>
          <w:color w:val="000000" w:themeColor="text1"/>
          <w:sz w:val="24"/>
          <w:szCs w:val="24"/>
        </w:rPr>
        <w:t>, ocupando el cuarto lugar e</w:t>
      </w:r>
      <w:r w:rsidR="002A7816" w:rsidRPr="00495A0D">
        <w:rPr>
          <w:rFonts w:ascii="Times New Roman" w:hAnsi="Times New Roman"/>
          <w:color w:val="000000" w:themeColor="text1"/>
          <w:sz w:val="24"/>
          <w:szCs w:val="24"/>
        </w:rPr>
        <w:t>n la lista</w:t>
      </w:r>
      <w:r w:rsidR="003B5616" w:rsidRPr="00495A0D">
        <w:rPr>
          <w:rFonts w:ascii="Times New Roman" w:hAnsi="Times New Roman"/>
          <w:color w:val="000000" w:themeColor="text1"/>
          <w:sz w:val="24"/>
          <w:szCs w:val="24"/>
        </w:rPr>
        <w:t xml:space="preserve"> de mortalidad local</w:t>
      </w:r>
      <w:r w:rsidRPr="00495A0D">
        <w:rPr>
          <w:rFonts w:ascii="Times New Roman" w:hAnsi="Times New Roman"/>
          <w:color w:val="000000" w:themeColor="text1"/>
          <w:sz w:val="24"/>
          <w:szCs w:val="24"/>
        </w:rPr>
        <w:t>.</w:t>
      </w:r>
    </w:p>
    <w:p w14:paraId="6D23DBEA" w14:textId="4BAA7802" w:rsidR="001731E1" w:rsidRPr="00495A0D" w:rsidRDefault="00D5408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Los especialistas </w:t>
      </w:r>
      <w:r w:rsidR="00B47BEE" w:rsidRPr="00495A0D">
        <w:rPr>
          <w:rFonts w:ascii="Times New Roman" w:hAnsi="Times New Roman"/>
          <w:color w:val="000000" w:themeColor="text1"/>
          <w:sz w:val="24"/>
          <w:szCs w:val="24"/>
        </w:rPr>
        <w:t>en cardiología</w:t>
      </w:r>
      <w:r w:rsidR="00E43916" w:rsidRPr="00495A0D">
        <w:rPr>
          <w:rFonts w:ascii="Times New Roman" w:hAnsi="Times New Roman"/>
          <w:color w:val="000000" w:themeColor="text1"/>
          <w:sz w:val="24"/>
          <w:szCs w:val="24"/>
        </w:rPr>
        <w:t xml:space="preserve"> (Guisado, Crisobo </w:t>
      </w:r>
      <w:r w:rsidRPr="00495A0D">
        <w:rPr>
          <w:rFonts w:ascii="Times New Roman" w:hAnsi="Times New Roman"/>
          <w:color w:val="000000" w:themeColor="text1"/>
          <w:sz w:val="24"/>
          <w:szCs w:val="24"/>
        </w:rPr>
        <w:t xml:space="preserve">y </w:t>
      </w:r>
      <w:r w:rsidR="00E43916" w:rsidRPr="00495A0D">
        <w:rPr>
          <w:rFonts w:ascii="Times New Roman" w:hAnsi="Times New Roman"/>
          <w:color w:val="000000" w:themeColor="text1"/>
          <w:sz w:val="24"/>
          <w:szCs w:val="24"/>
        </w:rPr>
        <w:t>Barón Esquivias, 2012, p.</w:t>
      </w:r>
      <w:r w:rsidRPr="00495A0D">
        <w:rPr>
          <w:rFonts w:ascii="Times New Roman" w:hAnsi="Times New Roman"/>
          <w:color w:val="000000" w:themeColor="text1"/>
          <w:sz w:val="24"/>
          <w:szCs w:val="24"/>
        </w:rPr>
        <w:t xml:space="preserve"> </w:t>
      </w:r>
      <w:r w:rsidR="00E43916" w:rsidRPr="00495A0D">
        <w:rPr>
          <w:rFonts w:ascii="Times New Roman" w:hAnsi="Times New Roman"/>
          <w:color w:val="000000" w:themeColor="text1"/>
          <w:sz w:val="24"/>
          <w:szCs w:val="24"/>
        </w:rPr>
        <w:t xml:space="preserve">1) </w:t>
      </w:r>
      <w:r w:rsidR="001731E1" w:rsidRPr="00495A0D">
        <w:rPr>
          <w:rFonts w:ascii="Times New Roman" w:hAnsi="Times New Roman"/>
          <w:color w:val="000000" w:themeColor="text1"/>
          <w:sz w:val="24"/>
          <w:szCs w:val="24"/>
        </w:rPr>
        <w:t>mencionan que el abordaje de las enfermedades cardiovasculares se puede dar a partir de dos enfoques: prevención primaria y prevención secundaria. La prevención primaria</w:t>
      </w:r>
      <w:r w:rsidR="00703F4F" w:rsidRPr="00495A0D">
        <w:rPr>
          <w:rFonts w:ascii="Times New Roman" w:hAnsi="Times New Roman"/>
          <w:color w:val="000000" w:themeColor="text1"/>
          <w:sz w:val="24"/>
          <w:szCs w:val="24"/>
        </w:rPr>
        <w:t xml:space="preserve"> tiene como</w:t>
      </w:r>
      <w:r w:rsidR="003B52B7" w:rsidRPr="00495A0D">
        <w:rPr>
          <w:rFonts w:ascii="Times New Roman" w:hAnsi="Times New Roman"/>
          <w:color w:val="000000" w:themeColor="text1"/>
          <w:sz w:val="24"/>
          <w:szCs w:val="24"/>
        </w:rPr>
        <w:t xml:space="preserve"> objetivo prevenir </w:t>
      </w:r>
      <w:r w:rsidR="001731E1" w:rsidRPr="00495A0D">
        <w:rPr>
          <w:rFonts w:ascii="Times New Roman" w:hAnsi="Times New Roman"/>
          <w:color w:val="000000" w:themeColor="text1"/>
          <w:sz w:val="24"/>
          <w:szCs w:val="24"/>
        </w:rPr>
        <w:t>el desarrollo de</w:t>
      </w:r>
      <w:r w:rsidR="003B52B7" w:rsidRPr="00495A0D">
        <w:rPr>
          <w:rFonts w:ascii="Times New Roman" w:hAnsi="Times New Roman"/>
          <w:color w:val="000000" w:themeColor="text1"/>
          <w:sz w:val="24"/>
          <w:szCs w:val="24"/>
        </w:rPr>
        <w:t xml:space="preserve"> la</w:t>
      </w:r>
      <w:r w:rsidR="001731E1" w:rsidRPr="00495A0D">
        <w:rPr>
          <w:rFonts w:ascii="Times New Roman" w:hAnsi="Times New Roman"/>
          <w:color w:val="000000" w:themeColor="text1"/>
          <w:sz w:val="24"/>
          <w:szCs w:val="24"/>
        </w:rPr>
        <w:t xml:space="preserve"> enfermedad cardiovascular</w:t>
      </w:r>
      <w:r w:rsidR="00DC1680" w:rsidRPr="00495A0D">
        <w:rPr>
          <w:rFonts w:ascii="Times New Roman" w:hAnsi="Times New Roman"/>
          <w:color w:val="000000" w:themeColor="text1"/>
          <w:sz w:val="24"/>
          <w:szCs w:val="24"/>
        </w:rPr>
        <w:t xml:space="preserve"> en sujetos sanos</w:t>
      </w:r>
      <w:r w:rsidRPr="00495A0D">
        <w:rPr>
          <w:rFonts w:ascii="Times New Roman" w:hAnsi="Times New Roman"/>
          <w:color w:val="000000" w:themeColor="text1"/>
          <w:sz w:val="24"/>
          <w:szCs w:val="24"/>
        </w:rPr>
        <w:t xml:space="preserve">; </w:t>
      </w:r>
      <w:r w:rsidR="001731E1" w:rsidRPr="00495A0D">
        <w:rPr>
          <w:rFonts w:ascii="Times New Roman" w:hAnsi="Times New Roman"/>
          <w:color w:val="000000" w:themeColor="text1"/>
          <w:sz w:val="24"/>
          <w:szCs w:val="24"/>
        </w:rPr>
        <w:t xml:space="preserve">la </w:t>
      </w:r>
      <w:r w:rsidR="001731E1" w:rsidRPr="00495A0D">
        <w:rPr>
          <w:rFonts w:ascii="Times New Roman" w:hAnsi="Times New Roman"/>
          <w:color w:val="000000" w:themeColor="text1"/>
          <w:sz w:val="24"/>
          <w:szCs w:val="24"/>
        </w:rPr>
        <w:lastRenderedPageBreak/>
        <w:t>prevención secundar</w:t>
      </w:r>
      <w:r w:rsidR="00703F4F" w:rsidRPr="00495A0D">
        <w:rPr>
          <w:rFonts w:ascii="Times New Roman" w:hAnsi="Times New Roman"/>
          <w:color w:val="000000" w:themeColor="text1"/>
          <w:sz w:val="24"/>
          <w:szCs w:val="24"/>
        </w:rPr>
        <w:t xml:space="preserve">ia </w:t>
      </w:r>
      <w:r w:rsidRPr="00495A0D">
        <w:rPr>
          <w:rFonts w:ascii="Times New Roman" w:hAnsi="Times New Roman"/>
          <w:color w:val="000000" w:themeColor="text1"/>
          <w:sz w:val="24"/>
          <w:szCs w:val="24"/>
        </w:rPr>
        <w:t>busca</w:t>
      </w:r>
      <w:r w:rsidR="001731E1" w:rsidRPr="00495A0D">
        <w:rPr>
          <w:rFonts w:ascii="Times New Roman" w:hAnsi="Times New Roman"/>
          <w:color w:val="000000" w:themeColor="text1"/>
          <w:sz w:val="24"/>
          <w:szCs w:val="24"/>
        </w:rPr>
        <w:t xml:space="preserve"> prevenir las complicaciones derivadas de la aparición de la enfermedad.</w:t>
      </w:r>
    </w:p>
    <w:p w14:paraId="13B89294" w14:textId="1F58F6E6" w:rsidR="001731E1" w:rsidRPr="00495A0D" w:rsidRDefault="001731E1" w:rsidP="00495A0D">
      <w:pPr>
        <w:spacing w:after="0" w:line="360" w:lineRule="auto"/>
        <w:ind w:firstLine="708"/>
        <w:jc w:val="both"/>
        <w:rPr>
          <w:rFonts w:ascii="Times New Roman" w:hAnsi="Times New Roman"/>
          <w:color w:val="000000" w:themeColor="text1"/>
          <w:sz w:val="24"/>
          <w:szCs w:val="24"/>
          <w:vertAlign w:val="superscript"/>
        </w:rPr>
      </w:pPr>
      <w:r w:rsidRPr="00495A0D">
        <w:rPr>
          <w:rFonts w:ascii="Times New Roman" w:hAnsi="Times New Roman"/>
          <w:color w:val="000000" w:themeColor="text1"/>
          <w:sz w:val="24"/>
          <w:szCs w:val="24"/>
        </w:rPr>
        <w:t>El primer algoritmo que se propuso para la estimación del riesgo cardiovascular surgió en 1991 con el</w:t>
      </w:r>
      <w:r w:rsidR="00E21DE0" w:rsidRPr="00495A0D">
        <w:rPr>
          <w:rFonts w:ascii="Times New Roman" w:hAnsi="Times New Roman"/>
          <w:color w:val="000000" w:themeColor="text1"/>
          <w:sz w:val="24"/>
          <w:szCs w:val="24"/>
        </w:rPr>
        <w:t xml:space="preserve"> estudio de Framingham</w:t>
      </w:r>
      <w:r w:rsidR="00D54081" w:rsidRPr="00495A0D">
        <w:rPr>
          <w:rFonts w:ascii="Times New Roman" w:hAnsi="Times New Roman"/>
          <w:color w:val="000000" w:themeColor="text1"/>
          <w:sz w:val="24"/>
          <w:szCs w:val="24"/>
        </w:rPr>
        <w:t xml:space="preserve">. Este </w:t>
      </w:r>
      <w:r w:rsidRPr="00495A0D">
        <w:rPr>
          <w:rFonts w:ascii="Times New Roman" w:hAnsi="Times New Roman"/>
          <w:color w:val="000000" w:themeColor="text1"/>
          <w:sz w:val="24"/>
          <w:szCs w:val="24"/>
        </w:rPr>
        <w:t xml:space="preserve">algoritmo predice el riesgo absoluto </w:t>
      </w:r>
      <w:r w:rsidR="005D3A25" w:rsidRPr="00495A0D">
        <w:rPr>
          <w:rFonts w:ascii="Times New Roman" w:hAnsi="Times New Roman"/>
          <w:color w:val="000000" w:themeColor="text1"/>
          <w:sz w:val="24"/>
          <w:szCs w:val="24"/>
        </w:rPr>
        <w:t xml:space="preserve">en un individuo </w:t>
      </w:r>
      <w:r w:rsidRPr="00495A0D">
        <w:rPr>
          <w:rFonts w:ascii="Times New Roman" w:hAnsi="Times New Roman"/>
          <w:color w:val="000000" w:themeColor="text1"/>
          <w:sz w:val="24"/>
          <w:szCs w:val="24"/>
        </w:rPr>
        <w:t>de padecer una enfermedad cardiovascular a 10 años</w:t>
      </w:r>
      <w:r w:rsidR="00D54081"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entre las que destacan</w:t>
      </w:r>
      <w:r w:rsidR="00D54081"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infarto agudo al miocardio, accidente cerebrovascular, enfermedad arterial coronaria y muerte por enfermedad cardiovascular;</w:t>
      </w:r>
      <w:r w:rsidR="00C62C76" w:rsidRPr="00495A0D">
        <w:rPr>
          <w:rFonts w:ascii="Times New Roman" w:hAnsi="Times New Roman"/>
          <w:color w:val="000000" w:themeColor="text1"/>
          <w:sz w:val="24"/>
          <w:szCs w:val="24"/>
        </w:rPr>
        <w:t xml:space="preserve"> (</w:t>
      </w:r>
      <w:r w:rsidR="00AB6D1B" w:rsidRPr="00495A0D">
        <w:rPr>
          <w:rFonts w:ascii="Times New Roman" w:hAnsi="Times New Roman"/>
          <w:color w:val="000000" w:themeColor="text1"/>
          <w:sz w:val="24"/>
          <w:szCs w:val="24"/>
        </w:rPr>
        <w:t>Vega, Guimar</w:t>
      </w:r>
      <w:r w:rsidR="009D30FF">
        <w:rPr>
          <w:rFonts w:ascii="Times New Roman" w:hAnsi="Times New Roman"/>
          <w:color w:val="000000" w:themeColor="text1"/>
          <w:sz w:val="24"/>
          <w:szCs w:val="24"/>
        </w:rPr>
        <w:t>á</w:t>
      </w:r>
      <w:r w:rsidR="00AB6D1B" w:rsidRPr="00495A0D">
        <w:rPr>
          <w:rFonts w:ascii="Times New Roman" w:hAnsi="Times New Roman"/>
          <w:color w:val="000000" w:themeColor="text1"/>
          <w:sz w:val="24"/>
          <w:szCs w:val="24"/>
        </w:rPr>
        <w:t>, Garces, Vega</w:t>
      </w:r>
      <w:r w:rsidR="008A0253" w:rsidRPr="00495A0D">
        <w:rPr>
          <w:rFonts w:ascii="Times New Roman" w:hAnsi="Times New Roman"/>
          <w:color w:val="000000" w:themeColor="text1"/>
          <w:sz w:val="24"/>
          <w:szCs w:val="24"/>
        </w:rPr>
        <w:t xml:space="preserve">, </w:t>
      </w:r>
      <w:r w:rsidR="00D54081" w:rsidRPr="00495A0D">
        <w:rPr>
          <w:rFonts w:ascii="Times New Roman" w:hAnsi="Times New Roman"/>
          <w:color w:val="000000" w:themeColor="text1"/>
          <w:sz w:val="24"/>
          <w:szCs w:val="24"/>
        </w:rPr>
        <w:t xml:space="preserve">y </w:t>
      </w:r>
      <w:r w:rsidR="008A0253" w:rsidRPr="00495A0D">
        <w:rPr>
          <w:rFonts w:ascii="Times New Roman" w:hAnsi="Times New Roman"/>
          <w:color w:val="000000" w:themeColor="text1"/>
          <w:sz w:val="24"/>
          <w:szCs w:val="24"/>
        </w:rPr>
        <w:t>Rivas, 2015, p.</w:t>
      </w:r>
      <w:r w:rsidR="00D54081" w:rsidRPr="00495A0D">
        <w:rPr>
          <w:rFonts w:ascii="Times New Roman" w:hAnsi="Times New Roman"/>
          <w:color w:val="000000" w:themeColor="text1"/>
          <w:sz w:val="24"/>
          <w:szCs w:val="24"/>
        </w:rPr>
        <w:t xml:space="preserve"> </w:t>
      </w:r>
      <w:r w:rsidR="008A0253" w:rsidRPr="00495A0D">
        <w:rPr>
          <w:rFonts w:ascii="Times New Roman" w:hAnsi="Times New Roman"/>
          <w:color w:val="000000" w:themeColor="text1"/>
          <w:sz w:val="24"/>
          <w:szCs w:val="24"/>
        </w:rPr>
        <w:t>208)</w:t>
      </w:r>
      <w:r w:rsidR="00D54081" w:rsidRPr="00495A0D">
        <w:rPr>
          <w:rFonts w:ascii="Times New Roman" w:hAnsi="Times New Roman"/>
          <w:color w:val="000000" w:themeColor="text1"/>
          <w:sz w:val="24"/>
          <w:szCs w:val="24"/>
        </w:rPr>
        <w:t>.</w:t>
      </w:r>
      <w:r w:rsidR="00AB6D1B" w:rsidRPr="00495A0D">
        <w:rPr>
          <w:rFonts w:ascii="Times New Roman" w:hAnsi="Times New Roman"/>
          <w:color w:val="000000" w:themeColor="text1"/>
          <w:sz w:val="24"/>
          <w:szCs w:val="24"/>
        </w:rPr>
        <w:t xml:space="preserve"> </w:t>
      </w:r>
      <w:r w:rsidR="00D54081" w:rsidRPr="00495A0D">
        <w:rPr>
          <w:rFonts w:ascii="Times New Roman" w:hAnsi="Times New Roman"/>
          <w:color w:val="000000" w:themeColor="text1"/>
          <w:sz w:val="24"/>
          <w:szCs w:val="24"/>
        </w:rPr>
        <w:t>A</w:t>
      </w:r>
      <w:r w:rsidRPr="00495A0D">
        <w:rPr>
          <w:rFonts w:ascii="Times New Roman" w:hAnsi="Times New Roman"/>
          <w:color w:val="000000" w:themeColor="text1"/>
          <w:sz w:val="24"/>
          <w:szCs w:val="24"/>
        </w:rPr>
        <w:t>demás</w:t>
      </w:r>
      <w:r w:rsidR="00D54081"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w:t>
      </w:r>
      <w:r w:rsidR="006B64B2"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permite calcular la edad vascular, concepto relativamente nuevo que nos da una estimación del daño </w:t>
      </w:r>
      <w:r w:rsidR="009021CC" w:rsidRPr="00495A0D">
        <w:rPr>
          <w:rFonts w:ascii="Times New Roman" w:hAnsi="Times New Roman"/>
          <w:color w:val="000000" w:themeColor="text1"/>
          <w:sz w:val="24"/>
          <w:szCs w:val="24"/>
        </w:rPr>
        <w:t>vascular</w:t>
      </w:r>
      <w:r w:rsidR="00F0443C" w:rsidRPr="00495A0D">
        <w:rPr>
          <w:rFonts w:ascii="Times New Roman" w:hAnsi="Times New Roman"/>
          <w:color w:val="000000" w:themeColor="text1"/>
          <w:sz w:val="24"/>
          <w:szCs w:val="24"/>
        </w:rPr>
        <w:t xml:space="preserve">” (Mayta </w:t>
      </w:r>
      <w:r w:rsidR="00F0443C" w:rsidRPr="00495A0D">
        <w:rPr>
          <w:rFonts w:ascii="Times New Roman" w:hAnsi="Times New Roman"/>
          <w:i/>
          <w:color w:val="000000" w:themeColor="text1"/>
          <w:sz w:val="24"/>
          <w:szCs w:val="24"/>
        </w:rPr>
        <w:t>et</w:t>
      </w:r>
      <w:r w:rsidR="00BE3541" w:rsidRPr="00495A0D">
        <w:rPr>
          <w:rFonts w:ascii="Times New Roman" w:hAnsi="Times New Roman"/>
          <w:i/>
          <w:color w:val="000000" w:themeColor="text1"/>
          <w:sz w:val="24"/>
          <w:szCs w:val="24"/>
        </w:rPr>
        <w:t xml:space="preserve"> </w:t>
      </w:r>
      <w:r w:rsidR="00F0443C" w:rsidRPr="00495A0D">
        <w:rPr>
          <w:rFonts w:ascii="Times New Roman" w:hAnsi="Times New Roman"/>
          <w:i/>
          <w:color w:val="000000" w:themeColor="text1"/>
          <w:sz w:val="24"/>
          <w:szCs w:val="24"/>
        </w:rPr>
        <w:t>al</w:t>
      </w:r>
      <w:r w:rsidR="00D54081" w:rsidRPr="00495A0D">
        <w:rPr>
          <w:rFonts w:ascii="Times New Roman" w:hAnsi="Times New Roman"/>
          <w:i/>
          <w:color w:val="000000" w:themeColor="text1"/>
          <w:sz w:val="24"/>
          <w:szCs w:val="24"/>
        </w:rPr>
        <w:t>.</w:t>
      </w:r>
      <w:r w:rsidR="00F0443C" w:rsidRPr="00495A0D">
        <w:rPr>
          <w:rFonts w:ascii="Times New Roman" w:hAnsi="Times New Roman"/>
          <w:color w:val="000000" w:themeColor="text1"/>
          <w:sz w:val="24"/>
          <w:szCs w:val="24"/>
        </w:rPr>
        <w:t>, 2015, p.</w:t>
      </w:r>
      <w:r w:rsidR="00D54081" w:rsidRPr="00495A0D">
        <w:rPr>
          <w:rFonts w:ascii="Times New Roman" w:hAnsi="Times New Roman"/>
          <w:color w:val="000000" w:themeColor="text1"/>
          <w:sz w:val="24"/>
          <w:szCs w:val="24"/>
        </w:rPr>
        <w:t xml:space="preserve"> </w:t>
      </w:r>
      <w:r w:rsidR="00F0443C" w:rsidRPr="00495A0D">
        <w:rPr>
          <w:rFonts w:ascii="Times New Roman" w:hAnsi="Times New Roman"/>
          <w:color w:val="000000" w:themeColor="text1"/>
          <w:sz w:val="24"/>
          <w:szCs w:val="24"/>
        </w:rPr>
        <w:t>28)</w:t>
      </w:r>
      <w:r w:rsidRPr="00495A0D">
        <w:rPr>
          <w:rFonts w:ascii="Times New Roman" w:hAnsi="Times New Roman"/>
          <w:color w:val="000000" w:themeColor="text1"/>
          <w:sz w:val="24"/>
          <w:szCs w:val="24"/>
        </w:rPr>
        <w:t>.</w:t>
      </w:r>
    </w:p>
    <w:p w14:paraId="2ADBE0E7" w14:textId="580CD03A" w:rsidR="001731E1"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Debido a ciertas limitaciones que presenta</w:t>
      </w:r>
      <w:r w:rsidR="007A1F41" w:rsidRPr="00495A0D">
        <w:rPr>
          <w:rFonts w:ascii="Times New Roman" w:hAnsi="Times New Roman"/>
          <w:color w:val="000000" w:themeColor="text1"/>
          <w:sz w:val="24"/>
          <w:szCs w:val="24"/>
        </w:rPr>
        <w:t>ba</w:t>
      </w:r>
      <w:r w:rsidRPr="00495A0D">
        <w:rPr>
          <w:rFonts w:ascii="Times New Roman" w:hAnsi="Times New Roman"/>
          <w:color w:val="000000" w:themeColor="text1"/>
          <w:sz w:val="24"/>
          <w:szCs w:val="24"/>
        </w:rPr>
        <w:t xml:space="preserve"> el algoritmo de Framingham</w:t>
      </w:r>
      <w:r w:rsidR="00D54081"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para estimar de manera correcta el riesgo cardiovascular en diversas poblaciones, este algoritmo fue calibrado con la finalidad de disponer de una tabla</w:t>
      </w:r>
      <w:r w:rsidR="00741501" w:rsidRPr="00495A0D">
        <w:rPr>
          <w:rFonts w:ascii="Times New Roman" w:hAnsi="Times New Roman"/>
          <w:color w:val="000000" w:themeColor="text1"/>
          <w:sz w:val="24"/>
          <w:szCs w:val="24"/>
        </w:rPr>
        <w:t xml:space="preserve"> de estimación fiable</w:t>
      </w:r>
      <w:r w:rsidR="00D54081" w:rsidRPr="00495A0D">
        <w:rPr>
          <w:rFonts w:ascii="Times New Roman" w:hAnsi="Times New Roman"/>
          <w:color w:val="000000" w:themeColor="text1"/>
          <w:sz w:val="24"/>
          <w:szCs w:val="24"/>
        </w:rPr>
        <w:t xml:space="preserve">. Surge, </w:t>
      </w:r>
      <w:r w:rsidR="000A4F89" w:rsidRPr="00495A0D">
        <w:rPr>
          <w:rFonts w:ascii="Times New Roman" w:hAnsi="Times New Roman"/>
          <w:color w:val="000000" w:themeColor="text1"/>
          <w:sz w:val="24"/>
          <w:szCs w:val="24"/>
        </w:rPr>
        <w:t>así</w:t>
      </w:r>
      <w:r w:rsidR="00D54081"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la tabla OMS/ISH, </w:t>
      </w:r>
      <w:r w:rsidR="00AD1A44" w:rsidRPr="00495A0D">
        <w:rPr>
          <w:rFonts w:ascii="Times New Roman" w:hAnsi="Times New Roman"/>
          <w:color w:val="000000" w:themeColor="text1"/>
          <w:sz w:val="24"/>
          <w:szCs w:val="24"/>
        </w:rPr>
        <w:t>para la región de las Américas</w:t>
      </w:r>
      <w:r w:rsidR="0022258D" w:rsidRPr="00495A0D">
        <w:rPr>
          <w:rFonts w:ascii="Times New Roman" w:hAnsi="Times New Roman"/>
          <w:color w:val="000000" w:themeColor="text1"/>
          <w:sz w:val="24"/>
          <w:szCs w:val="24"/>
        </w:rPr>
        <w:t xml:space="preserve"> (OMS, 2008, p.</w:t>
      </w:r>
      <w:r w:rsidR="00D54081" w:rsidRPr="00495A0D">
        <w:rPr>
          <w:rFonts w:ascii="Times New Roman" w:hAnsi="Times New Roman"/>
          <w:color w:val="000000" w:themeColor="text1"/>
          <w:sz w:val="24"/>
          <w:szCs w:val="24"/>
        </w:rPr>
        <w:t xml:space="preserve"> </w:t>
      </w:r>
      <w:r w:rsidR="0022258D" w:rsidRPr="00495A0D">
        <w:rPr>
          <w:rFonts w:ascii="Times New Roman" w:hAnsi="Times New Roman"/>
          <w:color w:val="000000" w:themeColor="text1"/>
          <w:sz w:val="24"/>
          <w:szCs w:val="24"/>
        </w:rPr>
        <w:t>10)</w:t>
      </w:r>
      <w:r w:rsidR="005863F3" w:rsidRPr="00495A0D">
        <w:rPr>
          <w:rFonts w:ascii="Times New Roman" w:hAnsi="Times New Roman"/>
          <w:color w:val="000000" w:themeColor="text1"/>
          <w:sz w:val="24"/>
          <w:szCs w:val="24"/>
        </w:rPr>
        <w:t>.</w:t>
      </w:r>
    </w:p>
    <w:p w14:paraId="504FCD0B" w14:textId="4230081B" w:rsidR="001731E1"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Actualmente existen otras tablas</w:t>
      </w:r>
      <w:r w:rsidR="00F06293" w:rsidRPr="00495A0D">
        <w:rPr>
          <w:rFonts w:ascii="Times New Roman" w:hAnsi="Times New Roman"/>
          <w:color w:val="000000" w:themeColor="text1"/>
          <w:sz w:val="24"/>
          <w:szCs w:val="24"/>
        </w:rPr>
        <w:t xml:space="preserve"> para predecir</w:t>
      </w:r>
      <w:r w:rsidR="00D54081" w:rsidRPr="00495A0D">
        <w:rPr>
          <w:rFonts w:ascii="Times New Roman" w:hAnsi="Times New Roman"/>
          <w:color w:val="000000" w:themeColor="text1"/>
          <w:sz w:val="24"/>
          <w:szCs w:val="24"/>
        </w:rPr>
        <w:t xml:space="preserve"> el</w:t>
      </w:r>
      <w:r w:rsidR="00F06293" w:rsidRPr="00495A0D">
        <w:rPr>
          <w:rFonts w:ascii="Times New Roman" w:hAnsi="Times New Roman"/>
          <w:color w:val="000000" w:themeColor="text1"/>
          <w:sz w:val="24"/>
          <w:szCs w:val="24"/>
        </w:rPr>
        <w:t xml:space="preserve"> infarto agudo al miocardio y accidente cerebrovascular fatal y no fatal</w:t>
      </w:r>
      <w:r w:rsidRPr="00495A0D">
        <w:rPr>
          <w:rFonts w:ascii="Times New Roman" w:hAnsi="Times New Roman"/>
          <w:color w:val="000000" w:themeColor="text1"/>
          <w:sz w:val="24"/>
          <w:szCs w:val="24"/>
        </w:rPr>
        <w:t xml:space="preserve">, tales como el </w:t>
      </w:r>
      <w:r w:rsidR="001830CE" w:rsidRPr="00495A0D">
        <w:rPr>
          <w:rFonts w:ascii="Times New Roman" w:hAnsi="Times New Roman"/>
          <w:color w:val="000000" w:themeColor="text1"/>
          <w:sz w:val="24"/>
          <w:szCs w:val="24"/>
        </w:rPr>
        <w:t>a</w:t>
      </w:r>
      <w:r w:rsidR="00BD3981" w:rsidRPr="00495A0D">
        <w:rPr>
          <w:rFonts w:ascii="Times New Roman" w:hAnsi="Times New Roman"/>
          <w:color w:val="000000" w:themeColor="text1"/>
          <w:sz w:val="24"/>
          <w:szCs w:val="24"/>
        </w:rPr>
        <w:t xml:space="preserve">lgoritmo de riesgo de </w:t>
      </w:r>
      <w:r w:rsidR="001830CE" w:rsidRPr="00495A0D">
        <w:rPr>
          <w:rFonts w:ascii="Times New Roman" w:hAnsi="Times New Roman"/>
          <w:color w:val="000000" w:themeColor="text1"/>
          <w:sz w:val="24"/>
          <w:szCs w:val="24"/>
        </w:rPr>
        <w:t xml:space="preserve">la enfermedad cardiovascular aterosclerótica </w:t>
      </w:r>
      <w:r w:rsidR="00324B60"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ASCVD score</w:t>
      </w:r>
      <w:r w:rsidR="00324B60"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un modelo de estimación </w:t>
      </w:r>
      <w:r w:rsidR="00833FC1" w:rsidRPr="00495A0D">
        <w:rPr>
          <w:rFonts w:ascii="Times New Roman" w:hAnsi="Times New Roman"/>
          <w:color w:val="000000" w:themeColor="text1"/>
          <w:sz w:val="24"/>
          <w:szCs w:val="24"/>
        </w:rPr>
        <w:t xml:space="preserve">multirracial </w:t>
      </w:r>
      <w:r w:rsidRPr="00495A0D">
        <w:rPr>
          <w:rFonts w:ascii="Times New Roman" w:hAnsi="Times New Roman"/>
          <w:color w:val="000000" w:themeColor="text1"/>
          <w:sz w:val="24"/>
          <w:szCs w:val="24"/>
        </w:rPr>
        <w:t>que se caracteriza por estimar a 10 años</w:t>
      </w:r>
      <w:r w:rsidR="00324B60"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y de por vida</w:t>
      </w:r>
      <w:r w:rsidR="00324B60"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el riesgo de enfe</w:t>
      </w:r>
      <w:r w:rsidR="00327C1D" w:rsidRPr="00495A0D">
        <w:rPr>
          <w:rFonts w:ascii="Times New Roman" w:hAnsi="Times New Roman"/>
          <w:color w:val="000000" w:themeColor="text1"/>
          <w:sz w:val="24"/>
          <w:szCs w:val="24"/>
        </w:rPr>
        <w:t>rmedad aterosclerótica</w:t>
      </w:r>
      <w:r w:rsidR="002E7CFB" w:rsidRPr="00495A0D">
        <w:rPr>
          <w:rFonts w:ascii="Times New Roman" w:hAnsi="Times New Roman"/>
          <w:color w:val="000000" w:themeColor="text1"/>
          <w:sz w:val="24"/>
          <w:szCs w:val="24"/>
        </w:rPr>
        <w:t xml:space="preserve"> (</w:t>
      </w:r>
      <w:r w:rsidR="005863F3" w:rsidRPr="00495A0D">
        <w:rPr>
          <w:rFonts w:ascii="Times New Roman" w:hAnsi="Times New Roman"/>
          <w:color w:val="000000" w:themeColor="text1"/>
          <w:sz w:val="24"/>
          <w:szCs w:val="24"/>
        </w:rPr>
        <w:t xml:space="preserve">Cedeño </w:t>
      </w:r>
      <w:r w:rsidR="005863F3" w:rsidRPr="00495A0D">
        <w:rPr>
          <w:rFonts w:ascii="Times New Roman" w:hAnsi="Times New Roman"/>
          <w:i/>
          <w:color w:val="000000" w:themeColor="text1"/>
          <w:sz w:val="24"/>
          <w:szCs w:val="24"/>
        </w:rPr>
        <w:t>et al</w:t>
      </w:r>
      <w:r w:rsidR="00324B60" w:rsidRPr="00495A0D">
        <w:rPr>
          <w:rFonts w:ascii="Times New Roman" w:hAnsi="Times New Roman"/>
          <w:i/>
          <w:color w:val="000000" w:themeColor="text1"/>
          <w:sz w:val="24"/>
          <w:szCs w:val="24"/>
        </w:rPr>
        <w:t>.</w:t>
      </w:r>
      <w:r w:rsidR="004C1360" w:rsidRPr="00495A0D">
        <w:rPr>
          <w:rFonts w:ascii="Times New Roman" w:hAnsi="Times New Roman"/>
          <w:color w:val="000000" w:themeColor="text1"/>
          <w:sz w:val="24"/>
          <w:szCs w:val="24"/>
        </w:rPr>
        <w:t>, 2017, p.</w:t>
      </w:r>
      <w:r w:rsidR="00324B60" w:rsidRPr="00495A0D">
        <w:rPr>
          <w:rFonts w:ascii="Times New Roman" w:hAnsi="Times New Roman"/>
          <w:color w:val="000000" w:themeColor="text1"/>
          <w:sz w:val="24"/>
          <w:szCs w:val="24"/>
        </w:rPr>
        <w:t xml:space="preserve"> </w:t>
      </w:r>
      <w:r w:rsidR="004C1360" w:rsidRPr="00495A0D">
        <w:rPr>
          <w:rFonts w:ascii="Times New Roman" w:hAnsi="Times New Roman"/>
          <w:color w:val="000000" w:themeColor="text1"/>
          <w:sz w:val="24"/>
          <w:szCs w:val="24"/>
        </w:rPr>
        <w:t>294).</w:t>
      </w:r>
    </w:p>
    <w:p w14:paraId="2EF375FA" w14:textId="77CCF60F" w:rsidR="00072868"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Las enfermeras de cuidados intensivos enfrentan varios estresores durante sus actividad</w:t>
      </w:r>
      <w:r w:rsidR="00566AD3" w:rsidRPr="00495A0D">
        <w:rPr>
          <w:rFonts w:ascii="Times New Roman" w:hAnsi="Times New Roman"/>
          <w:color w:val="000000" w:themeColor="text1"/>
          <w:sz w:val="24"/>
          <w:szCs w:val="24"/>
        </w:rPr>
        <w:t>es que pueden influir en su salud</w:t>
      </w:r>
      <w:r w:rsidRPr="00495A0D">
        <w:rPr>
          <w:rFonts w:ascii="Times New Roman" w:hAnsi="Times New Roman"/>
          <w:color w:val="000000" w:themeColor="text1"/>
          <w:sz w:val="24"/>
          <w:szCs w:val="24"/>
        </w:rPr>
        <w:t xml:space="preserve"> personal y profesional</w:t>
      </w:r>
      <w:r w:rsidR="00324B60" w:rsidRPr="00495A0D">
        <w:rPr>
          <w:rFonts w:ascii="Times New Roman" w:hAnsi="Times New Roman"/>
          <w:color w:val="000000" w:themeColor="text1"/>
          <w:sz w:val="24"/>
          <w:szCs w:val="24"/>
        </w:rPr>
        <w:t xml:space="preserve">. Estos </w:t>
      </w:r>
      <w:r w:rsidRPr="00495A0D">
        <w:rPr>
          <w:rFonts w:ascii="Times New Roman" w:hAnsi="Times New Roman"/>
          <w:color w:val="000000" w:themeColor="text1"/>
          <w:sz w:val="24"/>
          <w:szCs w:val="24"/>
        </w:rPr>
        <w:t>estresores están relacionados</w:t>
      </w:r>
      <w:r w:rsidR="00566AD3" w:rsidRPr="00495A0D">
        <w:rPr>
          <w:rFonts w:ascii="Times New Roman" w:hAnsi="Times New Roman"/>
          <w:color w:val="000000" w:themeColor="text1"/>
          <w:sz w:val="24"/>
          <w:szCs w:val="24"/>
        </w:rPr>
        <w:t xml:space="preserve"> con la toma de decisiones rápidas</w:t>
      </w:r>
      <w:r w:rsidR="00D96B41" w:rsidRPr="00495A0D">
        <w:rPr>
          <w:rFonts w:ascii="Times New Roman" w:hAnsi="Times New Roman"/>
          <w:color w:val="000000" w:themeColor="text1"/>
          <w:sz w:val="24"/>
          <w:szCs w:val="24"/>
        </w:rPr>
        <w:t xml:space="preserve"> en la atención del paciente</w:t>
      </w:r>
      <w:r w:rsidR="00566AD3" w:rsidRPr="00495A0D">
        <w:rPr>
          <w:rFonts w:ascii="Times New Roman" w:hAnsi="Times New Roman"/>
          <w:color w:val="000000" w:themeColor="text1"/>
          <w:sz w:val="24"/>
          <w:szCs w:val="24"/>
        </w:rPr>
        <w:t>, relaciones</w:t>
      </w:r>
      <w:r w:rsidRPr="00495A0D">
        <w:rPr>
          <w:rFonts w:ascii="Times New Roman" w:hAnsi="Times New Roman"/>
          <w:color w:val="000000" w:themeColor="text1"/>
          <w:sz w:val="24"/>
          <w:szCs w:val="24"/>
        </w:rPr>
        <w:t xml:space="preserve"> profesionales, relaciones familiares, </w:t>
      </w:r>
      <w:r w:rsidR="00566AD3" w:rsidRPr="00495A0D">
        <w:rPr>
          <w:rFonts w:ascii="Times New Roman" w:hAnsi="Times New Roman"/>
          <w:color w:val="000000" w:themeColor="text1"/>
          <w:sz w:val="24"/>
          <w:szCs w:val="24"/>
        </w:rPr>
        <w:t xml:space="preserve">y </w:t>
      </w:r>
      <w:r w:rsidR="008F09F7" w:rsidRPr="00495A0D">
        <w:rPr>
          <w:rFonts w:ascii="Times New Roman" w:hAnsi="Times New Roman"/>
          <w:color w:val="000000" w:themeColor="text1"/>
          <w:sz w:val="24"/>
          <w:szCs w:val="24"/>
        </w:rPr>
        <w:t>características</w:t>
      </w:r>
      <w:r w:rsidR="00566AD3" w:rsidRPr="00495A0D">
        <w:rPr>
          <w:rFonts w:ascii="Times New Roman" w:hAnsi="Times New Roman"/>
          <w:color w:val="000000" w:themeColor="text1"/>
          <w:sz w:val="24"/>
          <w:szCs w:val="24"/>
        </w:rPr>
        <w:t xml:space="preserve"> de su lugar de trabajo</w:t>
      </w:r>
      <w:r w:rsidR="000A2467" w:rsidRPr="00495A0D">
        <w:rPr>
          <w:rFonts w:ascii="Times New Roman" w:hAnsi="Times New Roman"/>
          <w:color w:val="000000" w:themeColor="text1"/>
          <w:sz w:val="24"/>
          <w:szCs w:val="24"/>
        </w:rPr>
        <w:t xml:space="preserve"> </w:t>
      </w:r>
      <w:r w:rsidR="00D33685" w:rsidRPr="00495A0D">
        <w:rPr>
          <w:rFonts w:ascii="Times New Roman" w:hAnsi="Times New Roman"/>
          <w:color w:val="000000" w:themeColor="text1"/>
          <w:sz w:val="24"/>
          <w:szCs w:val="24"/>
        </w:rPr>
        <w:t>(Inoue, Gomes da Silva</w:t>
      </w:r>
      <w:r w:rsidR="007C5A50" w:rsidRPr="00495A0D">
        <w:rPr>
          <w:rFonts w:ascii="Times New Roman" w:hAnsi="Times New Roman"/>
          <w:color w:val="000000" w:themeColor="text1"/>
          <w:sz w:val="24"/>
          <w:szCs w:val="24"/>
        </w:rPr>
        <w:t>,</w:t>
      </w:r>
      <w:r w:rsidR="00D33685" w:rsidRPr="00495A0D">
        <w:rPr>
          <w:rFonts w:ascii="Times New Roman" w:hAnsi="Times New Roman"/>
          <w:color w:val="000000" w:themeColor="text1"/>
          <w:sz w:val="24"/>
          <w:szCs w:val="24"/>
        </w:rPr>
        <w:t xml:space="preserve"> </w:t>
      </w:r>
      <w:r w:rsidR="007C5A50" w:rsidRPr="00495A0D">
        <w:rPr>
          <w:rFonts w:ascii="Times New Roman" w:hAnsi="Times New Roman"/>
          <w:color w:val="000000" w:themeColor="text1"/>
          <w:sz w:val="24"/>
          <w:szCs w:val="24"/>
        </w:rPr>
        <w:t>and</w:t>
      </w:r>
      <w:r w:rsidR="00324B60" w:rsidRPr="00495A0D">
        <w:rPr>
          <w:rFonts w:ascii="Times New Roman" w:hAnsi="Times New Roman"/>
          <w:color w:val="000000" w:themeColor="text1"/>
          <w:sz w:val="24"/>
          <w:szCs w:val="24"/>
        </w:rPr>
        <w:t xml:space="preserve"> </w:t>
      </w:r>
      <w:r w:rsidR="00D33685" w:rsidRPr="00495A0D">
        <w:rPr>
          <w:rFonts w:ascii="Times New Roman" w:hAnsi="Times New Roman"/>
          <w:color w:val="000000" w:themeColor="text1"/>
          <w:sz w:val="24"/>
          <w:szCs w:val="24"/>
        </w:rPr>
        <w:t>Misue, 2014).</w:t>
      </w:r>
    </w:p>
    <w:p w14:paraId="26BA3451" w14:textId="17FB4CBC" w:rsidR="001731E1"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El índice tobillo–brazo se comenzó a utilizar alrededor de 1969 para valorar la permeabilidad del sistema arterial de la región inferior de las piernas y detectar la presencia de enfermedad arterial periférica. </w:t>
      </w:r>
    </w:p>
    <w:p w14:paraId="5075D773" w14:textId="790D7F81" w:rsidR="001731E1" w:rsidRPr="00495A0D" w:rsidRDefault="00324B60"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–Dicho índice</w:t>
      </w:r>
      <w:r w:rsidR="00D3652D" w:rsidRPr="00495A0D">
        <w:rPr>
          <w:rFonts w:ascii="Times New Roman" w:hAnsi="Times New Roman"/>
          <w:color w:val="000000" w:themeColor="text1"/>
          <w:sz w:val="24"/>
          <w:szCs w:val="24"/>
        </w:rPr>
        <w:t xml:space="preserve"> es un </w:t>
      </w:r>
      <w:r w:rsidR="003301D6" w:rsidRPr="00495A0D">
        <w:rPr>
          <w:rFonts w:ascii="Times New Roman" w:hAnsi="Times New Roman"/>
          <w:color w:val="000000" w:themeColor="text1"/>
          <w:sz w:val="24"/>
          <w:szCs w:val="24"/>
        </w:rPr>
        <w:t>“</w:t>
      </w:r>
      <w:r w:rsidR="00581E77" w:rsidRPr="00495A0D">
        <w:rPr>
          <w:rFonts w:ascii="Times New Roman" w:hAnsi="Times New Roman"/>
          <w:color w:val="000000" w:themeColor="text1"/>
          <w:sz w:val="24"/>
          <w:szCs w:val="24"/>
        </w:rPr>
        <w:t>predictor de riesgo</w:t>
      </w:r>
      <w:r w:rsidR="00D3652D" w:rsidRPr="00495A0D">
        <w:rPr>
          <w:rFonts w:ascii="Times New Roman" w:hAnsi="Times New Roman"/>
          <w:color w:val="000000" w:themeColor="text1"/>
          <w:sz w:val="24"/>
          <w:szCs w:val="24"/>
        </w:rPr>
        <w:t xml:space="preserve"> </w:t>
      </w:r>
      <w:r w:rsidR="00FD6DC7" w:rsidRPr="00495A0D">
        <w:rPr>
          <w:rFonts w:ascii="Times New Roman" w:hAnsi="Times New Roman"/>
          <w:color w:val="000000" w:themeColor="text1"/>
          <w:sz w:val="24"/>
          <w:szCs w:val="24"/>
        </w:rPr>
        <w:t xml:space="preserve">que ha sido investigado en </w:t>
      </w:r>
      <w:r w:rsidR="00581E77" w:rsidRPr="00495A0D">
        <w:rPr>
          <w:rFonts w:ascii="Times New Roman" w:hAnsi="Times New Roman"/>
          <w:color w:val="000000" w:themeColor="text1"/>
          <w:sz w:val="24"/>
          <w:szCs w:val="24"/>
        </w:rPr>
        <w:t>diferentes</w:t>
      </w:r>
      <w:r w:rsidR="00FD6DC7" w:rsidRPr="00495A0D">
        <w:rPr>
          <w:rFonts w:ascii="Times New Roman" w:hAnsi="Times New Roman"/>
          <w:color w:val="000000" w:themeColor="text1"/>
          <w:sz w:val="24"/>
          <w:szCs w:val="24"/>
        </w:rPr>
        <w:t xml:space="preserve"> cohortes de Europa y </w:t>
      </w:r>
      <w:r w:rsidR="00581E77" w:rsidRPr="00495A0D">
        <w:rPr>
          <w:rFonts w:ascii="Times New Roman" w:hAnsi="Times New Roman"/>
          <w:color w:val="000000" w:themeColor="text1"/>
          <w:sz w:val="24"/>
          <w:szCs w:val="24"/>
        </w:rPr>
        <w:t>Norteamérica</w:t>
      </w:r>
      <w:r w:rsidRPr="00495A0D">
        <w:rPr>
          <w:rFonts w:ascii="Times New Roman" w:hAnsi="Times New Roman"/>
          <w:color w:val="000000" w:themeColor="text1"/>
          <w:sz w:val="24"/>
          <w:szCs w:val="24"/>
        </w:rPr>
        <w:t xml:space="preserve">”. </w:t>
      </w:r>
      <w:r w:rsidR="00D034BE" w:rsidRPr="00495A0D">
        <w:rPr>
          <w:rFonts w:ascii="Times New Roman" w:hAnsi="Times New Roman"/>
          <w:color w:val="000000" w:themeColor="text1"/>
          <w:sz w:val="24"/>
          <w:szCs w:val="24"/>
        </w:rPr>
        <w:t xml:space="preserve">Aboyans </w:t>
      </w:r>
      <w:r w:rsidRPr="00495A0D">
        <w:rPr>
          <w:rFonts w:ascii="Times New Roman" w:hAnsi="Times New Roman"/>
          <w:i/>
          <w:color w:val="000000" w:themeColor="text1"/>
          <w:sz w:val="24"/>
          <w:szCs w:val="24"/>
        </w:rPr>
        <w:t>et al.</w:t>
      </w:r>
      <w:r w:rsidRPr="00495A0D">
        <w:rPr>
          <w:rFonts w:ascii="Times New Roman" w:hAnsi="Times New Roman"/>
          <w:color w:val="000000" w:themeColor="text1"/>
          <w:sz w:val="24"/>
          <w:szCs w:val="24"/>
        </w:rPr>
        <w:t>,</w:t>
      </w:r>
      <w:r w:rsidR="004B38E3" w:rsidRPr="00495A0D">
        <w:rPr>
          <w:rFonts w:ascii="Times New Roman" w:hAnsi="Times New Roman"/>
          <w:color w:val="000000" w:themeColor="text1"/>
          <w:sz w:val="24"/>
          <w:szCs w:val="24"/>
        </w:rPr>
        <w:t xml:space="preserve"> al citar a Fowkes (2008)</w:t>
      </w:r>
      <w:r w:rsidRPr="00495A0D">
        <w:rPr>
          <w:rFonts w:ascii="Times New Roman" w:hAnsi="Times New Roman"/>
          <w:color w:val="000000" w:themeColor="text1"/>
          <w:sz w:val="24"/>
          <w:szCs w:val="24"/>
        </w:rPr>
        <w:t>,</w:t>
      </w:r>
      <w:r w:rsidR="004B38E3" w:rsidRPr="00495A0D">
        <w:rPr>
          <w:rFonts w:ascii="Times New Roman" w:hAnsi="Times New Roman"/>
          <w:color w:val="000000" w:themeColor="text1"/>
          <w:sz w:val="24"/>
          <w:szCs w:val="24"/>
        </w:rPr>
        <w:t xml:space="preserve"> menciona</w:t>
      </w:r>
      <w:r w:rsidRPr="00495A0D">
        <w:rPr>
          <w:rFonts w:ascii="Times New Roman" w:hAnsi="Times New Roman"/>
          <w:color w:val="000000" w:themeColor="text1"/>
          <w:sz w:val="24"/>
          <w:szCs w:val="24"/>
        </w:rPr>
        <w:t>n</w:t>
      </w:r>
      <w:r w:rsidR="004B38E3" w:rsidRPr="00495A0D">
        <w:rPr>
          <w:rFonts w:ascii="Times New Roman" w:hAnsi="Times New Roman"/>
          <w:color w:val="000000" w:themeColor="text1"/>
          <w:sz w:val="24"/>
          <w:szCs w:val="24"/>
        </w:rPr>
        <w:t xml:space="preserve"> </w:t>
      </w:r>
      <w:r w:rsidR="00D034BE" w:rsidRPr="00495A0D">
        <w:rPr>
          <w:rFonts w:ascii="Times New Roman" w:hAnsi="Times New Roman"/>
          <w:color w:val="000000" w:themeColor="text1"/>
          <w:sz w:val="24"/>
          <w:szCs w:val="24"/>
        </w:rPr>
        <w:t xml:space="preserve">que </w:t>
      </w:r>
      <w:r w:rsidR="001731E1" w:rsidRPr="00495A0D">
        <w:rPr>
          <w:rFonts w:ascii="Times New Roman" w:hAnsi="Times New Roman"/>
          <w:color w:val="000000" w:themeColor="text1"/>
          <w:sz w:val="24"/>
          <w:szCs w:val="24"/>
        </w:rPr>
        <w:t>los pacientes con</w:t>
      </w:r>
      <w:r w:rsidR="004B38E3" w:rsidRPr="00495A0D">
        <w:rPr>
          <w:rFonts w:ascii="Times New Roman" w:hAnsi="Times New Roman"/>
          <w:color w:val="000000" w:themeColor="text1"/>
          <w:sz w:val="24"/>
          <w:szCs w:val="24"/>
        </w:rPr>
        <w:t xml:space="preserve"> “un índice </w:t>
      </w:r>
      <w:r w:rsidRPr="00495A0D">
        <w:rPr>
          <w:rFonts w:ascii="Times New Roman" w:hAnsi="Times New Roman"/>
          <w:color w:val="000000" w:themeColor="text1"/>
          <w:sz w:val="24"/>
          <w:szCs w:val="24"/>
        </w:rPr>
        <w:t>tobillo-</w:t>
      </w:r>
      <w:r w:rsidR="004B38E3" w:rsidRPr="00495A0D">
        <w:rPr>
          <w:rFonts w:ascii="Times New Roman" w:hAnsi="Times New Roman"/>
          <w:color w:val="000000" w:themeColor="text1"/>
          <w:sz w:val="24"/>
          <w:szCs w:val="24"/>
        </w:rPr>
        <w:t>brazo bajo</w:t>
      </w:r>
      <w:r w:rsidR="001731E1" w:rsidRPr="00495A0D">
        <w:rPr>
          <w:rFonts w:ascii="Times New Roman" w:hAnsi="Times New Roman"/>
          <w:color w:val="000000" w:themeColor="text1"/>
          <w:sz w:val="24"/>
          <w:szCs w:val="24"/>
        </w:rPr>
        <w:t xml:space="preserve"> tienen</w:t>
      </w:r>
      <w:r w:rsidR="004B38E3" w:rsidRPr="00495A0D">
        <w:rPr>
          <w:rFonts w:ascii="Times New Roman" w:hAnsi="Times New Roman"/>
          <w:color w:val="000000" w:themeColor="text1"/>
          <w:sz w:val="24"/>
          <w:szCs w:val="24"/>
        </w:rPr>
        <w:t xml:space="preserve"> un riesgo aumentado</w:t>
      </w:r>
      <w:r w:rsidR="001731E1" w:rsidRPr="00495A0D">
        <w:rPr>
          <w:rFonts w:ascii="Times New Roman" w:hAnsi="Times New Roman"/>
          <w:color w:val="000000" w:themeColor="text1"/>
          <w:sz w:val="24"/>
          <w:szCs w:val="24"/>
        </w:rPr>
        <w:t xml:space="preserve"> de sufrir </w:t>
      </w:r>
      <w:r w:rsidR="001731E1" w:rsidRPr="00495A0D">
        <w:rPr>
          <w:rFonts w:ascii="Times New Roman" w:hAnsi="Times New Roman"/>
          <w:color w:val="000000" w:themeColor="text1"/>
          <w:sz w:val="24"/>
          <w:szCs w:val="24"/>
        </w:rPr>
        <w:lastRenderedPageBreak/>
        <w:t>infarto al miocardio</w:t>
      </w:r>
      <w:r w:rsidR="0047072B" w:rsidRPr="00495A0D">
        <w:rPr>
          <w:rFonts w:ascii="Times New Roman" w:hAnsi="Times New Roman"/>
          <w:color w:val="000000" w:themeColor="text1"/>
          <w:sz w:val="24"/>
          <w:szCs w:val="24"/>
        </w:rPr>
        <w:t xml:space="preserve">, </w:t>
      </w:r>
      <w:r w:rsidR="001731E1" w:rsidRPr="00495A0D">
        <w:rPr>
          <w:rFonts w:ascii="Times New Roman" w:hAnsi="Times New Roman"/>
          <w:color w:val="000000" w:themeColor="text1"/>
          <w:sz w:val="24"/>
          <w:szCs w:val="24"/>
        </w:rPr>
        <w:t>accidente cerebrovascular</w:t>
      </w:r>
      <w:r w:rsidR="0047072B" w:rsidRPr="00495A0D">
        <w:rPr>
          <w:rFonts w:ascii="Times New Roman" w:hAnsi="Times New Roman"/>
          <w:color w:val="000000" w:themeColor="text1"/>
          <w:sz w:val="24"/>
          <w:szCs w:val="24"/>
        </w:rPr>
        <w:t xml:space="preserve"> y muerte cardiovascular</w:t>
      </w:r>
      <w:r w:rsidR="00FD4AC3" w:rsidRPr="00495A0D">
        <w:rPr>
          <w:rFonts w:ascii="Times New Roman" w:hAnsi="Times New Roman"/>
          <w:color w:val="000000" w:themeColor="text1"/>
          <w:sz w:val="24"/>
          <w:szCs w:val="24"/>
        </w:rPr>
        <w:t>”</w:t>
      </w:r>
      <w:r w:rsidR="00CD0700" w:rsidRPr="00495A0D">
        <w:rPr>
          <w:rFonts w:ascii="Times New Roman" w:hAnsi="Times New Roman"/>
          <w:color w:val="000000" w:themeColor="text1"/>
          <w:sz w:val="24"/>
          <w:szCs w:val="24"/>
        </w:rPr>
        <w:t xml:space="preserve"> (Aboyans </w:t>
      </w:r>
      <w:r w:rsidR="00CD0700" w:rsidRPr="00495A0D">
        <w:rPr>
          <w:rFonts w:ascii="Times New Roman" w:hAnsi="Times New Roman"/>
          <w:i/>
          <w:color w:val="000000" w:themeColor="text1"/>
          <w:sz w:val="24"/>
          <w:szCs w:val="24"/>
        </w:rPr>
        <w:t>et al</w:t>
      </w:r>
      <w:r w:rsidRPr="00495A0D">
        <w:rPr>
          <w:rFonts w:ascii="Times New Roman" w:hAnsi="Times New Roman"/>
          <w:color w:val="000000" w:themeColor="text1"/>
          <w:sz w:val="24"/>
          <w:szCs w:val="24"/>
        </w:rPr>
        <w:t>.</w:t>
      </w:r>
      <w:r w:rsidR="00CD0700" w:rsidRPr="00495A0D">
        <w:rPr>
          <w:rFonts w:ascii="Times New Roman" w:hAnsi="Times New Roman"/>
          <w:color w:val="000000" w:themeColor="text1"/>
          <w:sz w:val="24"/>
          <w:szCs w:val="24"/>
        </w:rPr>
        <w:t>, 2012, p.</w:t>
      </w:r>
      <w:r w:rsidRPr="00495A0D">
        <w:rPr>
          <w:rFonts w:ascii="Times New Roman" w:hAnsi="Times New Roman"/>
          <w:color w:val="000000" w:themeColor="text1"/>
          <w:sz w:val="24"/>
          <w:szCs w:val="24"/>
        </w:rPr>
        <w:t xml:space="preserve"> </w:t>
      </w:r>
      <w:r w:rsidR="00CD0700" w:rsidRPr="00495A0D">
        <w:rPr>
          <w:rFonts w:ascii="Times New Roman" w:hAnsi="Times New Roman"/>
          <w:color w:val="000000" w:themeColor="text1"/>
          <w:sz w:val="24"/>
          <w:szCs w:val="24"/>
        </w:rPr>
        <w:t>6).</w:t>
      </w:r>
    </w:p>
    <w:p w14:paraId="53D73051" w14:textId="3D56EADE" w:rsidR="001731E1" w:rsidRPr="00495A0D" w:rsidRDefault="00782CEC" w:rsidP="00495A0D">
      <w:pPr>
        <w:spacing w:after="0" w:line="360" w:lineRule="auto"/>
        <w:ind w:firstLine="708"/>
        <w:jc w:val="both"/>
        <w:rPr>
          <w:rFonts w:ascii="Times New Roman" w:hAnsi="Times New Roman"/>
          <w:color w:val="000000" w:themeColor="text1"/>
          <w:sz w:val="24"/>
          <w:szCs w:val="24"/>
          <w:vertAlign w:val="superscript"/>
        </w:rPr>
      </w:pPr>
      <w:r w:rsidRPr="00495A0D">
        <w:rPr>
          <w:rFonts w:ascii="Times New Roman" w:hAnsi="Times New Roman"/>
          <w:color w:val="000000" w:themeColor="text1"/>
          <w:sz w:val="24"/>
          <w:szCs w:val="24"/>
        </w:rPr>
        <w:t>Nieves</w:t>
      </w:r>
      <w:r w:rsidR="00476AC0" w:rsidRPr="00495A0D">
        <w:rPr>
          <w:rFonts w:ascii="Times New Roman" w:hAnsi="Times New Roman"/>
          <w:color w:val="000000" w:themeColor="text1"/>
          <w:sz w:val="24"/>
          <w:szCs w:val="24"/>
        </w:rPr>
        <w:t>, Hernández y Aguilar</w:t>
      </w:r>
      <w:r w:rsidRPr="00495A0D">
        <w:rPr>
          <w:rFonts w:ascii="Times New Roman" w:hAnsi="Times New Roman"/>
          <w:color w:val="000000" w:themeColor="text1"/>
          <w:sz w:val="24"/>
          <w:szCs w:val="24"/>
        </w:rPr>
        <w:t xml:space="preserve"> </w:t>
      </w:r>
      <w:r w:rsidR="006B129C" w:rsidRPr="00495A0D">
        <w:rPr>
          <w:rFonts w:ascii="Times New Roman" w:hAnsi="Times New Roman"/>
          <w:color w:val="000000" w:themeColor="text1"/>
          <w:sz w:val="24"/>
          <w:szCs w:val="24"/>
        </w:rPr>
        <w:t>(</w:t>
      </w:r>
      <w:r w:rsidR="00851537" w:rsidRPr="00495A0D">
        <w:rPr>
          <w:rFonts w:ascii="Times New Roman" w:hAnsi="Times New Roman"/>
          <w:color w:val="000000" w:themeColor="text1"/>
          <w:sz w:val="24"/>
          <w:szCs w:val="24"/>
        </w:rPr>
        <w:t xml:space="preserve">2011) </w:t>
      </w:r>
      <w:r w:rsidRPr="00495A0D">
        <w:rPr>
          <w:rFonts w:ascii="Times New Roman" w:hAnsi="Times New Roman"/>
          <w:color w:val="000000" w:themeColor="text1"/>
          <w:sz w:val="24"/>
          <w:szCs w:val="24"/>
        </w:rPr>
        <w:t>menciona</w:t>
      </w:r>
      <w:r w:rsidR="00476AC0" w:rsidRPr="00495A0D">
        <w:rPr>
          <w:rFonts w:ascii="Times New Roman" w:hAnsi="Times New Roman"/>
          <w:color w:val="000000" w:themeColor="text1"/>
          <w:sz w:val="24"/>
          <w:szCs w:val="24"/>
        </w:rPr>
        <w:t>n</w:t>
      </w:r>
      <w:r w:rsidR="00851537" w:rsidRPr="00495A0D">
        <w:rPr>
          <w:rFonts w:ascii="Times New Roman" w:hAnsi="Times New Roman"/>
          <w:color w:val="000000" w:themeColor="text1"/>
          <w:sz w:val="24"/>
          <w:szCs w:val="24"/>
        </w:rPr>
        <w:t xml:space="preserve"> </w:t>
      </w:r>
      <w:r w:rsidR="005A0B45" w:rsidRPr="00495A0D">
        <w:rPr>
          <w:rFonts w:ascii="Times New Roman" w:hAnsi="Times New Roman"/>
          <w:color w:val="000000" w:themeColor="text1"/>
          <w:sz w:val="24"/>
          <w:szCs w:val="24"/>
        </w:rPr>
        <w:t>que la</w:t>
      </w:r>
      <w:r w:rsidR="001731E1" w:rsidRPr="00495A0D">
        <w:rPr>
          <w:rFonts w:ascii="Times New Roman" w:hAnsi="Times New Roman"/>
          <w:color w:val="000000" w:themeColor="text1"/>
          <w:sz w:val="24"/>
          <w:szCs w:val="24"/>
        </w:rPr>
        <w:t xml:space="preserve"> obesidad </w:t>
      </w:r>
      <w:r w:rsidR="001377E0" w:rsidRPr="00495A0D">
        <w:rPr>
          <w:rFonts w:ascii="Times New Roman" w:hAnsi="Times New Roman"/>
          <w:color w:val="000000" w:themeColor="text1"/>
          <w:sz w:val="24"/>
          <w:szCs w:val="24"/>
        </w:rPr>
        <w:t xml:space="preserve">y el sobrepeso </w:t>
      </w:r>
      <w:r w:rsidR="001731E1" w:rsidRPr="00495A0D">
        <w:rPr>
          <w:rFonts w:ascii="Times New Roman" w:hAnsi="Times New Roman"/>
          <w:color w:val="000000" w:themeColor="text1"/>
          <w:sz w:val="24"/>
          <w:szCs w:val="24"/>
        </w:rPr>
        <w:t>ha</w:t>
      </w:r>
      <w:r w:rsidR="001377E0" w:rsidRPr="00495A0D">
        <w:rPr>
          <w:rFonts w:ascii="Times New Roman" w:hAnsi="Times New Roman"/>
          <w:color w:val="000000" w:themeColor="text1"/>
          <w:sz w:val="24"/>
          <w:szCs w:val="24"/>
        </w:rPr>
        <w:t>n sido un problema de salud</w:t>
      </w:r>
      <w:r w:rsidR="001731E1" w:rsidRPr="00495A0D">
        <w:rPr>
          <w:rFonts w:ascii="Times New Roman" w:hAnsi="Times New Roman"/>
          <w:color w:val="000000" w:themeColor="text1"/>
          <w:sz w:val="24"/>
          <w:szCs w:val="24"/>
        </w:rPr>
        <w:t xml:space="preserve"> en</w:t>
      </w:r>
      <w:r w:rsidR="001377E0" w:rsidRPr="00495A0D">
        <w:rPr>
          <w:rFonts w:ascii="Times New Roman" w:hAnsi="Times New Roman"/>
          <w:color w:val="000000" w:themeColor="text1"/>
          <w:sz w:val="24"/>
          <w:szCs w:val="24"/>
        </w:rPr>
        <w:t xml:space="preserve"> los profesionales de enfermería mexicanos en los últimos año</w:t>
      </w:r>
      <w:r w:rsidR="001731E1" w:rsidRPr="00495A0D">
        <w:rPr>
          <w:rFonts w:ascii="Times New Roman" w:hAnsi="Times New Roman"/>
          <w:color w:val="000000" w:themeColor="text1"/>
          <w:sz w:val="24"/>
          <w:szCs w:val="24"/>
        </w:rPr>
        <w:t>s</w:t>
      </w:r>
      <w:r w:rsidR="000E42E3" w:rsidRPr="00495A0D">
        <w:rPr>
          <w:rFonts w:ascii="Times New Roman" w:hAnsi="Times New Roman"/>
          <w:color w:val="000000" w:themeColor="text1"/>
          <w:sz w:val="24"/>
          <w:szCs w:val="24"/>
        </w:rPr>
        <w:t xml:space="preserve"> (p.</w:t>
      </w:r>
      <w:r w:rsidR="00324B60" w:rsidRPr="00495A0D">
        <w:rPr>
          <w:rFonts w:ascii="Times New Roman" w:hAnsi="Times New Roman"/>
          <w:color w:val="000000" w:themeColor="text1"/>
          <w:sz w:val="24"/>
          <w:szCs w:val="24"/>
        </w:rPr>
        <w:t xml:space="preserve"> </w:t>
      </w:r>
      <w:r w:rsidR="000E42E3" w:rsidRPr="00495A0D">
        <w:rPr>
          <w:rFonts w:ascii="Times New Roman" w:hAnsi="Times New Roman"/>
          <w:color w:val="000000" w:themeColor="text1"/>
          <w:sz w:val="24"/>
          <w:szCs w:val="24"/>
        </w:rPr>
        <w:t>89</w:t>
      </w:r>
      <w:r w:rsidR="00324B60" w:rsidRPr="00495A0D">
        <w:rPr>
          <w:rFonts w:ascii="Times New Roman" w:hAnsi="Times New Roman"/>
          <w:color w:val="000000" w:themeColor="text1"/>
          <w:sz w:val="24"/>
          <w:szCs w:val="24"/>
        </w:rPr>
        <w:t>). E</w:t>
      </w:r>
      <w:r w:rsidR="00AF6C57" w:rsidRPr="00495A0D">
        <w:rPr>
          <w:rFonts w:ascii="Times New Roman" w:hAnsi="Times New Roman"/>
          <w:color w:val="000000" w:themeColor="text1"/>
          <w:sz w:val="24"/>
          <w:szCs w:val="24"/>
        </w:rPr>
        <w:t>sta</w:t>
      </w:r>
      <w:r w:rsidR="001377E0" w:rsidRPr="00495A0D">
        <w:rPr>
          <w:rFonts w:ascii="Times New Roman" w:hAnsi="Times New Roman"/>
          <w:color w:val="000000" w:themeColor="text1"/>
          <w:sz w:val="24"/>
          <w:szCs w:val="24"/>
        </w:rPr>
        <w:t xml:space="preserve"> </w:t>
      </w:r>
      <w:r w:rsidR="00AF6C57" w:rsidRPr="00495A0D">
        <w:rPr>
          <w:rFonts w:ascii="Times New Roman" w:hAnsi="Times New Roman"/>
          <w:color w:val="000000" w:themeColor="text1"/>
          <w:sz w:val="24"/>
          <w:szCs w:val="24"/>
        </w:rPr>
        <w:t xml:space="preserve">entidad patológica </w:t>
      </w:r>
      <w:r w:rsidR="001731E1" w:rsidRPr="00495A0D">
        <w:rPr>
          <w:rFonts w:ascii="Times New Roman" w:hAnsi="Times New Roman"/>
          <w:color w:val="000000" w:themeColor="text1"/>
          <w:sz w:val="24"/>
          <w:szCs w:val="24"/>
        </w:rPr>
        <w:t>ha sido asociada con el desarrollo de hipertensión, dislipidemia y enfermedad cardiovascular.</w:t>
      </w:r>
      <w:r w:rsidR="001731E1" w:rsidRPr="00495A0D">
        <w:rPr>
          <w:rFonts w:ascii="Times New Roman" w:hAnsi="Times New Roman"/>
          <w:color w:val="000000" w:themeColor="text1"/>
          <w:sz w:val="24"/>
          <w:szCs w:val="24"/>
          <w:vertAlign w:val="superscript"/>
        </w:rPr>
        <w:t xml:space="preserve"> </w:t>
      </w:r>
    </w:p>
    <w:p w14:paraId="01656F97" w14:textId="1FF0A698" w:rsidR="001731E1" w:rsidRPr="00495A0D" w:rsidRDefault="00E9654E" w:rsidP="00495A0D">
      <w:pPr>
        <w:spacing w:after="0" w:line="360" w:lineRule="auto"/>
        <w:ind w:firstLine="708"/>
        <w:jc w:val="both"/>
        <w:rPr>
          <w:rFonts w:ascii="Times New Roman" w:hAnsi="Times New Roman"/>
          <w:color w:val="000000" w:themeColor="text1"/>
          <w:sz w:val="24"/>
          <w:szCs w:val="24"/>
          <w:vertAlign w:val="superscript"/>
        </w:rPr>
      </w:pPr>
      <w:r w:rsidRPr="00495A0D">
        <w:rPr>
          <w:rFonts w:ascii="Times New Roman" w:hAnsi="Times New Roman"/>
          <w:color w:val="000000" w:themeColor="text1"/>
          <w:sz w:val="24"/>
          <w:szCs w:val="24"/>
        </w:rPr>
        <w:t>Ioachimescu</w:t>
      </w:r>
      <w:r w:rsidR="007C5A50" w:rsidRPr="00495A0D">
        <w:rPr>
          <w:rFonts w:ascii="Times New Roman" w:hAnsi="Times New Roman"/>
          <w:color w:val="000000" w:themeColor="text1"/>
          <w:sz w:val="24"/>
          <w:szCs w:val="24"/>
        </w:rPr>
        <w:t>, Brennan,</w:t>
      </w:r>
      <w:r w:rsidRPr="00495A0D">
        <w:rPr>
          <w:rFonts w:ascii="Times New Roman" w:hAnsi="Times New Roman"/>
          <w:color w:val="000000" w:themeColor="text1"/>
          <w:sz w:val="24"/>
          <w:szCs w:val="24"/>
        </w:rPr>
        <w:t xml:space="preserve"> </w:t>
      </w:r>
      <w:r w:rsidR="007C5A50" w:rsidRPr="00495A0D">
        <w:rPr>
          <w:rFonts w:ascii="Times New Roman" w:hAnsi="Times New Roman"/>
          <w:color w:val="000000" w:themeColor="text1"/>
          <w:sz w:val="24"/>
          <w:szCs w:val="24"/>
        </w:rPr>
        <w:t xml:space="preserve">Hoar y Hoogwerf </w:t>
      </w:r>
      <w:r w:rsidRPr="00495A0D">
        <w:rPr>
          <w:rFonts w:ascii="Times New Roman" w:hAnsi="Times New Roman"/>
          <w:color w:val="000000" w:themeColor="text1"/>
          <w:sz w:val="24"/>
          <w:szCs w:val="24"/>
        </w:rPr>
        <w:t>explica</w:t>
      </w:r>
      <w:r w:rsidR="00CB27AB" w:rsidRPr="00495A0D">
        <w:rPr>
          <w:rFonts w:ascii="Times New Roman" w:hAnsi="Times New Roman"/>
          <w:color w:val="000000" w:themeColor="text1"/>
          <w:sz w:val="24"/>
          <w:szCs w:val="24"/>
        </w:rPr>
        <w:t>n</w:t>
      </w:r>
      <w:r w:rsidRPr="00495A0D">
        <w:rPr>
          <w:rFonts w:ascii="Times New Roman" w:hAnsi="Times New Roman"/>
          <w:color w:val="000000" w:themeColor="text1"/>
          <w:sz w:val="24"/>
          <w:szCs w:val="24"/>
        </w:rPr>
        <w:t xml:space="preserve"> que </w:t>
      </w:r>
      <w:r w:rsidR="00463B41"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el</w:t>
      </w:r>
      <w:r w:rsidR="001731E1" w:rsidRPr="00495A0D">
        <w:rPr>
          <w:rFonts w:ascii="Times New Roman" w:hAnsi="Times New Roman"/>
          <w:color w:val="000000" w:themeColor="text1"/>
          <w:sz w:val="24"/>
          <w:szCs w:val="24"/>
        </w:rPr>
        <w:t xml:space="preserve"> índice de masa corporal es el marcador utilizado</w:t>
      </w:r>
      <w:r w:rsidR="00216936" w:rsidRPr="00495A0D">
        <w:rPr>
          <w:rFonts w:ascii="Times New Roman" w:hAnsi="Times New Roman"/>
          <w:color w:val="000000" w:themeColor="text1"/>
          <w:sz w:val="24"/>
          <w:szCs w:val="24"/>
        </w:rPr>
        <w:t>”</w:t>
      </w:r>
      <w:r w:rsidR="001731E1" w:rsidRPr="00495A0D">
        <w:rPr>
          <w:rFonts w:ascii="Times New Roman" w:hAnsi="Times New Roman"/>
          <w:color w:val="000000" w:themeColor="text1"/>
          <w:sz w:val="24"/>
          <w:szCs w:val="24"/>
        </w:rPr>
        <w:t xml:space="preserve"> con mayor frecuencia para evaluar la obesidad</w:t>
      </w:r>
      <w:r w:rsidRPr="00495A0D">
        <w:rPr>
          <w:rFonts w:ascii="Times New Roman" w:hAnsi="Times New Roman"/>
          <w:color w:val="000000" w:themeColor="text1"/>
          <w:sz w:val="24"/>
          <w:szCs w:val="24"/>
        </w:rPr>
        <w:t xml:space="preserve"> en clínica</w:t>
      </w:r>
      <w:r w:rsidR="001731E1" w:rsidRPr="00495A0D">
        <w:rPr>
          <w:rFonts w:ascii="Times New Roman" w:hAnsi="Times New Roman"/>
          <w:color w:val="000000" w:themeColor="text1"/>
          <w:sz w:val="24"/>
          <w:szCs w:val="24"/>
        </w:rPr>
        <w:t xml:space="preserve">; sin </w:t>
      </w:r>
      <w:r w:rsidR="007F08F9" w:rsidRPr="00495A0D">
        <w:rPr>
          <w:rFonts w:ascii="Times New Roman" w:hAnsi="Times New Roman"/>
          <w:color w:val="000000" w:themeColor="text1"/>
          <w:sz w:val="24"/>
          <w:szCs w:val="24"/>
        </w:rPr>
        <w:t>embargo,</w:t>
      </w:r>
      <w:r w:rsidR="001731E1" w:rsidRPr="00495A0D">
        <w:rPr>
          <w:rFonts w:ascii="Times New Roman" w:hAnsi="Times New Roman"/>
          <w:color w:val="000000" w:themeColor="text1"/>
          <w:sz w:val="24"/>
          <w:szCs w:val="24"/>
        </w:rPr>
        <w:t xml:space="preserve"> este índice antropométrico tiene la principal limitante de </w:t>
      </w:r>
      <w:r w:rsidR="00216936" w:rsidRPr="00495A0D">
        <w:rPr>
          <w:rFonts w:ascii="Times New Roman" w:hAnsi="Times New Roman"/>
          <w:color w:val="000000" w:themeColor="text1"/>
          <w:sz w:val="24"/>
          <w:szCs w:val="24"/>
        </w:rPr>
        <w:t>“</w:t>
      </w:r>
      <w:r w:rsidR="001731E1" w:rsidRPr="00495A0D">
        <w:rPr>
          <w:rFonts w:ascii="Times New Roman" w:hAnsi="Times New Roman"/>
          <w:color w:val="000000" w:themeColor="text1"/>
          <w:sz w:val="24"/>
          <w:szCs w:val="24"/>
        </w:rPr>
        <w:t>no distinguir entre el tejido magro y el adiposo</w:t>
      </w:r>
      <w:r w:rsidR="00324B60" w:rsidRPr="00495A0D">
        <w:rPr>
          <w:rFonts w:ascii="Times New Roman" w:hAnsi="Times New Roman"/>
          <w:color w:val="000000" w:themeColor="text1"/>
          <w:sz w:val="24"/>
          <w:szCs w:val="24"/>
        </w:rPr>
        <w:t xml:space="preserve">”. Por </w:t>
      </w:r>
      <w:r w:rsidR="001731E1" w:rsidRPr="00495A0D">
        <w:rPr>
          <w:rFonts w:ascii="Times New Roman" w:hAnsi="Times New Roman"/>
          <w:color w:val="000000" w:themeColor="text1"/>
          <w:sz w:val="24"/>
          <w:szCs w:val="24"/>
        </w:rPr>
        <w:t>tal motivo</w:t>
      </w:r>
      <w:r w:rsidR="00324B60" w:rsidRPr="00495A0D">
        <w:rPr>
          <w:rFonts w:ascii="Times New Roman" w:hAnsi="Times New Roman"/>
          <w:color w:val="000000" w:themeColor="text1"/>
          <w:sz w:val="24"/>
          <w:szCs w:val="24"/>
        </w:rPr>
        <w:t>,</w:t>
      </w:r>
      <w:r w:rsidR="001731E1" w:rsidRPr="00495A0D">
        <w:rPr>
          <w:rFonts w:ascii="Times New Roman" w:hAnsi="Times New Roman"/>
          <w:color w:val="000000" w:themeColor="text1"/>
          <w:sz w:val="24"/>
          <w:szCs w:val="24"/>
        </w:rPr>
        <w:t xml:space="preserve"> </w:t>
      </w:r>
      <w:r w:rsidR="00216936" w:rsidRPr="00495A0D">
        <w:rPr>
          <w:rFonts w:ascii="Times New Roman" w:hAnsi="Times New Roman"/>
          <w:color w:val="000000" w:themeColor="text1"/>
          <w:sz w:val="24"/>
          <w:szCs w:val="24"/>
        </w:rPr>
        <w:t>“</w:t>
      </w:r>
      <w:r w:rsidR="001731E1" w:rsidRPr="00495A0D">
        <w:rPr>
          <w:rFonts w:ascii="Times New Roman" w:hAnsi="Times New Roman"/>
          <w:color w:val="000000" w:themeColor="text1"/>
          <w:sz w:val="24"/>
          <w:szCs w:val="24"/>
        </w:rPr>
        <w:t>no ha demostrado ser un buen predictor de eventos cardiovasculares</w:t>
      </w:r>
      <w:r w:rsidR="00216936" w:rsidRPr="00495A0D">
        <w:rPr>
          <w:rFonts w:ascii="Times New Roman" w:hAnsi="Times New Roman"/>
          <w:color w:val="000000" w:themeColor="text1"/>
          <w:sz w:val="24"/>
          <w:szCs w:val="24"/>
        </w:rPr>
        <w:t xml:space="preserve">” </w:t>
      </w:r>
      <w:r w:rsidR="00C3759E" w:rsidRPr="00495A0D">
        <w:rPr>
          <w:rFonts w:ascii="Times New Roman" w:hAnsi="Times New Roman"/>
          <w:color w:val="000000" w:themeColor="text1"/>
          <w:sz w:val="24"/>
          <w:szCs w:val="24"/>
        </w:rPr>
        <w:t>(Ioachimescu</w:t>
      </w:r>
      <w:r w:rsidR="009C08D1" w:rsidRPr="00495A0D">
        <w:rPr>
          <w:rFonts w:ascii="Times New Roman" w:hAnsi="Times New Roman"/>
          <w:color w:val="000000" w:themeColor="text1"/>
          <w:sz w:val="24"/>
          <w:szCs w:val="24"/>
        </w:rPr>
        <w:t xml:space="preserve"> </w:t>
      </w:r>
      <w:r w:rsidR="009C08D1" w:rsidRPr="00495A0D">
        <w:rPr>
          <w:rFonts w:ascii="Times New Roman" w:hAnsi="Times New Roman"/>
          <w:i/>
          <w:color w:val="000000" w:themeColor="text1"/>
          <w:sz w:val="24"/>
          <w:szCs w:val="24"/>
        </w:rPr>
        <w:t>et</w:t>
      </w:r>
      <w:r w:rsidR="00324B60" w:rsidRPr="00495A0D">
        <w:rPr>
          <w:rFonts w:ascii="Times New Roman" w:hAnsi="Times New Roman"/>
          <w:i/>
          <w:color w:val="000000" w:themeColor="text1"/>
          <w:sz w:val="24"/>
          <w:szCs w:val="24"/>
        </w:rPr>
        <w:t xml:space="preserve"> </w:t>
      </w:r>
      <w:r w:rsidR="009C08D1" w:rsidRPr="00495A0D">
        <w:rPr>
          <w:rFonts w:ascii="Times New Roman" w:hAnsi="Times New Roman"/>
          <w:i/>
          <w:color w:val="000000" w:themeColor="text1"/>
          <w:sz w:val="24"/>
          <w:szCs w:val="24"/>
        </w:rPr>
        <w:t>al</w:t>
      </w:r>
      <w:r w:rsidR="00324B60" w:rsidRPr="00495A0D">
        <w:rPr>
          <w:rFonts w:ascii="Times New Roman" w:hAnsi="Times New Roman"/>
          <w:i/>
          <w:color w:val="000000" w:themeColor="text1"/>
          <w:sz w:val="24"/>
          <w:szCs w:val="24"/>
        </w:rPr>
        <w:t>.</w:t>
      </w:r>
      <w:r w:rsidR="00C3759E" w:rsidRPr="00495A0D">
        <w:rPr>
          <w:rFonts w:ascii="Times New Roman" w:hAnsi="Times New Roman"/>
          <w:color w:val="000000" w:themeColor="text1"/>
          <w:sz w:val="24"/>
          <w:szCs w:val="24"/>
        </w:rPr>
        <w:t>, 201</w:t>
      </w:r>
      <w:r w:rsidR="00F2091E" w:rsidRPr="00495A0D">
        <w:rPr>
          <w:rFonts w:ascii="Times New Roman" w:hAnsi="Times New Roman"/>
          <w:color w:val="000000" w:themeColor="text1"/>
          <w:sz w:val="24"/>
          <w:szCs w:val="24"/>
        </w:rPr>
        <w:t>0</w:t>
      </w:r>
      <w:r w:rsidR="00C3759E" w:rsidRPr="00495A0D">
        <w:rPr>
          <w:rFonts w:ascii="Times New Roman" w:hAnsi="Times New Roman"/>
          <w:color w:val="000000" w:themeColor="text1"/>
          <w:sz w:val="24"/>
          <w:szCs w:val="24"/>
        </w:rPr>
        <w:t>, p.</w:t>
      </w:r>
      <w:r w:rsidR="00324B60" w:rsidRPr="00495A0D">
        <w:rPr>
          <w:rFonts w:ascii="Times New Roman" w:hAnsi="Times New Roman"/>
          <w:color w:val="000000" w:themeColor="text1"/>
          <w:sz w:val="24"/>
          <w:szCs w:val="24"/>
        </w:rPr>
        <w:t xml:space="preserve"> </w:t>
      </w:r>
      <w:r w:rsidR="00C3759E" w:rsidRPr="00495A0D">
        <w:rPr>
          <w:rFonts w:ascii="Times New Roman" w:hAnsi="Times New Roman"/>
          <w:color w:val="000000" w:themeColor="text1"/>
          <w:sz w:val="24"/>
          <w:szCs w:val="24"/>
        </w:rPr>
        <w:t>1836)</w:t>
      </w:r>
      <w:r w:rsidR="001731E1" w:rsidRPr="00495A0D">
        <w:rPr>
          <w:rFonts w:ascii="Times New Roman" w:hAnsi="Times New Roman"/>
          <w:color w:val="000000" w:themeColor="text1"/>
          <w:sz w:val="24"/>
          <w:szCs w:val="24"/>
        </w:rPr>
        <w:t>.</w:t>
      </w:r>
    </w:p>
    <w:p w14:paraId="2B76B75E" w14:textId="49C147DA" w:rsidR="001731E1" w:rsidRPr="00495A0D" w:rsidRDefault="001731E1" w:rsidP="00495A0D">
      <w:pPr>
        <w:spacing w:after="0" w:line="360" w:lineRule="auto"/>
        <w:ind w:firstLine="708"/>
        <w:jc w:val="both"/>
        <w:rPr>
          <w:rFonts w:ascii="Times New Roman" w:hAnsi="Times New Roman"/>
          <w:color w:val="000000" w:themeColor="text1"/>
          <w:sz w:val="24"/>
          <w:szCs w:val="24"/>
          <w:vertAlign w:val="superscript"/>
        </w:rPr>
      </w:pPr>
      <w:r w:rsidRPr="00495A0D">
        <w:rPr>
          <w:rFonts w:ascii="Times New Roman" w:hAnsi="Times New Roman"/>
          <w:color w:val="000000" w:themeColor="text1"/>
          <w:sz w:val="24"/>
          <w:szCs w:val="24"/>
        </w:rPr>
        <w:t xml:space="preserve">Una alternativa al índice de masa corporal es el producto de acumulación de lípidos, </w:t>
      </w:r>
      <w:r w:rsidR="00BA3E64" w:rsidRPr="00495A0D">
        <w:rPr>
          <w:rFonts w:ascii="Times New Roman" w:hAnsi="Times New Roman"/>
          <w:color w:val="000000" w:themeColor="text1"/>
          <w:sz w:val="24"/>
          <w:szCs w:val="24"/>
        </w:rPr>
        <w:t>que</w:t>
      </w:r>
      <w:r w:rsidRPr="00495A0D">
        <w:rPr>
          <w:rFonts w:ascii="Times New Roman" w:hAnsi="Times New Roman"/>
          <w:color w:val="000000" w:themeColor="text1"/>
          <w:sz w:val="24"/>
          <w:szCs w:val="24"/>
        </w:rPr>
        <w:t xml:space="preserve"> puede ser calculado a partir de la circunferencia abdominal </w:t>
      </w:r>
      <w:r w:rsidR="006043E2" w:rsidRPr="00495A0D">
        <w:rPr>
          <w:rFonts w:ascii="Times New Roman" w:hAnsi="Times New Roman"/>
          <w:color w:val="000000" w:themeColor="text1"/>
          <w:sz w:val="24"/>
          <w:szCs w:val="24"/>
        </w:rPr>
        <w:t xml:space="preserve">del sujeto </w:t>
      </w:r>
      <w:r w:rsidRPr="00495A0D">
        <w:rPr>
          <w:rFonts w:ascii="Times New Roman" w:hAnsi="Times New Roman"/>
          <w:color w:val="000000" w:themeColor="text1"/>
          <w:sz w:val="24"/>
          <w:szCs w:val="24"/>
        </w:rPr>
        <w:t>y de una cifra de triglicéridos en ayuno</w:t>
      </w:r>
      <w:r w:rsidR="00866538"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siendo este un predictor de muerte cardiovascular en varias cohortes</w:t>
      </w:r>
      <w:r w:rsidR="00AD54F2" w:rsidRPr="00495A0D">
        <w:rPr>
          <w:rFonts w:ascii="Times New Roman" w:hAnsi="Times New Roman"/>
          <w:color w:val="000000" w:themeColor="text1"/>
          <w:sz w:val="24"/>
          <w:szCs w:val="24"/>
        </w:rPr>
        <w:t xml:space="preserve"> (Wehr,</w:t>
      </w:r>
      <w:r w:rsidR="00150377" w:rsidRPr="00495A0D">
        <w:rPr>
          <w:rFonts w:ascii="Times New Roman" w:hAnsi="Times New Roman"/>
          <w:color w:val="000000" w:themeColor="text1"/>
          <w:sz w:val="24"/>
          <w:szCs w:val="24"/>
        </w:rPr>
        <w:t xml:space="preserve"> Pilz, Boehm, Marz, and Obemayer </w:t>
      </w:r>
      <w:r w:rsidR="00AD54F2" w:rsidRPr="00495A0D">
        <w:rPr>
          <w:rFonts w:ascii="Times New Roman" w:hAnsi="Times New Roman"/>
          <w:color w:val="000000" w:themeColor="text1"/>
          <w:sz w:val="24"/>
          <w:szCs w:val="24"/>
        </w:rPr>
        <w:t xml:space="preserve"> 2011).</w:t>
      </w:r>
    </w:p>
    <w:p w14:paraId="04655DE1" w14:textId="6EC1FB41" w:rsidR="001731E1" w:rsidRPr="00447037" w:rsidRDefault="009148FD" w:rsidP="00495A0D">
      <w:pPr>
        <w:pStyle w:val="Prrafodelista"/>
        <w:spacing w:after="0" w:line="360" w:lineRule="auto"/>
        <w:ind w:left="0" w:firstLine="708"/>
        <w:jc w:val="both"/>
        <w:rPr>
          <w:rFonts w:ascii="Arial" w:hAnsi="Arial" w:cs="Arial"/>
          <w:b/>
          <w:color w:val="000000" w:themeColor="text1"/>
          <w:sz w:val="24"/>
          <w:szCs w:val="24"/>
        </w:rPr>
      </w:pPr>
      <w:r w:rsidRPr="00495A0D">
        <w:rPr>
          <w:rFonts w:ascii="Times New Roman" w:hAnsi="Times New Roman"/>
          <w:color w:val="000000" w:themeColor="text1"/>
          <w:sz w:val="24"/>
          <w:szCs w:val="24"/>
        </w:rPr>
        <w:t>El estudio evaluó</w:t>
      </w:r>
      <w:r w:rsidR="0033260B" w:rsidRPr="00495A0D">
        <w:rPr>
          <w:rFonts w:ascii="Times New Roman" w:hAnsi="Times New Roman"/>
          <w:color w:val="000000" w:themeColor="text1"/>
          <w:sz w:val="24"/>
          <w:szCs w:val="24"/>
        </w:rPr>
        <w:t xml:space="preserve"> el riesgo cardiovascular de</w:t>
      </w:r>
      <w:r w:rsidR="00034536" w:rsidRPr="00495A0D">
        <w:rPr>
          <w:rFonts w:ascii="Times New Roman" w:hAnsi="Times New Roman"/>
          <w:color w:val="000000" w:themeColor="text1"/>
          <w:sz w:val="24"/>
          <w:szCs w:val="24"/>
        </w:rPr>
        <w:t xml:space="preserve"> enfermero</w:t>
      </w:r>
      <w:r w:rsidR="001731E1" w:rsidRPr="00495A0D">
        <w:rPr>
          <w:rFonts w:ascii="Times New Roman" w:hAnsi="Times New Roman"/>
          <w:color w:val="000000" w:themeColor="text1"/>
          <w:sz w:val="24"/>
          <w:szCs w:val="24"/>
        </w:rPr>
        <w:t>s a</w:t>
      </w:r>
      <w:r w:rsidR="00034536" w:rsidRPr="00495A0D">
        <w:rPr>
          <w:rFonts w:ascii="Times New Roman" w:hAnsi="Times New Roman"/>
          <w:color w:val="000000" w:themeColor="text1"/>
          <w:sz w:val="24"/>
          <w:szCs w:val="24"/>
        </w:rPr>
        <w:t>signado</w:t>
      </w:r>
      <w:r w:rsidR="007F08F9" w:rsidRPr="00495A0D">
        <w:rPr>
          <w:rFonts w:ascii="Times New Roman" w:hAnsi="Times New Roman"/>
          <w:color w:val="000000" w:themeColor="text1"/>
          <w:sz w:val="24"/>
          <w:szCs w:val="24"/>
        </w:rPr>
        <w:t xml:space="preserve">s a una </w:t>
      </w:r>
      <w:r w:rsidR="00866538" w:rsidRPr="00495A0D">
        <w:rPr>
          <w:rFonts w:ascii="Times New Roman" w:hAnsi="Times New Roman"/>
          <w:color w:val="000000" w:themeColor="text1"/>
          <w:sz w:val="24"/>
          <w:szCs w:val="24"/>
        </w:rPr>
        <w:t xml:space="preserve">unidad </w:t>
      </w:r>
      <w:r w:rsidR="007F08F9" w:rsidRPr="00495A0D">
        <w:rPr>
          <w:rFonts w:ascii="Times New Roman" w:hAnsi="Times New Roman"/>
          <w:color w:val="000000" w:themeColor="text1"/>
          <w:sz w:val="24"/>
          <w:szCs w:val="24"/>
        </w:rPr>
        <w:t xml:space="preserve">de </w:t>
      </w:r>
      <w:r w:rsidR="00866538" w:rsidRPr="00495A0D">
        <w:rPr>
          <w:rFonts w:ascii="Times New Roman" w:hAnsi="Times New Roman"/>
          <w:color w:val="000000" w:themeColor="text1"/>
          <w:sz w:val="24"/>
          <w:szCs w:val="24"/>
        </w:rPr>
        <w:t xml:space="preserve">cuidados intensivos </w:t>
      </w:r>
      <w:r w:rsidR="00C73CE8" w:rsidRPr="00495A0D">
        <w:rPr>
          <w:rFonts w:ascii="Times New Roman" w:hAnsi="Times New Roman"/>
          <w:color w:val="000000" w:themeColor="text1"/>
          <w:sz w:val="24"/>
          <w:szCs w:val="24"/>
        </w:rPr>
        <w:t xml:space="preserve">(UCI) </w:t>
      </w:r>
      <w:r w:rsidRPr="00495A0D">
        <w:rPr>
          <w:rFonts w:ascii="Times New Roman" w:hAnsi="Times New Roman"/>
          <w:color w:val="000000" w:themeColor="text1"/>
          <w:sz w:val="24"/>
          <w:szCs w:val="24"/>
        </w:rPr>
        <w:t xml:space="preserve">mediante diversas tablas de </w:t>
      </w:r>
      <w:r w:rsidR="00BC4096" w:rsidRPr="00495A0D">
        <w:rPr>
          <w:rFonts w:ascii="Times New Roman" w:hAnsi="Times New Roman"/>
          <w:color w:val="000000" w:themeColor="text1"/>
          <w:sz w:val="24"/>
          <w:szCs w:val="24"/>
        </w:rPr>
        <w:t>estratificación</w:t>
      </w:r>
      <w:r w:rsidRPr="00495A0D">
        <w:rPr>
          <w:rFonts w:ascii="Times New Roman" w:hAnsi="Times New Roman"/>
          <w:color w:val="000000" w:themeColor="text1"/>
          <w:sz w:val="24"/>
          <w:szCs w:val="24"/>
        </w:rPr>
        <w:t xml:space="preserve"> de riesgo cardiovascular</w:t>
      </w:r>
      <w:r w:rsidR="00866538"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w:t>
      </w:r>
      <w:r w:rsidR="00866538" w:rsidRPr="00495A0D">
        <w:rPr>
          <w:rFonts w:ascii="Times New Roman" w:hAnsi="Times New Roman"/>
          <w:color w:val="000000" w:themeColor="text1"/>
          <w:sz w:val="24"/>
          <w:szCs w:val="24"/>
        </w:rPr>
        <w:t>T</w:t>
      </w:r>
      <w:r w:rsidR="00622DCA" w:rsidRPr="00495A0D">
        <w:rPr>
          <w:rFonts w:ascii="Times New Roman" w:hAnsi="Times New Roman"/>
          <w:color w:val="000000" w:themeColor="text1"/>
          <w:sz w:val="24"/>
          <w:szCs w:val="24"/>
        </w:rPr>
        <w:t>ambién midi</w:t>
      </w:r>
      <w:r w:rsidR="004330B1" w:rsidRPr="00495A0D">
        <w:rPr>
          <w:rFonts w:ascii="Times New Roman" w:hAnsi="Times New Roman"/>
          <w:color w:val="000000" w:themeColor="text1"/>
          <w:sz w:val="24"/>
          <w:szCs w:val="24"/>
        </w:rPr>
        <w:t>ó</w:t>
      </w:r>
      <w:r w:rsidR="001731E1" w:rsidRPr="00495A0D">
        <w:rPr>
          <w:rFonts w:ascii="Times New Roman" w:hAnsi="Times New Roman"/>
          <w:color w:val="000000" w:themeColor="text1"/>
          <w:sz w:val="24"/>
          <w:szCs w:val="24"/>
        </w:rPr>
        <w:t xml:space="preserve"> factores de riesgo cardiovasc</w:t>
      </w:r>
      <w:r w:rsidR="004330B1" w:rsidRPr="00495A0D">
        <w:rPr>
          <w:rFonts w:ascii="Times New Roman" w:hAnsi="Times New Roman"/>
          <w:color w:val="000000" w:themeColor="text1"/>
          <w:sz w:val="24"/>
          <w:szCs w:val="24"/>
        </w:rPr>
        <w:t>ular antropométricos que podrían</w:t>
      </w:r>
      <w:r w:rsidR="001731E1" w:rsidRPr="00495A0D">
        <w:rPr>
          <w:rFonts w:ascii="Times New Roman" w:hAnsi="Times New Roman"/>
          <w:color w:val="000000" w:themeColor="text1"/>
          <w:sz w:val="24"/>
          <w:szCs w:val="24"/>
        </w:rPr>
        <w:t xml:space="preserve"> acelerar el desarrollo de enfermedad cardíaca en estos profesionales</w:t>
      </w:r>
      <w:r w:rsidR="004330B1" w:rsidRPr="00495A0D">
        <w:rPr>
          <w:rFonts w:ascii="Times New Roman" w:hAnsi="Times New Roman"/>
          <w:color w:val="000000" w:themeColor="text1"/>
          <w:sz w:val="24"/>
          <w:szCs w:val="24"/>
        </w:rPr>
        <w:t xml:space="preserve"> de la salud</w:t>
      </w:r>
      <w:r w:rsidR="001731E1" w:rsidRPr="00495A0D">
        <w:rPr>
          <w:rFonts w:ascii="Times New Roman" w:hAnsi="Times New Roman"/>
          <w:color w:val="000000" w:themeColor="text1"/>
          <w:sz w:val="24"/>
          <w:szCs w:val="24"/>
        </w:rPr>
        <w:t>.</w:t>
      </w:r>
    </w:p>
    <w:p w14:paraId="3912BC81" w14:textId="77777777" w:rsidR="00BC2F6D" w:rsidRPr="00447037" w:rsidRDefault="00BC2F6D" w:rsidP="00D24753">
      <w:pPr>
        <w:spacing w:after="0"/>
        <w:jc w:val="both"/>
        <w:rPr>
          <w:rFonts w:ascii="Arial" w:hAnsi="Arial" w:cs="Arial"/>
          <w:color w:val="000000" w:themeColor="text1"/>
          <w:sz w:val="24"/>
          <w:szCs w:val="24"/>
        </w:rPr>
      </w:pPr>
    </w:p>
    <w:p w14:paraId="0CCC2FCE" w14:textId="22D0F223" w:rsidR="001731E1" w:rsidRPr="00162A70" w:rsidRDefault="001731E1" w:rsidP="00D24753">
      <w:pPr>
        <w:spacing w:after="0"/>
        <w:jc w:val="both"/>
        <w:rPr>
          <w:rFonts w:cs="Calibri"/>
          <w:b/>
          <w:color w:val="000000" w:themeColor="text1"/>
          <w:sz w:val="28"/>
          <w:szCs w:val="28"/>
          <w:lang w:val="es-ES" w:eastAsia="es-ES"/>
        </w:rPr>
      </w:pPr>
      <w:r w:rsidRPr="00162A70">
        <w:rPr>
          <w:rFonts w:cs="Calibri"/>
          <w:b/>
          <w:color w:val="000000" w:themeColor="text1"/>
          <w:sz w:val="28"/>
          <w:szCs w:val="28"/>
          <w:lang w:val="es-ES" w:eastAsia="es-ES"/>
        </w:rPr>
        <w:t xml:space="preserve">Material y </w:t>
      </w:r>
      <w:r w:rsidR="00866538" w:rsidRPr="00162A70">
        <w:rPr>
          <w:rFonts w:cs="Calibri"/>
          <w:b/>
          <w:color w:val="000000" w:themeColor="text1"/>
          <w:sz w:val="28"/>
          <w:szCs w:val="28"/>
          <w:lang w:val="es-ES" w:eastAsia="es-ES"/>
        </w:rPr>
        <w:t>métodos</w:t>
      </w:r>
    </w:p>
    <w:p w14:paraId="27F59A87" w14:textId="76F87D00" w:rsidR="00DD1E08"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Se llevó a cabo un</w:t>
      </w:r>
      <w:r w:rsidR="00F35B33" w:rsidRPr="00495A0D">
        <w:rPr>
          <w:rFonts w:ascii="Times New Roman" w:hAnsi="Times New Roman"/>
          <w:color w:val="000000" w:themeColor="text1"/>
          <w:sz w:val="24"/>
          <w:szCs w:val="24"/>
        </w:rPr>
        <w:t xml:space="preserve"> estudio</w:t>
      </w:r>
      <w:r w:rsidRPr="00495A0D">
        <w:rPr>
          <w:rFonts w:ascii="Times New Roman" w:hAnsi="Times New Roman"/>
          <w:color w:val="000000" w:themeColor="text1"/>
          <w:sz w:val="24"/>
          <w:szCs w:val="24"/>
        </w:rPr>
        <w:t xml:space="preserve"> descr</w:t>
      </w:r>
      <w:r w:rsidR="00A64CE0" w:rsidRPr="00495A0D">
        <w:rPr>
          <w:rFonts w:ascii="Times New Roman" w:hAnsi="Times New Roman"/>
          <w:color w:val="000000" w:themeColor="text1"/>
          <w:sz w:val="24"/>
          <w:szCs w:val="24"/>
        </w:rPr>
        <w:t>iptivo, de</w:t>
      </w:r>
      <w:r w:rsidR="002675A3" w:rsidRPr="00495A0D">
        <w:rPr>
          <w:rFonts w:ascii="Times New Roman" w:hAnsi="Times New Roman"/>
          <w:color w:val="000000" w:themeColor="text1"/>
          <w:sz w:val="24"/>
          <w:szCs w:val="24"/>
        </w:rPr>
        <w:t xml:space="preserve"> corte transversal</w:t>
      </w:r>
      <w:r w:rsidR="00866538" w:rsidRPr="00495A0D">
        <w:rPr>
          <w:rFonts w:ascii="Times New Roman" w:hAnsi="Times New Roman"/>
          <w:color w:val="000000" w:themeColor="text1"/>
          <w:sz w:val="24"/>
          <w:szCs w:val="24"/>
        </w:rPr>
        <w:t xml:space="preserve">. En </w:t>
      </w:r>
      <w:r w:rsidR="003B4551" w:rsidRPr="00495A0D">
        <w:rPr>
          <w:rFonts w:ascii="Times New Roman" w:hAnsi="Times New Roman"/>
          <w:color w:val="000000" w:themeColor="text1"/>
          <w:sz w:val="24"/>
          <w:szCs w:val="24"/>
        </w:rPr>
        <w:t>dicho estudio</w:t>
      </w:r>
      <w:r w:rsidR="00866538" w:rsidRPr="00495A0D">
        <w:rPr>
          <w:rFonts w:ascii="Times New Roman" w:hAnsi="Times New Roman"/>
          <w:color w:val="000000" w:themeColor="text1"/>
          <w:sz w:val="24"/>
          <w:szCs w:val="24"/>
        </w:rPr>
        <w:t>,</w:t>
      </w:r>
      <w:r w:rsidR="003B4551" w:rsidRPr="00495A0D">
        <w:rPr>
          <w:rFonts w:ascii="Times New Roman" w:hAnsi="Times New Roman"/>
          <w:color w:val="000000" w:themeColor="text1"/>
          <w:sz w:val="24"/>
          <w:szCs w:val="24"/>
        </w:rPr>
        <w:t xml:space="preserve"> el universo</w:t>
      </w:r>
      <w:r w:rsidR="002675A3" w:rsidRPr="00495A0D">
        <w:rPr>
          <w:rFonts w:ascii="Times New Roman" w:hAnsi="Times New Roman"/>
          <w:color w:val="000000" w:themeColor="text1"/>
          <w:sz w:val="24"/>
          <w:szCs w:val="24"/>
        </w:rPr>
        <w:t xml:space="preserve"> estuvo con</w:t>
      </w:r>
      <w:r w:rsidR="003B4551" w:rsidRPr="00495A0D">
        <w:rPr>
          <w:rFonts w:ascii="Times New Roman" w:hAnsi="Times New Roman"/>
          <w:color w:val="000000" w:themeColor="text1"/>
          <w:sz w:val="24"/>
          <w:szCs w:val="24"/>
        </w:rPr>
        <w:t>formado</w:t>
      </w:r>
      <w:r w:rsidR="002675A3" w:rsidRPr="00495A0D">
        <w:rPr>
          <w:rFonts w:ascii="Times New Roman" w:hAnsi="Times New Roman"/>
          <w:color w:val="000000" w:themeColor="text1"/>
          <w:sz w:val="24"/>
          <w:szCs w:val="24"/>
        </w:rPr>
        <w:t xml:space="preserve"> por</w:t>
      </w:r>
      <w:r w:rsidR="00C5528D" w:rsidRPr="00495A0D">
        <w:rPr>
          <w:rFonts w:ascii="Times New Roman" w:hAnsi="Times New Roman"/>
          <w:color w:val="000000" w:themeColor="text1"/>
          <w:sz w:val="24"/>
          <w:szCs w:val="24"/>
        </w:rPr>
        <w:t xml:space="preserve"> </w:t>
      </w:r>
      <w:r w:rsidR="003156F3" w:rsidRPr="00495A0D">
        <w:rPr>
          <w:rFonts w:ascii="Times New Roman" w:hAnsi="Times New Roman"/>
          <w:color w:val="000000" w:themeColor="text1"/>
          <w:sz w:val="24"/>
          <w:szCs w:val="24"/>
        </w:rPr>
        <w:t>30</w:t>
      </w:r>
      <w:r w:rsidR="002675A3" w:rsidRPr="00495A0D">
        <w:rPr>
          <w:rFonts w:ascii="Times New Roman" w:hAnsi="Times New Roman"/>
          <w:color w:val="000000" w:themeColor="text1"/>
          <w:sz w:val="24"/>
          <w:szCs w:val="24"/>
        </w:rPr>
        <w:t xml:space="preserve"> profesionales de enfermería </w:t>
      </w:r>
      <w:r w:rsidR="00866538" w:rsidRPr="00495A0D">
        <w:rPr>
          <w:rFonts w:ascii="Times New Roman" w:hAnsi="Times New Roman"/>
          <w:color w:val="000000" w:themeColor="text1"/>
          <w:sz w:val="24"/>
          <w:szCs w:val="24"/>
        </w:rPr>
        <w:t>—</w:t>
      </w:r>
      <w:r w:rsidR="002675A3" w:rsidRPr="00495A0D">
        <w:rPr>
          <w:rFonts w:ascii="Times New Roman" w:hAnsi="Times New Roman"/>
          <w:color w:val="000000" w:themeColor="text1"/>
          <w:sz w:val="24"/>
          <w:szCs w:val="24"/>
        </w:rPr>
        <w:t xml:space="preserve">asignados a la </w:t>
      </w:r>
      <w:r w:rsidR="00C73CE8" w:rsidRPr="00495A0D">
        <w:rPr>
          <w:rFonts w:ascii="Times New Roman" w:hAnsi="Times New Roman"/>
          <w:color w:val="000000" w:themeColor="text1"/>
          <w:sz w:val="24"/>
          <w:szCs w:val="24"/>
        </w:rPr>
        <w:t>UCI</w:t>
      </w:r>
      <w:r w:rsidR="00866538" w:rsidRPr="00495A0D">
        <w:rPr>
          <w:rFonts w:ascii="Times New Roman" w:hAnsi="Times New Roman"/>
          <w:color w:val="000000" w:themeColor="text1"/>
          <w:sz w:val="24"/>
          <w:szCs w:val="24"/>
        </w:rPr>
        <w:t xml:space="preserve"> </w:t>
      </w:r>
      <w:r w:rsidR="007C49BF" w:rsidRPr="00495A0D">
        <w:rPr>
          <w:rFonts w:ascii="Times New Roman" w:hAnsi="Times New Roman"/>
          <w:color w:val="000000" w:themeColor="text1"/>
          <w:sz w:val="24"/>
          <w:szCs w:val="24"/>
        </w:rPr>
        <w:t>de un hospital de tercer nivel</w:t>
      </w:r>
      <w:r w:rsidR="002675A3" w:rsidRPr="00495A0D">
        <w:rPr>
          <w:rFonts w:ascii="Times New Roman" w:hAnsi="Times New Roman"/>
          <w:color w:val="000000" w:themeColor="text1"/>
          <w:sz w:val="24"/>
          <w:szCs w:val="24"/>
        </w:rPr>
        <w:t xml:space="preserve"> de la Ciudad de México</w:t>
      </w:r>
      <w:r w:rsidR="00866538" w:rsidRPr="00495A0D">
        <w:rPr>
          <w:rFonts w:ascii="Times New Roman" w:hAnsi="Times New Roman"/>
          <w:color w:val="000000" w:themeColor="text1"/>
          <w:sz w:val="24"/>
          <w:szCs w:val="24"/>
        </w:rPr>
        <w:t>—</w:t>
      </w:r>
      <w:r w:rsidR="003156F3" w:rsidRPr="00495A0D">
        <w:rPr>
          <w:rFonts w:ascii="Times New Roman" w:hAnsi="Times New Roman"/>
          <w:color w:val="000000" w:themeColor="text1"/>
          <w:sz w:val="24"/>
          <w:szCs w:val="24"/>
        </w:rPr>
        <w:t xml:space="preserve">, de los cuales se </w:t>
      </w:r>
      <w:r w:rsidR="00866538" w:rsidRPr="00495A0D">
        <w:rPr>
          <w:rFonts w:ascii="Times New Roman" w:hAnsi="Times New Roman"/>
          <w:color w:val="000000" w:themeColor="text1"/>
          <w:sz w:val="24"/>
          <w:szCs w:val="24"/>
        </w:rPr>
        <w:t xml:space="preserve">excluyó </w:t>
      </w:r>
      <w:r w:rsidR="003156F3" w:rsidRPr="00495A0D">
        <w:rPr>
          <w:rFonts w:ascii="Times New Roman" w:hAnsi="Times New Roman"/>
          <w:color w:val="000000" w:themeColor="text1"/>
          <w:sz w:val="24"/>
          <w:szCs w:val="24"/>
        </w:rPr>
        <w:t xml:space="preserve">a </w:t>
      </w:r>
      <w:r w:rsidR="00866538" w:rsidRPr="00495A0D">
        <w:rPr>
          <w:rFonts w:ascii="Times New Roman" w:hAnsi="Times New Roman"/>
          <w:color w:val="000000" w:themeColor="text1"/>
          <w:sz w:val="24"/>
          <w:szCs w:val="24"/>
        </w:rPr>
        <w:t xml:space="preserve">cinco </w:t>
      </w:r>
      <w:r w:rsidR="003156F3" w:rsidRPr="00495A0D">
        <w:rPr>
          <w:rFonts w:ascii="Times New Roman" w:hAnsi="Times New Roman"/>
          <w:color w:val="000000" w:themeColor="text1"/>
          <w:sz w:val="24"/>
          <w:szCs w:val="24"/>
        </w:rPr>
        <w:t>de ellos (</w:t>
      </w:r>
      <w:r w:rsidR="00866538" w:rsidRPr="00495A0D">
        <w:rPr>
          <w:rFonts w:ascii="Times New Roman" w:hAnsi="Times New Roman"/>
          <w:color w:val="000000" w:themeColor="text1"/>
          <w:sz w:val="24"/>
          <w:szCs w:val="24"/>
        </w:rPr>
        <w:t xml:space="preserve">tabla </w:t>
      </w:r>
      <w:r w:rsidR="003156F3" w:rsidRPr="00495A0D">
        <w:rPr>
          <w:rFonts w:ascii="Times New Roman" w:hAnsi="Times New Roman"/>
          <w:color w:val="000000" w:themeColor="text1"/>
          <w:sz w:val="24"/>
          <w:szCs w:val="24"/>
        </w:rPr>
        <w:t>1).</w:t>
      </w:r>
    </w:p>
    <w:p w14:paraId="3E152E90" w14:textId="621D2C74" w:rsidR="005D70DE" w:rsidRDefault="005D70DE" w:rsidP="00495A0D">
      <w:pPr>
        <w:spacing w:line="360" w:lineRule="auto"/>
        <w:rPr>
          <w:rFonts w:ascii="Times New Roman" w:hAnsi="Times New Roman"/>
          <w:b/>
          <w:color w:val="000000" w:themeColor="text1"/>
          <w:sz w:val="24"/>
        </w:rPr>
      </w:pPr>
    </w:p>
    <w:p w14:paraId="143F386F" w14:textId="20C10D8D" w:rsidR="00B07455" w:rsidRDefault="00B07455" w:rsidP="00495A0D">
      <w:pPr>
        <w:spacing w:line="360" w:lineRule="auto"/>
        <w:rPr>
          <w:rFonts w:ascii="Times New Roman" w:hAnsi="Times New Roman"/>
          <w:b/>
          <w:color w:val="000000" w:themeColor="text1"/>
          <w:sz w:val="24"/>
        </w:rPr>
      </w:pPr>
    </w:p>
    <w:p w14:paraId="29318C94" w14:textId="6CEABFA3" w:rsidR="00D27A09" w:rsidRDefault="00D27A09" w:rsidP="00495A0D">
      <w:pPr>
        <w:spacing w:line="360" w:lineRule="auto"/>
        <w:rPr>
          <w:rFonts w:ascii="Times New Roman" w:hAnsi="Times New Roman"/>
          <w:b/>
          <w:color w:val="000000" w:themeColor="text1"/>
          <w:sz w:val="24"/>
        </w:rPr>
      </w:pPr>
    </w:p>
    <w:p w14:paraId="04C6C110" w14:textId="77777777" w:rsidR="00D27A09" w:rsidRPr="00495A0D" w:rsidRDefault="00D27A09" w:rsidP="00495A0D">
      <w:pPr>
        <w:spacing w:line="360" w:lineRule="auto"/>
        <w:rPr>
          <w:rFonts w:ascii="Times New Roman" w:hAnsi="Times New Roman"/>
          <w:b/>
          <w:color w:val="000000" w:themeColor="text1"/>
          <w:sz w:val="24"/>
        </w:rPr>
      </w:pPr>
    </w:p>
    <w:p w14:paraId="7754020A" w14:textId="20C87ED4" w:rsidR="00DD1E08" w:rsidRPr="00495A0D" w:rsidRDefault="005D70DE" w:rsidP="00495A0D">
      <w:pPr>
        <w:spacing w:line="360" w:lineRule="auto"/>
        <w:jc w:val="center"/>
        <w:rPr>
          <w:rFonts w:ascii="Times New Roman" w:hAnsi="Times New Roman"/>
          <w:i/>
          <w:color w:val="000000" w:themeColor="text1"/>
          <w:sz w:val="24"/>
        </w:rPr>
      </w:pPr>
      <w:r w:rsidRPr="00495A0D">
        <w:rPr>
          <w:rFonts w:ascii="Times New Roman" w:hAnsi="Times New Roman"/>
          <w:b/>
          <w:color w:val="000000" w:themeColor="text1"/>
          <w:sz w:val="24"/>
        </w:rPr>
        <w:lastRenderedPageBreak/>
        <w:t xml:space="preserve">Tabla </w:t>
      </w:r>
      <w:r w:rsidR="00DD1E08" w:rsidRPr="00495A0D">
        <w:rPr>
          <w:rFonts w:ascii="Times New Roman" w:hAnsi="Times New Roman"/>
          <w:b/>
          <w:color w:val="000000" w:themeColor="text1"/>
          <w:sz w:val="24"/>
        </w:rPr>
        <w:t>1</w:t>
      </w:r>
      <w:r w:rsidR="00495A0D">
        <w:rPr>
          <w:rFonts w:ascii="Times New Roman" w:hAnsi="Times New Roman"/>
          <w:b/>
          <w:color w:val="000000" w:themeColor="text1"/>
          <w:sz w:val="24"/>
        </w:rPr>
        <w:t>.</w:t>
      </w:r>
      <w:r w:rsidR="00DD1E08" w:rsidRPr="00495A0D">
        <w:rPr>
          <w:rFonts w:ascii="Times New Roman" w:hAnsi="Times New Roman"/>
          <w:b/>
          <w:color w:val="000000" w:themeColor="text1"/>
          <w:sz w:val="24"/>
        </w:rPr>
        <w:t xml:space="preserve"> </w:t>
      </w:r>
      <w:r w:rsidR="00DD1E08" w:rsidRPr="00495A0D">
        <w:rPr>
          <w:rFonts w:ascii="Times New Roman" w:hAnsi="Times New Roman"/>
          <w:color w:val="000000" w:themeColor="text1"/>
          <w:sz w:val="24"/>
        </w:rPr>
        <w:t>Características de los profesionales de enfermería que laboran en UCI</w:t>
      </w:r>
      <w:r w:rsidRPr="00495A0D">
        <w:rPr>
          <w:rFonts w:ascii="Times New Roman" w:hAnsi="Times New Roman"/>
          <w:color w:val="000000" w:themeColor="text1"/>
          <w:sz w:val="24"/>
        </w:rPr>
        <w:t xml:space="preserve"> </w:t>
      </w:r>
      <w:r w:rsidR="00DD1E08" w:rsidRPr="00495A0D">
        <w:rPr>
          <w:rFonts w:ascii="Times New Roman" w:hAnsi="Times New Roman"/>
          <w:color w:val="000000" w:themeColor="text1"/>
          <w:sz w:val="24"/>
        </w:rPr>
        <w:t>(n= 25)</w:t>
      </w:r>
    </w:p>
    <w:tbl>
      <w:tblPr>
        <w:tblStyle w:val="Listaclara"/>
        <w:tblW w:w="4917" w:type="pct"/>
        <w:jc w:val="center"/>
        <w:tblLook w:val="0620" w:firstRow="1" w:lastRow="0" w:firstColumn="0" w:lastColumn="0" w:noHBand="1" w:noVBand="1"/>
      </w:tblPr>
      <w:tblGrid>
        <w:gridCol w:w="3470"/>
        <w:gridCol w:w="1733"/>
        <w:gridCol w:w="1733"/>
        <w:gridCol w:w="1736"/>
      </w:tblGrid>
      <w:tr w:rsidR="00DD1E08" w:rsidRPr="00447037" w14:paraId="46B4F942" w14:textId="77777777" w:rsidTr="00D27A09">
        <w:trPr>
          <w:cnfStyle w:val="100000000000" w:firstRow="1" w:lastRow="0" w:firstColumn="0" w:lastColumn="0" w:oddVBand="0" w:evenVBand="0" w:oddHBand="0" w:evenHBand="0" w:firstRowFirstColumn="0" w:firstRowLastColumn="0" w:lastRowFirstColumn="0" w:lastRowLastColumn="0"/>
          <w:trHeight w:val="375"/>
          <w:jc w:val="center"/>
        </w:trPr>
        <w:tc>
          <w:tcPr>
            <w:tcW w:w="2001" w:type="pct"/>
          </w:tcPr>
          <w:p w14:paraId="6CDF27ED" w14:textId="77777777" w:rsidR="00DD1E08" w:rsidRPr="00495A0D" w:rsidRDefault="00DD1E08" w:rsidP="005D70DE">
            <w:pPr>
              <w:rPr>
                <w:sz w:val="20"/>
                <w:szCs w:val="20"/>
              </w:rPr>
            </w:pPr>
            <w:r w:rsidRPr="00495A0D">
              <w:rPr>
                <w:rFonts w:ascii="Arial Unicode MS" w:eastAsia="Arial Unicode MS" w:hAnsi="Arial Unicode MS" w:cs="Arial Unicode MS"/>
                <w:color w:val="auto"/>
                <w:sz w:val="20"/>
                <w:szCs w:val="20"/>
              </w:rPr>
              <w:t>Variable</w:t>
            </w:r>
          </w:p>
        </w:tc>
        <w:tc>
          <w:tcPr>
            <w:tcW w:w="999" w:type="pct"/>
          </w:tcPr>
          <w:p w14:paraId="480B9753" w14:textId="77777777" w:rsidR="00DD1E08" w:rsidRPr="00495A0D" w:rsidRDefault="00DD1E08" w:rsidP="005D70DE">
            <w:pPr>
              <w:rPr>
                <w:sz w:val="20"/>
                <w:szCs w:val="20"/>
              </w:rPr>
            </w:pPr>
          </w:p>
        </w:tc>
        <w:tc>
          <w:tcPr>
            <w:tcW w:w="999" w:type="pct"/>
          </w:tcPr>
          <w:p w14:paraId="7FB9181A" w14:textId="77777777" w:rsidR="00DD1E08" w:rsidRPr="00495A0D" w:rsidRDefault="00DD1E08" w:rsidP="005D70DE">
            <w:pPr>
              <w:jc w:val="center"/>
              <w:rPr>
                <w:rFonts w:ascii="Arial Unicode MS" w:eastAsia="Arial Unicode MS" w:hAnsi="Arial Unicode MS" w:cs="Arial Unicode MS"/>
                <w:sz w:val="20"/>
                <w:szCs w:val="20"/>
              </w:rPr>
            </w:pPr>
            <w:r w:rsidRPr="00495A0D">
              <w:rPr>
                <w:rFonts w:ascii="Arial Unicode MS" w:eastAsia="Arial Unicode MS" w:hAnsi="Arial Unicode MS" w:cs="Arial Unicode MS"/>
                <w:color w:val="auto"/>
                <w:sz w:val="20"/>
                <w:szCs w:val="20"/>
              </w:rPr>
              <w:t>n</w:t>
            </w:r>
          </w:p>
        </w:tc>
        <w:tc>
          <w:tcPr>
            <w:tcW w:w="1001" w:type="pct"/>
          </w:tcPr>
          <w:p w14:paraId="7ADE8C30" w14:textId="77777777" w:rsidR="00DD1E08" w:rsidRPr="00495A0D" w:rsidRDefault="00DD1E08" w:rsidP="005D70DE">
            <w:pPr>
              <w:jc w:val="center"/>
              <w:rPr>
                <w:rFonts w:ascii="Arial Unicode MS" w:eastAsia="Arial Unicode MS" w:hAnsi="Arial Unicode MS" w:cs="Arial Unicode MS"/>
                <w:sz w:val="20"/>
                <w:szCs w:val="20"/>
              </w:rPr>
            </w:pPr>
            <w:r w:rsidRPr="00495A0D">
              <w:rPr>
                <w:rFonts w:ascii="Arial Unicode MS" w:eastAsia="Arial Unicode MS" w:hAnsi="Arial Unicode MS" w:cs="Arial Unicode MS"/>
                <w:color w:val="auto"/>
                <w:sz w:val="20"/>
                <w:szCs w:val="20"/>
              </w:rPr>
              <w:t>%</w:t>
            </w:r>
          </w:p>
        </w:tc>
      </w:tr>
      <w:tr w:rsidR="00DD1E08" w:rsidRPr="00447037" w14:paraId="4C6FC6A6" w14:textId="77777777" w:rsidTr="00D27A09">
        <w:trPr>
          <w:trHeight w:val="375"/>
          <w:jc w:val="center"/>
        </w:trPr>
        <w:tc>
          <w:tcPr>
            <w:tcW w:w="2001" w:type="pct"/>
          </w:tcPr>
          <w:p w14:paraId="27CB4181" w14:textId="77777777" w:rsidR="00DD1E08" w:rsidRPr="00495A0D" w:rsidRDefault="00DD1E08" w:rsidP="005D70DE">
            <w:pPr>
              <w:rPr>
                <w:rFonts w:ascii="Arial Unicode MS" w:eastAsia="Arial Unicode MS" w:hAnsi="Arial Unicode MS" w:cs="Arial Unicode MS"/>
                <w:b/>
                <w:color w:val="000000" w:themeColor="text1"/>
                <w:sz w:val="24"/>
                <w:szCs w:val="24"/>
              </w:rPr>
            </w:pPr>
            <w:r w:rsidRPr="00495A0D">
              <w:rPr>
                <w:rFonts w:ascii="Arial Unicode MS" w:eastAsia="Arial Unicode MS" w:hAnsi="Arial Unicode MS" w:cs="Arial Unicode MS"/>
                <w:b/>
                <w:color w:val="000000" w:themeColor="text1"/>
                <w:sz w:val="24"/>
                <w:szCs w:val="24"/>
              </w:rPr>
              <w:t xml:space="preserve">Universo </w:t>
            </w:r>
          </w:p>
        </w:tc>
        <w:tc>
          <w:tcPr>
            <w:tcW w:w="999" w:type="pct"/>
          </w:tcPr>
          <w:p w14:paraId="3B9CB440" w14:textId="77777777" w:rsidR="00DD1E08" w:rsidRPr="00495A0D" w:rsidRDefault="00DD1E08" w:rsidP="005D70DE">
            <w:pPr>
              <w:rPr>
                <w:color w:val="000000" w:themeColor="text1"/>
                <w:sz w:val="24"/>
                <w:szCs w:val="24"/>
              </w:rPr>
            </w:pPr>
          </w:p>
        </w:tc>
        <w:tc>
          <w:tcPr>
            <w:tcW w:w="999" w:type="pct"/>
          </w:tcPr>
          <w:p w14:paraId="05BBD28C"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30</w:t>
            </w:r>
          </w:p>
        </w:tc>
        <w:tc>
          <w:tcPr>
            <w:tcW w:w="1001" w:type="pct"/>
          </w:tcPr>
          <w:p w14:paraId="1188E96D"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tc>
      </w:tr>
      <w:tr w:rsidR="00DD1E08" w:rsidRPr="00447037" w14:paraId="0881E21D" w14:textId="77777777" w:rsidTr="00D27A09">
        <w:trPr>
          <w:trHeight w:val="375"/>
          <w:jc w:val="center"/>
        </w:trPr>
        <w:tc>
          <w:tcPr>
            <w:tcW w:w="3000" w:type="pct"/>
            <w:gridSpan w:val="2"/>
          </w:tcPr>
          <w:p w14:paraId="7724B627" w14:textId="77777777" w:rsidR="00DD1E08" w:rsidRPr="00495A0D" w:rsidRDefault="00DD1E08" w:rsidP="005D70DE">
            <w:pPr>
              <w:rPr>
                <w:color w:val="000000" w:themeColor="text1"/>
                <w:sz w:val="24"/>
                <w:szCs w:val="24"/>
              </w:rPr>
            </w:pPr>
            <w:r w:rsidRPr="00495A0D">
              <w:rPr>
                <w:rFonts w:ascii="Arial Unicode MS" w:eastAsia="Arial Unicode MS" w:hAnsi="Arial Unicode MS" w:cs="Arial Unicode MS"/>
                <w:b/>
                <w:color w:val="000000" w:themeColor="text1"/>
                <w:sz w:val="24"/>
                <w:szCs w:val="24"/>
              </w:rPr>
              <w:t xml:space="preserve">Número de profesionales </w:t>
            </w:r>
            <w:proofErr w:type="spellStart"/>
            <w:r w:rsidRPr="00495A0D">
              <w:rPr>
                <w:rFonts w:ascii="Arial Unicode MS" w:eastAsia="Arial Unicode MS" w:hAnsi="Arial Unicode MS" w:cs="Arial Unicode MS"/>
                <w:b/>
                <w:color w:val="000000" w:themeColor="text1"/>
                <w:sz w:val="24"/>
                <w:szCs w:val="24"/>
              </w:rPr>
              <w:t>incluidos</w:t>
            </w:r>
            <w:r w:rsidRPr="00495A0D">
              <w:rPr>
                <w:rFonts w:ascii="Arial Unicode MS" w:eastAsia="Arial Unicode MS" w:hAnsi="Arial Unicode MS" w:cs="Arial Unicode MS"/>
                <w:b/>
                <w:color w:val="000000" w:themeColor="text1"/>
                <w:sz w:val="24"/>
                <w:szCs w:val="24"/>
                <w:vertAlign w:val="superscript"/>
              </w:rPr>
              <w:t>a</w:t>
            </w:r>
            <w:proofErr w:type="spellEnd"/>
            <w:r w:rsidRPr="00495A0D">
              <w:rPr>
                <w:rFonts w:ascii="Arial Unicode MS" w:eastAsia="Arial Unicode MS" w:hAnsi="Arial Unicode MS" w:cs="Arial Unicode MS"/>
                <w:b/>
                <w:color w:val="000000" w:themeColor="text1"/>
                <w:sz w:val="24"/>
                <w:szCs w:val="24"/>
              </w:rPr>
              <w:t xml:space="preserve"> </w:t>
            </w:r>
          </w:p>
        </w:tc>
        <w:tc>
          <w:tcPr>
            <w:tcW w:w="999" w:type="pct"/>
          </w:tcPr>
          <w:p w14:paraId="566CECEE"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25</w:t>
            </w:r>
          </w:p>
        </w:tc>
        <w:tc>
          <w:tcPr>
            <w:tcW w:w="1001" w:type="pct"/>
          </w:tcPr>
          <w:p w14:paraId="2BCA3C8E"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100 %</w:t>
            </w:r>
          </w:p>
        </w:tc>
      </w:tr>
      <w:tr w:rsidR="00DD1E08" w:rsidRPr="00447037" w14:paraId="0C34B6B6" w14:textId="77777777" w:rsidTr="00D27A09">
        <w:trPr>
          <w:trHeight w:val="375"/>
          <w:jc w:val="center"/>
        </w:trPr>
        <w:tc>
          <w:tcPr>
            <w:tcW w:w="3000" w:type="pct"/>
            <w:gridSpan w:val="2"/>
          </w:tcPr>
          <w:p w14:paraId="79CC33CB" w14:textId="77777777" w:rsidR="00DD1E08" w:rsidRPr="00495A0D" w:rsidRDefault="00DD1E08" w:rsidP="005D70DE">
            <w:pPr>
              <w:rPr>
                <w:rFonts w:ascii="Arial Unicode MS" w:eastAsia="Arial Unicode MS" w:hAnsi="Arial Unicode MS" w:cs="Arial Unicode MS"/>
                <w:b/>
                <w:color w:val="000000" w:themeColor="text1"/>
                <w:sz w:val="24"/>
                <w:szCs w:val="24"/>
                <w:vertAlign w:val="superscript"/>
              </w:rPr>
            </w:pPr>
            <w:r w:rsidRPr="00495A0D">
              <w:rPr>
                <w:rFonts w:ascii="Arial Unicode MS" w:eastAsia="Arial Unicode MS" w:hAnsi="Arial Unicode MS" w:cs="Arial Unicode MS"/>
                <w:b/>
                <w:color w:val="000000" w:themeColor="text1"/>
                <w:sz w:val="24"/>
                <w:szCs w:val="24"/>
              </w:rPr>
              <w:t xml:space="preserve">Número de profesionales </w:t>
            </w:r>
            <w:proofErr w:type="spellStart"/>
            <w:r w:rsidRPr="00495A0D">
              <w:rPr>
                <w:rFonts w:ascii="Arial Unicode MS" w:eastAsia="Arial Unicode MS" w:hAnsi="Arial Unicode MS" w:cs="Arial Unicode MS"/>
                <w:b/>
                <w:color w:val="000000" w:themeColor="text1"/>
                <w:sz w:val="24"/>
                <w:szCs w:val="24"/>
              </w:rPr>
              <w:t>excluidos</w:t>
            </w:r>
            <w:r w:rsidRPr="00495A0D">
              <w:rPr>
                <w:rFonts w:ascii="Arial Unicode MS" w:eastAsia="Arial Unicode MS" w:hAnsi="Arial Unicode MS" w:cs="Arial Unicode MS"/>
                <w:b/>
                <w:color w:val="000000" w:themeColor="text1"/>
                <w:sz w:val="24"/>
                <w:szCs w:val="24"/>
                <w:vertAlign w:val="superscript"/>
              </w:rPr>
              <w:t>b</w:t>
            </w:r>
            <w:proofErr w:type="spellEnd"/>
          </w:p>
        </w:tc>
        <w:tc>
          <w:tcPr>
            <w:tcW w:w="999" w:type="pct"/>
          </w:tcPr>
          <w:p w14:paraId="29EBFAF8"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5</w:t>
            </w:r>
          </w:p>
        </w:tc>
        <w:tc>
          <w:tcPr>
            <w:tcW w:w="1001" w:type="pct"/>
          </w:tcPr>
          <w:p w14:paraId="5D07B842"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tc>
      </w:tr>
      <w:tr w:rsidR="00DD1E08" w:rsidRPr="00447037" w14:paraId="6A3459CB" w14:textId="77777777" w:rsidTr="00D27A09">
        <w:trPr>
          <w:trHeight w:val="262"/>
          <w:jc w:val="center"/>
        </w:trPr>
        <w:tc>
          <w:tcPr>
            <w:tcW w:w="2001" w:type="pct"/>
          </w:tcPr>
          <w:p w14:paraId="5D522BD2" w14:textId="77E5FF2E" w:rsidR="00DD1E08" w:rsidRPr="00495A0D" w:rsidRDefault="002A09B1" w:rsidP="005D70DE">
            <w:pPr>
              <w:rPr>
                <w:rFonts w:ascii="Arial Unicode MS" w:eastAsia="Arial Unicode MS" w:hAnsi="Arial Unicode MS" w:cs="Arial Unicode MS"/>
                <w:b/>
                <w:color w:val="000000" w:themeColor="text1"/>
                <w:sz w:val="24"/>
                <w:szCs w:val="24"/>
              </w:rPr>
            </w:pPr>
            <w:r>
              <w:rPr>
                <w:rFonts w:ascii="Arial Unicode MS" w:eastAsia="Arial Unicode MS" w:hAnsi="Arial Unicode MS" w:cs="Arial Unicode MS"/>
                <w:b/>
                <w:color w:val="000000" w:themeColor="text1"/>
                <w:sz w:val="24"/>
                <w:szCs w:val="24"/>
              </w:rPr>
              <w:t>Intervalo</w:t>
            </w:r>
            <w:r w:rsidRPr="00495A0D">
              <w:rPr>
                <w:rFonts w:ascii="Arial Unicode MS" w:eastAsia="Arial Unicode MS" w:hAnsi="Arial Unicode MS" w:cs="Arial Unicode MS"/>
                <w:b/>
                <w:color w:val="000000" w:themeColor="text1"/>
                <w:sz w:val="24"/>
                <w:szCs w:val="24"/>
              </w:rPr>
              <w:t xml:space="preserve"> </w:t>
            </w:r>
            <w:r w:rsidR="00DD1E08" w:rsidRPr="00495A0D">
              <w:rPr>
                <w:rFonts w:ascii="Arial Unicode MS" w:eastAsia="Arial Unicode MS" w:hAnsi="Arial Unicode MS" w:cs="Arial Unicode MS"/>
                <w:b/>
                <w:color w:val="000000" w:themeColor="text1"/>
                <w:sz w:val="24"/>
                <w:szCs w:val="24"/>
              </w:rPr>
              <w:t>de edad (años)</w:t>
            </w:r>
          </w:p>
          <w:p w14:paraId="346810F9"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 xml:space="preserve">  30 – 40</w:t>
            </w:r>
          </w:p>
          <w:p w14:paraId="175FF9B3"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 xml:space="preserve">  41 – 50</w:t>
            </w:r>
          </w:p>
          <w:p w14:paraId="57FB0851"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 xml:space="preserve">  51 – 60</w:t>
            </w:r>
          </w:p>
        </w:tc>
        <w:tc>
          <w:tcPr>
            <w:tcW w:w="999" w:type="pct"/>
          </w:tcPr>
          <w:p w14:paraId="547ADF6B" w14:textId="77777777" w:rsidR="00DD1E08" w:rsidRPr="00495A0D" w:rsidRDefault="00DD1E08" w:rsidP="005D70DE">
            <w:pPr>
              <w:rPr>
                <w:rFonts w:ascii="Arial Unicode MS" w:eastAsia="Arial Unicode MS" w:hAnsi="Arial Unicode MS" w:cs="Arial Unicode MS"/>
                <w:color w:val="000000" w:themeColor="text1"/>
                <w:sz w:val="24"/>
                <w:szCs w:val="24"/>
              </w:rPr>
            </w:pPr>
          </w:p>
        </w:tc>
        <w:tc>
          <w:tcPr>
            <w:tcW w:w="999" w:type="pct"/>
          </w:tcPr>
          <w:p w14:paraId="08D9FD77"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2DDD7FCB"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14</w:t>
            </w:r>
          </w:p>
          <w:p w14:paraId="257C661D"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10</w:t>
            </w:r>
          </w:p>
          <w:p w14:paraId="3066386F"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1</w:t>
            </w:r>
          </w:p>
        </w:tc>
        <w:tc>
          <w:tcPr>
            <w:tcW w:w="1001" w:type="pct"/>
          </w:tcPr>
          <w:p w14:paraId="5C8FC241"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121C1FD7"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56 %</w:t>
            </w:r>
          </w:p>
          <w:p w14:paraId="5BFE47FB"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40 %</w:t>
            </w:r>
          </w:p>
          <w:p w14:paraId="451C4FF6"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4 %</w:t>
            </w:r>
          </w:p>
        </w:tc>
      </w:tr>
      <w:tr w:rsidR="00DD1E08" w:rsidRPr="00447037" w14:paraId="2C9D5F14" w14:textId="77777777" w:rsidTr="00D27A09">
        <w:trPr>
          <w:trHeight w:val="249"/>
          <w:jc w:val="center"/>
        </w:trPr>
        <w:tc>
          <w:tcPr>
            <w:tcW w:w="3000" w:type="pct"/>
            <w:gridSpan w:val="2"/>
          </w:tcPr>
          <w:p w14:paraId="7565C13F" w14:textId="77777777" w:rsidR="00DD1E08" w:rsidRPr="00495A0D" w:rsidRDefault="00DD1E08" w:rsidP="005D70DE">
            <w:pPr>
              <w:rPr>
                <w:rFonts w:ascii="Arial Unicode MS" w:eastAsia="Arial Unicode MS" w:hAnsi="Arial Unicode MS" w:cs="Arial Unicode MS"/>
                <w:b/>
                <w:color w:val="000000" w:themeColor="text1"/>
                <w:sz w:val="24"/>
                <w:szCs w:val="24"/>
              </w:rPr>
            </w:pPr>
            <w:r w:rsidRPr="00495A0D">
              <w:rPr>
                <w:rFonts w:ascii="Arial Unicode MS" w:eastAsia="Arial Unicode MS" w:hAnsi="Arial Unicode MS" w:cs="Arial Unicode MS"/>
                <w:b/>
                <w:color w:val="000000" w:themeColor="text1"/>
                <w:sz w:val="24"/>
                <w:szCs w:val="24"/>
              </w:rPr>
              <w:t>Género</w:t>
            </w:r>
          </w:p>
          <w:p w14:paraId="5BB37B6E"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b/>
                <w:color w:val="000000" w:themeColor="text1"/>
                <w:sz w:val="24"/>
                <w:szCs w:val="24"/>
              </w:rPr>
              <w:t xml:space="preserve">  </w:t>
            </w:r>
            <w:r w:rsidRPr="00495A0D">
              <w:rPr>
                <w:rFonts w:ascii="Arial Unicode MS" w:eastAsia="Arial Unicode MS" w:hAnsi="Arial Unicode MS" w:cs="Arial Unicode MS"/>
                <w:color w:val="000000" w:themeColor="text1"/>
                <w:sz w:val="24"/>
                <w:szCs w:val="24"/>
              </w:rPr>
              <w:t>Hombre</w:t>
            </w:r>
          </w:p>
          <w:p w14:paraId="0F931A62"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 xml:space="preserve">  Mujer</w:t>
            </w:r>
          </w:p>
        </w:tc>
        <w:tc>
          <w:tcPr>
            <w:tcW w:w="999" w:type="pct"/>
          </w:tcPr>
          <w:p w14:paraId="1967D8E7"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3FF8CB58"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5</w:t>
            </w:r>
          </w:p>
          <w:p w14:paraId="469DB600"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20</w:t>
            </w:r>
          </w:p>
        </w:tc>
        <w:tc>
          <w:tcPr>
            <w:tcW w:w="1001" w:type="pct"/>
          </w:tcPr>
          <w:p w14:paraId="2B5BFF55"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035F37D9"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20 %</w:t>
            </w:r>
          </w:p>
          <w:p w14:paraId="76EE3CBF"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80 %</w:t>
            </w:r>
          </w:p>
        </w:tc>
      </w:tr>
      <w:tr w:rsidR="00DD1E08" w:rsidRPr="00447037" w14:paraId="3EAD9E33" w14:textId="77777777" w:rsidTr="00D27A09">
        <w:trPr>
          <w:trHeight w:val="262"/>
          <w:jc w:val="center"/>
        </w:trPr>
        <w:tc>
          <w:tcPr>
            <w:tcW w:w="3000" w:type="pct"/>
            <w:gridSpan w:val="2"/>
          </w:tcPr>
          <w:p w14:paraId="2C554720" w14:textId="77777777" w:rsidR="00DD1E08" w:rsidRPr="00495A0D" w:rsidRDefault="00DD1E08" w:rsidP="005D70DE">
            <w:pPr>
              <w:rPr>
                <w:rFonts w:ascii="Arial Unicode MS" w:eastAsia="Arial Unicode MS" w:hAnsi="Arial Unicode MS" w:cs="Arial Unicode MS"/>
                <w:b/>
                <w:color w:val="000000" w:themeColor="text1"/>
                <w:sz w:val="24"/>
                <w:szCs w:val="24"/>
              </w:rPr>
            </w:pPr>
            <w:r w:rsidRPr="00495A0D">
              <w:rPr>
                <w:rFonts w:ascii="Arial Unicode MS" w:eastAsia="Arial Unicode MS" w:hAnsi="Arial Unicode MS" w:cs="Arial Unicode MS"/>
                <w:b/>
                <w:color w:val="000000" w:themeColor="text1"/>
                <w:sz w:val="24"/>
                <w:szCs w:val="24"/>
              </w:rPr>
              <w:t>Turno laboral</w:t>
            </w:r>
          </w:p>
          <w:p w14:paraId="5E966DB1"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b/>
                <w:color w:val="000000" w:themeColor="text1"/>
                <w:sz w:val="24"/>
                <w:szCs w:val="24"/>
              </w:rPr>
              <w:t xml:space="preserve">  </w:t>
            </w:r>
            <w:r w:rsidRPr="00495A0D">
              <w:rPr>
                <w:rFonts w:ascii="Arial Unicode MS" w:eastAsia="Arial Unicode MS" w:hAnsi="Arial Unicode MS" w:cs="Arial Unicode MS"/>
                <w:color w:val="000000" w:themeColor="text1"/>
                <w:sz w:val="24"/>
                <w:szCs w:val="24"/>
              </w:rPr>
              <w:t>Matutino</w:t>
            </w:r>
          </w:p>
          <w:p w14:paraId="4BFAFBB0"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 xml:space="preserve">  Vespertino</w:t>
            </w:r>
          </w:p>
          <w:p w14:paraId="7696675A"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 xml:space="preserve">  Nocturno</w:t>
            </w:r>
          </w:p>
        </w:tc>
        <w:tc>
          <w:tcPr>
            <w:tcW w:w="999" w:type="pct"/>
          </w:tcPr>
          <w:p w14:paraId="0307CE6D"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5D86E045"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7</w:t>
            </w:r>
          </w:p>
          <w:p w14:paraId="1A56AB83"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6</w:t>
            </w:r>
          </w:p>
          <w:p w14:paraId="09FE6F0D"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12</w:t>
            </w:r>
          </w:p>
        </w:tc>
        <w:tc>
          <w:tcPr>
            <w:tcW w:w="1001" w:type="pct"/>
          </w:tcPr>
          <w:p w14:paraId="00F6EA84"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1B8F848D"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28 %</w:t>
            </w:r>
          </w:p>
          <w:p w14:paraId="6BDCCA58"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24 %</w:t>
            </w:r>
          </w:p>
          <w:p w14:paraId="104B955C"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48 %</w:t>
            </w:r>
          </w:p>
        </w:tc>
      </w:tr>
      <w:tr w:rsidR="00DD1E08" w:rsidRPr="00447037" w14:paraId="25B26FF8" w14:textId="77777777" w:rsidTr="00D27A09">
        <w:trPr>
          <w:trHeight w:val="262"/>
          <w:jc w:val="center"/>
        </w:trPr>
        <w:tc>
          <w:tcPr>
            <w:tcW w:w="3000" w:type="pct"/>
            <w:gridSpan w:val="2"/>
          </w:tcPr>
          <w:p w14:paraId="259AD1B6" w14:textId="77777777" w:rsidR="00DD1E08" w:rsidRPr="00495A0D" w:rsidRDefault="00DD1E08" w:rsidP="005D70DE">
            <w:pPr>
              <w:rPr>
                <w:rFonts w:ascii="Arial Unicode MS" w:eastAsia="Arial Unicode MS" w:hAnsi="Arial Unicode MS" w:cs="Arial Unicode MS"/>
                <w:b/>
                <w:color w:val="000000" w:themeColor="text1"/>
                <w:sz w:val="24"/>
                <w:szCs w:val="24"/>
              </w:rPr>
            </w:pPr>
            <w:r w:rsidRPr="00495A0D">
              <w:rPr>
                <w:rFonts w:ascii="Arial Unicode MS" w:eastAsia="Arial Unicode MS" w:hAnsi="Arial Unicode MS" w:cs="Arial Unicode MS"/>
                <w:b/>
                <w:color w:val="000000" w:themeColor="text1"/>
                <w:sz w:val="24"/>
                <w:szCs w:val="24"/>
              </w:rPr>
              <w:t>Estado civil</w:t>
            </w:r>
          </w:p>
          <w:p w14:paraId="3F6BFC06"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b/>
                <w:color w:val="000000" w:themeColor="text1"/>
                <w:sz w:val="24"/>
                <w:szCs w:val="24"/>
              </w:rPr>
              <w:t xml:space="preserve">  </w:t>
            </w:r>
            <w:r w:rsidRPr="00495A0D">
              <w:rPr>
                <w:rFonts w:ascii="Arial Unicode MS" w:eastAsia="Arial Unicode MS" w:hAnsi="Arial Unicode MS" w:cs="Arial Unicode MS"/>
                <w:color w:val="000000" w:themeColor="text1"/>
                <w:sz w:val="24"/>
                <w:szCs w:val="24"/>
              </w:rPr>
              <w:t>Soltero(a)</w:t>
            </w:r>
          </w:p>
          <w:p w14:paraId="2CB041E8"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 xml:space="preserve">  Casado(a)</w:t>
            </w:r>
          </w:p>
          <w:p w14:paraId="00DD1EF4"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 xml:space="preserve">  Unión libre</w:t>
            </w:r>
          </w:p>
        </w:tc>
        <w:tc>
          <w:tcPr>
            <w:tcW w:w="999" w:type="pct"/>
          </w:tcPr>
          <w:p w14:paraId="3DF9168F"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17E35454"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7</w:t>
            </w:r>
          </w:p>
          <w:p w14:paraId="0726DA6F"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17</w:t>
            </w:r>
          </w:p>
          <w:p w14:paraId="78968579"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1</w:t>
            </w:r>
          </w:p>
        </w:tc>
        <w:tc>
          <w:tcPr>
            <w:tcW w:w="1001" w:type="pct"/>
          </w:tcPr>
          <w:p w14:paraId="418B7927"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1EB3B34C"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28 %</w:t>
            </w:r>
          </w:p>
          <w:p w14:paraId="6EF23430"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68 %</w:t>
            </w:r>
          </w:p>
          <w:p w14:paraId="5CC8FD83"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4 %</w:t>
            </w:r>
          </w:p>
        </w:tc>
      </w:tr>
      <w:tr w:rsidR="00DD1E08" w:rsidRPr="00447037" w14:paraId="2AC7AF13" w14:textId="77777777" w:rsidTr="00D27A09">
        <w:trPr>
          <w:trHeight w:val="249"/>
          <w:jc w:val="center"/>
        </w:trPr>
        <w:tc>
          <w:tcPr>
            <w:tcW w:w="3000" w:type="pct"/>
            <w:gridSpan w:val="2"/>
          </w:tcPr>
          <w:p w14:paraId="497E4DB7" w14:textId="77777777" w:rsidR="00DD1E08" w:rsidRPr="00495A0D" w:rsidRDefault="00DD1E08" w:rsidP="005D70DE">
            <w:pPr>
              <w:rPr>
                <w:rFonts w:ascii="Arial Unicode MS" w:eastAsia="Arial Unicode MS" w:hAnsi="Arial Unicode MS" w:cs="Arial Unicode MS"/>
                <w:b/>
                <w:color w:val="000000" w:themeColor="text1"/>
                <w:sz w:val="24"/>
                <w:szCs w:val="24"/>
              </w:rPr>
            </w:pPr>
            <w:r w:rsidRPr="00495A0D">
              <w:rPr>
                <w:rFonts w:ascii="Arial Unicode MS" w:eastAsia="Arial Unicode MS" w:hAnsi="Arial Unicode MS" w:cs="Arial Unicode MS"/>
                <w:b/>
                <w:color w:val="000000" w:themeColor="text1"/>
                <w:sz w:val="24"/>
                <w:szCs w:val="24"/>
              </w:rPr>
              <w:t>Antecedentes heredofamiliares de cardiopatía o ictus</w:t>
            </w:r>
          </w:p>
          <w:p w14:paraId="0D785068" w14:textId="4D7B793A"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b/>
                <w:color w:val="000000" w:themeColor="text1"/>
                <w:sz w:val="24"/>
                <w:szCs w:val="24"/>
              </w:rPr>
              <w:t xml:space="preserve">  </w:t>
            </w:r>
            <w:r w:rsidR="005D70DE" w:rsidRPr="00495A0D">
              <w:rPr>
                <w:rFonts w:ascii="Arial Unicode MS" w:eastAsia="Arial Unicode MS" w:hAnsi="Arial Unicode MS" w:cs="Arial Unicode MS"/>
                <w:color w:val="000000" w:themeColor="text1"/>
                <w:sz w:val="24"/>
                <w:szCs w:val="24"/>
              </w:rPr>
              <w:t>S</w:t>
            </w:r>
            <w:r w:rsidR="005D70DE">
              <w:rPr>
                <w:rFonts w:ascii="Arial Unicode MS" w:eastAsia="Arial Unicode MS" w:hAnsi="Arial Unicode MS" w:cs="Arial Unicode MS"/>
                <w:color w:val="000000" w:themeColor="text1"/>
                <w:sz w:val="24"/>
                <w:szCs w:val="24"/>
              </w:rPr>
              <w:t>í</w:t>
            </w:r>
          </w:p>
          <w:p w14:paraId="5BB160F9" w14:textId="77777777" w:rsidR="00DD1E08" w:rsidRPr="00495A0D" w:rsidRDefault="00DD1E08" w:rsidP="005D70DE">
            <w:pP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 xml:space="preserve">  No</w:t>
            </w:r>
          </w:p>
        </w:tc>
        <w:tc>
          <w:tcPr>
            <w:tcW w:w="999" w:type="pct"/>
          </w:tcPr>
          <w:p w14:paraId="3EE21D54"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038BF670"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2B79CEC7"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7</w:t>
            </w:r>
          </w:p>
          <w:p w14:paraId="7AFE6295"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18</w:t>
            </w:r>
          </w:p>
        </w:tc>
        <w:tc>
          <w:tcPr>
            <w:tcW w:w="1001" w:type="pct"/>
          </w:tcPr>
          <w:p w14:paraId="0C18FA79"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354DAFAD"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p>
          <w:p w14:paraId="005950C6"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28 %</w:t>
            </w:r>
          </w:p>
          <w:p w14:paraId="7D7C75FF" w14:textId="77777777" w:rsidR="00DD1E08" w:rsidRPr="00495A0D" w:rsidRDefault="00DD1E0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72 %</w:t>
            </w:r>
          </w:p>
        </w:tc>
      </w:tr>
    </w:tbl>
    <w:p w14:paraId="550E2C30" w14:textId="4401B69F" w:rsidR="005D70DE" w:rsidRPr="00F23A9C" w:rsidRDefault="005D70DE" w:rsidP="00F23A9C">
      <w:pPr>
        <w:spacing w:after="0" w:line="360" w:lineRule="auto"/>
        <w:jc w:val="center"/>
        <w:rPr>
          <w:rFonts w:ascii="Times New Roman" w:hAnsi="Times New Roman"/>
          <w:color w:val="000000" w:themeColor="text1"/>
          <w:sz w:val="24"/>
          <w:szCs w:val="20"/>
        </w:rPr>
      </w:pPr>
      <w:r w:rsidRPr="00495A0D">
        <w:rPr>
          <w:rFonts w:ascii="Times New Roman" w:hAnsi="Times New Roman"/>
          <w:color w:val="000000" w:themeColor="text1"/>
          <w:sz w:val="24"/>
          <w:szCs w:val="20"/>
        </w:rPr>
        <w:t>Fuente: Instrumento aplicado</w:t>
      </w:r>
    </w:p>
    <w:p w14:paraId="4994424B" w14:textId="6AD9D2E6" w:rsidR="00DD1E08" w:rsidRPr="00495A0D" w:rsidRDefault="00DD1E08" w:rsidP="00FD1C78">
      <w:pPr>
        <w:spacing w:after="0" w:line="360" w:lineRule="auto"/>
        <w:jc w:val="center"/>
        <w:rPr>
          <w:rFonts w:ascii="Times New Roman" w:hAnsi="Times New Roman"/>
          <w:color w:val="000000" w:themeColor="text1"/>
          <w:sz w:val="24"/>
          <w:szCs w:val="24"/>
          <w:lang w:val="es-ES"/>
        </w:rPr>
      </w:pPr>
      <w:r w:rsidRPr="00495A0D">
        <w:rPr>
          <w:rFonts w:ascii="Times New Roman" w:hAnsi="Times New Roman"/>
          <w:i/>
          <w:color w:val="000000" w:themeColor="text1"/>
          <w:sz w:val="24"/>
          <w:szCs w:val="24"/>
        </w:rPr>
        <w:t xml:space="preserve">Nota: </w:t>
      </w:r>
      <w:r w:rsidRPr="00495A0D">
        <w:rPr>
          <w:rFonts w:ascii="Times New Roman" w:hAnsi="Times New Roman"/>
          <w:color w:val="000000" w:themeColor="text1"/>
          <w:sz w:val="24"/>
          <w:szCs w:val="24"/>
        </w:rPr>
        <w:t xml:space="preserve">n= </w:t>
      </w:r>
      <w:r w:rsidR="00BE3935" w:rsidRPr="00495A0D">
        <w:rPr>
          <w:rFonts w:ascii="Times New Roman" w:hAnsi="Times New Roman"/>
          <w:color w:val="000000" w:themeColor="text1"/>
          <w:sz w:val="24"/>
          <w:szCs w:val="24"/>
        </w:rPr>
        <w:t>n</w:t>
      </w:r>
      <w:r w:rsidR="00BE3935" w:rsidRPr="00495A0D">
        <w:rPr>
          <w:rFonts w:ascii="Times New Roman" w:hAnsi="Times New Roman"/>
          <w:color w:val="000000" w:themeColor="text1"/>
          <w:sz w:val="24"/>
          <w:szCs w:val="24"/>
          <w:lang w:val="es-ES"/>
        </w:rPr>
        <w:t xml:space="preserve">úmero </w:t>
      </w:r>
      <w:r w:rsidRPr="00495A0D">
        <w:rPr>
          <w:rFonts w:ascii="Times New Roman" w:hAnsi="Times New Roman"/>
          <w:color w:val="000000" w:themeColor="text1"/>
          <w:sz w:val="24"/>
          <w:szCs w:val="24"/>
          <w:lang w:val="es-ES"/>
        </w:rPr>
        <w:t>de profesionales de enfermería; %= porcentaje.</w:t>
      </w:r>
    </w:p>
    <w:p w14:paraId="1EAB07B3" w14:textId="6CBC7028" w:rsidR="00BE3935" w:rsidRPr="00495A0D" w:rsidRDefault="00DD1E08" w:rsidP="00FD1C78">
      <w:pPr>
        <w:spacing w:after="0" w:line="360" w:lineRule="auto"/>
        <w:jc w:val="center"/>
        <w:rPr>
          <w:rFonts w:ascii="Times New Roman" w:hAnsi="Times New Roman"/>
          <w:color w:val="000000" w:themeColor="text1"/>
          <w:sz w:val="24"/>
          <w:szCs w:val="24"/>
          <w:lang w:val="es-ES"/>
        </w:rPr>
      </w:pPr>
      <w:r w:rsidRPr="00495A0D">
        <w:rPr>
          <w:rFonts w:ascii="Times New Roman" w:hAnsi="Times New Roman"/>
          <w:color w:val="000000" w:themeColor="text1"/>
          <w:sz w:val="24"/>
          <w:szCs w:val="24"/>
          <w:vertAlign w:val="superscript"/>
          <w:lang w:val="es-ES"/>
        </w:rPr>
        <w:t>a</w:t>
      </w:r>
      <w:r w:rsidR="005D70DE" w:rsidRPr="00495A0D">
        <w:rPr>
          <w:rFonts w:ascii="Times New Roman" w:hAnsi="Times New Roman"/>
          <w:color w:val="000000" w:themeColor="text1"/>
          <w:sz w:val="24"/>
          <w:szCs w:val="24"/>
          <w:vertAlign w:val="superscript"/>
          <w:lang w:val="es-ES"/>
        </w:rPr>
        <w:t xml:space="preserve"> </w:t>
      </w:r>
      <w:r w:rsidRPr="00495A0D">
        <w:rPr>
          <w:rFonts w:ascii="Times New Roman" w:hAnsi="Times New Roman"/>
          <w:color w:val="000000" w:themeColor="text1"/>
          <w:sz w:val="24"/>
          <w:szCs w:val="24"/>
          <w:lang w:val="es-ES"/>
        </w:rPr>
        <w:t>Los profesionales de enfermería incluidos cumplieron con todas las mediciones programadas.</w:t>
      </w:r>
    </w:p>
    <w:p w14:paraId="57C021A5" w14:textId="65B4A4D8" w:rsidR="00DD1E08" w:rsidRDefault="00DD1E08" w:rsidP="00FD1C78">
      <w:pPr>
        <w:spacing w:after="0" w:line="360" w:lineRule="auto"/>
        <w:jc w:val="center"/>
        <w:rPr>
          <w:rFonts w:ascii="Times New Roman" w:hAnsi="Times New Roman"/>
          <w:color w:val="000000" w:themeColor="text1"/>
          <w:sz w:val="24"/>
          <w:szCs w:val="24"/>
          <w:lang w:val="es-ES"/>
        </w:rPr>
      </w:pPr>
      <w:r w:rsidRPr="00495A0D">
        <w:rPr>
          <w:rFonts w:ascii="Times New Roman" w:hAnsi="Times New Roman"/>
          <w:color w:val="000000" w:themeColor="text1"/>
          <w:sz w:val="24"/>
          <w:szCs w:val="24"/>
          <w:vertAlign w:val="superscript"/>
          <w:lang w:val="es-ES"/>
        </w:rPr>
        <w:t>b</w:t>
      </w:r>
      <w:r w:rsidR="005D70DE" w:rsidRPr="00495A0D">
        <w:rPr>
          <w:rFonts w:ascii="Times New Roman" w:hAnsi="Times New Roman"/>
          <w:color w:val="000000" w:themeColor="text1"/>
          <w:sz w:val="24"/>
          <w:szCs w:val="24"/>
          <w:vertAlign w:val="superscript"/>
          <w:lang w:val="es-ES"/>
        </w:rPr>
        <w:t xml:space="preserve"> </w:t>
      </w:r>
      <w:r w:rsidRPr="00495A0D">
        <w:rPr>
          <w:rFonts w:ascii="Times New Roman" w:hAnsi="Times New Roman"/>
          <w:color w:val="000000" w:themeColor="text1"/>
          <w:sz w:val="24"/>
          <w:szCs w:val="24"/>
          <w:lang w:val="es-ES"/>
        </w:rPr>
        <w:t xml:space="preserve">Los profesionales de enfermería excluidos habían tenido diagnóstico médico de angina de pecho </w:t>
      </w:r>
      <w:r w:rsidR="005D70DE" w:rsidRPr="00495A0D">
        <w:rPr>
          <w:rFonts w:ascii="Times New Roman" w:hAnsi="Times New Roman"/>
          <w:color w:val="000000" w:themeColor="text1"/>
          <w:sz w:val="24"/>
          <w:szCs w:val="24"/>
          <w:lang w:val="es-ES"/>
        </w:rPr>
        <w:t xml:space="preserve">o </w:t>
      </w:r>
      <w:r w:rsidRPr="00495A0D">
        <w:rPr>
          <w:rFonts w:ascii="Times New Roman" w:hAnsi="Times New Roman"/>
          <w:color w:val="000000" w:themeColor="text1"/>
          <w:sz w:val="24"/>
          <w:szCs w:val="24"/>
          <w:lang w:val="es-ES"/>
        </w:rPr>
        <w:t>estaban en tratamiento por dislipidemia.</w:t>
      </w:r>
    </w:p>
    <w:p w14:paraId="7A898236" w14:textId="2AACFC9F" w:rsidR="003B4551" w:rsidRPr="00495A0D" w:rsidRDefault="003B4551" w:rsidP="00495A0D">
      <w:pPr>
        <w:spacing w:after="0" w:line="360" w:lineRule="auto"/>
        <w:ind w:firstLine="708"/>
        <w:jc w:val="both"/>
        <w:rPr>
          <w:rFonts w:ascii="Times New Roman" w:hAnsi="Times New Roman"/>
          <w:color w:val="000000" w:themeColor="text1"/>
          <w:sz w:val="24"/>
          <w:szCs w:val="24"/>
          <w:lang w:val="es-ES"/>
        </w:rPr>
      </w:pPr>
      <w:r w:rsidRPr="00495A0D">
        <w:rPr>
          <w:rFonts w:ascii="Times New Roman" w:hAnsi="Times New Roman"/>
          <w:color w:val="000000" w:themeColor="text1"/>
          <w:sz w:val="24"/>
          <w:szCs w:val="24"/>
          <w:lang w:val="es-ES"/>
        </w:rPr>
        <w:lastRenderedPageBreak/>
        <w:t xml:space="preserve">Para la selección de la muestra se empleó </w:t>
      </w:r>
      <w:r w:rsidR="005D70DE" w:rsidRPr="00495A0D">
        <w:rPr>
          <w:rFonts w:ascii="Times New Roman" w:hAnsi="Times New Roman"/>
          <w:color w:val="000000" w:themeColor="text1"/>
          <w:sz w:val="24"/>
          <w:szCs w:val="24"/>
          <w:lang w:val="es-ES"/>
        </w:rPr>
        <w:t xml:space="preserve">un </w:t>
      </w:r>
      <w:r w:rsidRPr="00495A0D">
        <w:rPr>
          <w:rFonts w:ascii="Times New Roman" w:hAnsi="Times New Roman"/>
          <w:color w:val="000000" w:themeColor="text1"/>
          <w:sz w:val="24"/>
          <w:szCs w:val="24"/>
          <w:lang w:val="es-ES"/>
        </w:rPr>
        <w:t>muestreo no probabilístico por conveniencia</w:t>
      </w:r>
      <w:r w:rsidR="005D70DE" w:rsidRPr="00495A0D">
        <w:rPr>
          <w:rFonts w:ascii="Times New Roman" w:hAnsi="Times New Roman"/>
          <w:color w:val="000000" w:themeColor="text1"/>
          <w:sz w:val="24"/>
          <w:szCs w:val="24"/>
          <w:lang w:val="es-ES"/>
        </w:rPr>
        <w:t xml:space="preserve">. El </w:t>
      </w:r>
      <w:r w:rsidRPr="00495A0D">
        <w:rPr>
          <w:rFonts w:ascii="Times New Roman" w:hAnsi="Times New Roman"/>
          <w:color w:val="000000" w:themeColor="text1"/>
          <w:sz w:val="24"/>
          <w:szCs w:val="24"/>
          <w:lang w:val="es-ES"/>
        </w:rPr>
        <w:t xml:space="preserve">estudio fue aprobado y autorizado por </w:t>
      </w:r>
      <w:r w:rsidR="005C0D5F" w:rsidRPr="00495A0D">
        <w:rPr>
          <w:rFonts w:ascii="Times New Roman" w:hAnsi="Times New Roman"/>
          <w:color w:val="000000" w:themeColor="text1"/>
          <w:sz w:val="24"/>
          <w:szCs w:val="24"/>
          <w:lang w:val="es-ES"/>
        </w:rPr>
        <w:t>el Comité de Bioética</w:t>
      </w:r>
      <w:r w:rsidRPr="00495A0D">
        <w:rPr>
          <w:rFonts w:ascii="Times New Roman" w:hAnsi="Times New Roman"/>
          <w:color w:val="000000" w:themeColor="text1"/>
          <w:sz w:val="24"/>
          <w:szCs w:val="24"/>
          <w:lang w:val="es-ES"/>
        </w:rPr>
        <w:t xml:space="preserve"> del Centro Universitario UAEM Valle de Chalco.</w:t>
      </w:r>
    </w:p>
    <w:p w14:paraId="34F61417" w14:textId="167FBE9B" w:rsidR="00507EBB" w:rsidRPr="00495A0D" w:rsidRDefault="00507EBB" w:rsidP="00495A0D">
      <w:pPr>
        <w:spacing w:after="0" w:line="360" w:lineRule="auto"/>
        <w:ind w:firstLine="708"/>
        <w:jc w:val="both"/>
        <w:rPr>
          <w:rFonts w:ascii="Times New Roman" w:hAnsi="Times New Roman"/>
          <w:color w:val="000000" w:themeColor="text1"/>
          <w:sz w:val="24"/>
          <w:szCs w:val="24"/>
          <w:lang w:val="es-ES"/>
        </w:rPr>
      </w:pPr>
      <w:r w:rsidRPr="00495A0D">
        <w:rPr>
          <w:rFonts w:ascii="Times New Roman" w:hAnsi="Times New Roman"/>
          <w:color w:val="000000" w:themeColor="text1"/>
          <w:sz w:val="24"/>
          <w:szCs w:val="24"/>
          <w:lang w:val="es-ES"/>
        </w:rPr>
        <w:t xml:space="preserve">La investigación </w:t>
      </w:r>
      <w:r w:rsidR="00FD471C" w:rsidRPr="00495A0D">
        <w:rPr>
          <w:rFonts w:ascii="Times New Roman" w:hAnsi="Times New Roman"/>
          <w:color w:val="000000" w:themeColor="text1"/>
          <w:sz w:val="24"/>
          <w:szCs w:val="24"/>
          <w:lang w:val="es-ES"/>
        </w:rPr>
        <w:t xml:space="preserve">tomó </w:t>
      </w:r>
      <w:r w:rsidR="00BE34A6" w:rsidRPr="00495A0D">
        <w:rPr>
          <w:rFonts w:ascii="Times New Roman" w:hAnsi="Times New Roman"/>
          <w:color w:val="000000" w:themeColor="text1"/>
          <w:sz w:val="24"/>
          <w:szCs w:val="24"/>
          <w:lang w:val="es-ES"/>
        </w:rPr>
        <w:t>como referencia los fundamentos puntualizados en los códigos éticos de la declaración de Helsinki (2003)</w:t>
      </w:r>
      <w:r w:rsidR="0034220B" w:rsidRPr="00495A0D">
        <w:rPr>
          <w:rFonts w:ascii="Times New Roman" w:hAnsi="Times New Roman"/>
          <w:color w:val="000000" w:themeColor="text1"/>
          <w:sz w:val="24"/>
          <w:szCs w:val="24"/>
          <w:lang w:val="es-ES"/>
        </w:rPr>
        <w:t>,</w:t>
      </w:r>
      <w:r w:rsidR="00BE34A6" w:rsidRPr="00495A0D">
        <w:rPr>
          <w:rFonts w:ascii="Times New Roman" w:hAnsi="Times New Roman"/>
          <w:color w:val="000000" w:themeColor="text1"/>
          <w:sz w:val="24"/>
          <w:szCs w:val="24"/>
          <w:lang w:val="es-ES"/>
        </w:rPr>
        <w:t xml:space="preserve"> así como en los lineamientos descritos en el Reglamento de la Ley General de Salud en </w:t>
      </w:r>
      <w:r w:rsidR="0034220B" w:rsidRPr="00495A0D">
        <w:rPr>
          <w:rFonts w:ascii="Times New Roman" w:hAnsi="Times New Roman"/>
          <w:color w:val="000000" w:themeColor="text1"/>
          <w:sz w:val="24"/>
          <w:szCs w:val="24"/>
          <w:lang w:val="es-ES"/>
        </w:rPr>
        <w:t xml:space="preserve">Materia </w:t>
      </w:r>
      <w:r w:rsidR="00BE34A6" w:rsidRPr="00495A0D">
        <w:rPr>
          <w:rFonts w:ascii="Times New Roman" w:hAnsi="Times New Roman"/>
          <w:color w:val="000000" w:themeColor="text1"/>
          <w:sz w:val="24"/>
          <w:szCs w:val="24"/>
          <w:lang w:val="es-ES"/>
        </w:rPr>
        <w:t xml:space="preserve">de </w:t>
      </w:r>
      <w:r w:rsidR="0034220B" w:rsidRPr="00495A0D">
        <w:rPr>
          <w:rFonts w:ascii="Times New Roman" w:hAnsi="Times New Roman"/>
          <w:color w:val="000000" w:themeColor="text1"/>
          <w:sz w:val="24"/>
          <w:szCs w:val="24"/>
          <w:lang w:val="es-ES"/>
        </w:rPr>
        <w:t xml:space="preserve">Investigación </w:t>
      </w:r>
      <w:r w:rsidR="00BE34A6" w:rsidRPr="00495A0D">
        <w:rPr>
          <w:rFonts w:ascii="Times New Roman" w:hAnsi="Times New Roman"/>
          <w:color w:val="000000" w:themeColor="text1"/>
          <w:sz w:val="24"/>
          <w:szCs w:val="24"/>
          <w:lang w:val="es-ES"/>
        </w:rPr>
        <w:t xml:space="preserve">para la </w:t>
      </w:r>
      <w:r w:rsidR="0034220B" w:rsidRPr="00495A0D">
        <w:rPr>
          <w:rFonts w:ascii="Times New Roman" w:hAnsi="Times New Roman"/>
          <w:color w:val="000000" w:themeColor="text1"/>
          <w:sz w:val="24"/>
          <w:szCs w:val="24"/>
          <w:lang w:val="es-ES"/>
        </w:rPr>
        <w:t>Salud</w:t>
      </w:r>
      <w:r w:rsidR="003B10BA" w:rsidRPr="00495A0D">
        <w:rPr>
          <w:rFonts w:ascii="Times New Roman" w:hAnsi="Times New Roman"/>
          <w:color w:val="000000" w:themeColor="text1"/>
          <w:sz w:val="24"/>
          <w:szCs w:val="24"/>
          <w:lang w:val="es-ES"/>
        </w:rPr>
        <w:t xml:space="preserve">, publicado en el </w:t>
      </w:r>
      <w:r w:rsidR="0034220B" w:rsidRPr="00495A0D">
        <w:rPr>
          <w:rFonts w:ascii="Times New Roman" w:hAnsi="Times New Roman"/>
          <w:color w:val="000000" w:themeColor="text1"/>
          <w:sz w:val="24"/>
          <w:szCs w:val="24"/>
          <w:lang w:val="es-ES"/>
        </w:rPr>
        <w:t xml:space="preserve">Diario Oficial </w:t>
      </w:r>
      <w:r w:rsidR="004D0155" w:rsidRPr="00495A0D">
        <w:rPr>
          <w:rFonts w:ascii="Times New Roman" w:hAnsi="Times New Roman"/>
          <w:color w:val="000000" w:themeColor="text1"/>
          <w:sz w:val="24"/>
          <w:szCs w:val="24"/>
          <w:lang w:val="es-ES"/>
        </w:rPr>
        <w:t xml:space="preserve">de la </w:t>
      </w:r>
      <w:r w:rsidR="0034220B" w:rsidRPr="00495A0D">
        <w:rPr>
          <w:rFonts w:ascii="Times New Roman" w:hAnsi="Times New Roman"/>
          <w:color w:val="000000" w:themeColor="text1"/>
          <w:sz w:val="24"/>
          <w:szCs w:val="24"/>
          <w:lang w:val="es-ES"/>
        </w:rPr>
        <w:t xml:space="preserve">Federación </w:t>
      </w:r>
      <w:r w:rsidR="004D0155" w:rsidRPr="00495A0D">
        <w:rPr>
          <w:rFonts w:ascii="Times New Roman" w:hAnsi="Times New Roman"/>
          <w:color w:val="000000" w:themeColor="text1"/>
          <w:sz w:val="24"/>
          <w:szCs w:val="24"/>
          <w:lang w:val="es-ES"/>
        </w:rPr>
        <w:t>de los Estados Unidos Mexicanos.</w:t>
      </w:r>
    </w:p>
    <w:p w14:paraId="4D99DFDD" w14:textId="4A272B9C" w:rsidR="001731E1" w:rsidRPr="00495A0D" w:rsidRDefault="004422A7" w:rsidP="00495A0D">
      <w:pPr>
        <w:spacing w:after="0" w:line="360" w:lineRule="auto"/>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S</w:t>
      </w:r>
      <w:r w:rsidR="00F35B33" w:rsidRPr="00495A0D">
        <w:rPr>
          <w:rFonts w:ascii="Times New Roman" w:hAnsi="Times New Roman"/>
          <w:color w:val="000000" w:themeColor="text1"/>
          <w:sz w:val="24"/>
          <w:szCs w:val="24"/>
        </w:rPr>
        <w:t>e evaluaron a</w:t>
      </w:r>
      <w:r w:rsidR="001731E1" w:rsidRPr="00495A0D">
        <w:rPr>
          <w:rFonts w:ascii="Times New Roman" w:hAnsi="Times New Roman"/>
          <w:color w:val="000000" w:themeColor="text1"/>
          <w:sz w:val="24"/>
          <w:szCs w:val="24"/>
        </w:rPr>
        <w:t xml:space="preserve"> </w:t>
      </w:r>
      <w:r w:rsidR="00B132FC" w:rsidRPr="00495A0D">
        <w:rPr>
          <w:rFonts w:ascii="Times New Roman" w:hAnsi="Times New Roman"/>
          <w:color w:val="000000" w:themeColor="text1"/>
          <w:sz w:val="24"/>
          <w:szCs w:val="24"/>
        </w:rPr>
        <w:t xml:space="preserve">25 </w:t>
      </w:r>
      <w:r w:rsidR="001E7D9F" w:rsidRPr="00495A0D">
        <w:rPr>
          <w:rFonts w:ascii="Times New Roman" w:hAnsi="Times New Roman"/>
          <w:color w:val="000000" w:themeColor="text1"/>
          <w:sz w:val="24"/>
          <w:szCs w:val="24"/>
        </w:rPr>
        <w:t>enfermeras que cumplieron</w:t>
      </w:r>
      <w:r w:rsidR="00F35B33" w:rsidRPr="00495A0D">
        <w:rPr>
          <w:rFonts w:ascii="Times New Roman" w:hAnsi="Times New Roman"/>
          <w:color w:val="000000" w:themeColor="text1"/>
          <w:sz w:val="24"/>
          <w:szCs w:val="24"/>
        </w:rPr>
        <w:t xml:space="preserve"> con los cri</w:t>
      </w:r>
      <w:r w:rsidR="00086248" w:rsidRPr="00495A0D">
        <w:rPr>
          <w:rFonts w:ascii="Times New Roman" w:hAnsi="Times New Roman"/>
          <w:color w:val="000000" w:themeColor="text1"/>
          <w:sz w:val="24"/>
          <w:szCs w:val="24"/>
        </w:rPr>
        <w:t>terios de inclusión</w:t>
      </w:r>
      <w:r w:rsidR="00271DBA" w:rsidRPr="00495A0D">
        <w:rPr>
          <w:rFonts w:ascii="Times New Roman" w:hAnsi="Times New Roman"/>
          <w:color w:val="000000" w:themeColor="text1"/>
          <w:sz w:val="24"/>
          <w:szCs w:val="24"/>
        </w:rPr>
        <w:t>, durante</w:t>
      </w:r>
      <w:r w:rsidR="000C3295" w:rsidRPr="00495A0D">
        <w:rPr>
          <w:rFonts w:ascii="Times New Roman" w:hAnsi="Times New Roman"/>
          <w:color w:val="000000" w:themeColor="text1"/>
          <w:sz w:val="24"/>
          <w:szCs w:val="24"/>
        </w:rPr>
        <w:t xml:space="preserve"> los meses</w:t>
      </w:r>
      <w:r w:rsidRPr="00495A0D">
        <w:rPr>
          <w:rFonts w:ascii="Times New Roman" w:hAnsi="Times New Roman"/>
          <w:color w:val="000000" w:themeColor="text1"/>
          <w:sz w:val="24"/>
          <w:szCs w:val="24"/>
        </w:rPr>
        <w:t xml:space="preserve"> de enero y febrero del año 2016</w:t>
      </w:r>
      <w:r w:rsidR="000C3295" w:rsidRPr="00495A0D">
        <w:rPr>
          <w:rFonts w:ascii="Times New Roman" w:hAnsi="Times New Roman"/>
          <w:color w:val="000000" w:themeColor="text1"/>
          <w:sz w:val="24"/>
          <w:szCs w:val="24"/>
        </w:rPr>
        <w:t>.</w:t>
      </w:r>
    </w:p>
    <w:p w14:paraId="6CCF64CC" w14:textId="7F41DA9B" w:rsidR="001D284C" w:rsidRPr="00495A0D" w:rsidRDefault="001D284C"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Los criterios de inclusión fueron los siguientes: </w:t>
      </w:r>
      <w:r w:rsidR="004422A7" w:rsidRPr="00495A0D">
        <w:rPr>
          <w:rFonts w:ascii="Times New Roman" w:hAnsi="Times New Roman"/>
          <w:color w:val="000000" w:themeColor="text1"/>
          <w:sz w:val="24"/>
          <w:szCs w:val="24"/>
        </w:rPr>
        <w:t>p</w:t>
      </w:r>
      <w:r w:rsidRPr="00495A0D">
        <w:rPr>
          <w:rFonts w:ascii="Times New Roman" w:hAnsi="Times New Roman"/>
          <w:color w:val="000000" w:themeColor="text1"/>
          <w:sz w:val="24"/>
          <w:szCs w:val="24"/>
        </w:rPr>
        <w:t>rofesional de enfermería mayor a</w:t>
      </w:r>
      <w:r w:rsidR="00B40B50" w:rsidRPr="00495A0D">
        <w:rPr>
          <w:rFonts w:ascii="Times New Roman" w:hAnsi="Times New Roman"/>
          <w:color w:val="000000" w:themeColor="text1"/>
          <w:sz w:val="24"/>
          <w:szCs w:val="24"/>
        </w:rPr>
        <w:t xml:space="preserve"> 30 años, que trabajará</w:t>
      </w:r>
      <w:r w:rsidRPr="00495A0D">
        <w:rPr>
          <w:rFonts w:ascii="Times New Roman" w:hAnsi="Times New Roman"/>
          <w:color w:val="000000" w:themeColor="text1"/>
          <w:sz w:val="24"/>
          <w:szCs w:val="24"/>
        </w:rPr>
        <w:t xml:space="preserve"> en cualquier turno, sin afecciones cardiovasculares diagnosticadas</w:t>
      </w:r>
      <w:r w:rsidR="00B40B50" w:rsidRPr="00495A0D">
        <w:rPr>
          <w:rFonts w:ascii="Times New Roman" w:hAnsi="Times New Roman"/>
          <w:color w:val="000000" w:themeColor="text1"/>
          <w:sz w:val="24"/>
          <w:szCs w:val="24"/>
        </w:rPr>
        <w:t xml:space="preserve"> al momento </w:t>
      </w:r>
      <w:r w:rsidRPr="00495A0D">
        <w:rPr>
          <w:rFonts w:ascii="Times New Roman" w:hAnsi="Times New Roman"/>
          <w:color w:val="000000" w:themeColor="text1"/>
          <w:sz w:val="24"/>
          <w:szCs w:val="24"/>
        </w:rPr>
        <w:t>del estudio y que no ingi</w:t>
      </w:r>
      <w:r w:rsidR="00B40B50" w:rsidRPr="00495A0D">
        <w:rPr>
          <w:rFonts w:ascii="Times New Roman" w:hAnsi="Times New Roman"/>
          <w:color w:val="000000" w:themeColor="text1"/>
          <w:sz w:val="24"/>
          <w:szCs w:val="24"/>
        </w:rPr>
        <w:t>ri</w:t>
      </w:r>
      <w:r w:rsidRPr="00495A0D">
        <w:rPr>
          <w:rFonts w:ascii="Times New Roman" w:hAnsi="Times New Roman"/>
          <w:color w:val="000000" w:themeColor="text1"/>
          <w:sz w:val="24"/>
          <w:szCs w:val="24"/>
        </w:rPr>
        <w:t xml:space="preserve">era fármacos para el control de colesterol </w:t>
      </w:r>
      <w:r w:rsidR="0034220B" w:rsidRPr="00495A0D">
        <w:rPr>
          <w:rFonts w:ascii="Times New Roman" w:hAnsi="Times New Roman"/>
          <w:color w:val="000000" w:themeColor="text1"/>
          <w:sz w:val="24"/>
          <w:szCs w:val="24"/>
        </w:rPr>
        <w:t xml:space="preserve">o </w:t>
      </w:r>
      <w:r w:rsidRPr="00495A0D">
        <w:rPr>
          <w:rFonts w:ascii="Times New Roman" w:hAnsi="Times New Roman"/>
          <w:color w:val="000000" w:themeColor="text1"/>
          <w:sz w:val="24"/>
          <w:szCs w:val="24"/>
        </w:rPr>
        <w:t>reductivos para control de peso.</w:t>
      </w:r>
    </w:p>
    <w:p w14:paraId="74E21E65" w14:textId="0615D4B8" w:rsidR="00234B7E"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Se excluyó a todo aquel profesional de enf</w:t>
      </w:r>
      <w:r w:rsidR="00A8683A" w:rsidRPr="00495A0D">
        <w:rPr>
          <w:rFonts w:ascii="Times New Roman" w:hAnsi="Times New Roman"/>
          <w:color w:val="000000" w:themeColor="text1"/>
          <w:sz w:val="24"/>
          <w:szCs w:val="24"/>
        </w:rPr>
        <w:t>ermería que tuviese algún diagnóstico médico</w:t>
      </w:r>
      <w:r w:rsidRPr="00495A0D">
        <w:rPr>
          <w:rFonts w:ascii="Times New Roman" w:hAnsi="Times New Roman"/>
          <w:color w:val="000000" w:themeColor="text1"/>
          <w:sz w:val="24"/>
          <w:szCs w:val="24"/>
        </w:rPr>
        <w:t xml:space="preserve"> pre</w:t>
      </w:r>
      <w:r w:rsidR="00A8683A" w:rsidRPr="00495A0D">
        <w:rPr>
          <w:rFonts w:ascii="Times New Roman" w:hAnsi="Times New Roman"/>
          <w:color w:val="000000" w:themeColor="text1"/>
          <w:sz w:val="24"/>
          <w:szCs w:val="24"/>
        </w:rPr>
        <w:t>vio de</w:t>
      </w:r>
      <w:r w:rsidRPr="00495A0D">
        <w:rPr>
          <w:rFonts w:ascii="Times New Roman" w:hAnsi="Times New Roman"/>
          <w:color w:val="000000" w:themeColor="text1"/>
          <w:sz w:val="24"/>
          <w:szCs w:val="24"/>
        </w:rPr>
        <w:t xml:space="preserve"> infarto al mi</w:t>
      </w:r>
      <w:r w:rsidR="00A8683A" w:rsidRPr="00495A0D">
        <w:rPr>
          <w:rFonts w:ascii="Times New Roman" w:hAnsi="Times New Roman"/>
          <w:color w:val="000000" w:themeColor="text1"/>
          <w:sz w:val="24"/>
          <w:szCs w:val="24"/>
        </w:rPr>
        <w:t>ocardio</w:t>
      </w:r>
      <w:r w:rsidRPr="00495A0D">
        <w:rPr>
          <w:rFonts w:ascii="Times New Roman" w:hAnsi="Times New Roman"/>
          <w:color w:val="000000" w:themeColor="text1"/>
          <w:sz w:val="24"/>
          <w:szCs w:val="24"/>
        </w:rPr>
        <w:t>, angina</w:t>
      </w:r>
      <w:r w:rsidR="00836C30" w:rsidRPr="00495A0D">
        <w:rPr>
          <w:rFonts w:ascii="Times New Roman" w:hAnsi="Times New Roman"/>
          <w:color w:val="000000" w:themeColor="text1"/>
          <w:sz w:val="24"/>
          <w:szCs w:val="24"/>
        </w:rPr>
        <w:t xml:space="preserve"> de pecho</w:t>
      </w:r>
      <w:r w:rsidRPr="00495A0D">
        <w:rPr>
          <w:rFonts w:ascii="Times New Roman" w:hAnsi="Times New Roman"/>
          <w:color w:val="000000" w:themeColor="text1"/>
          <w:sz w:val="24"/>
          <w:szCs w:val="24"/>
        </w:rPr>
        <w:t>, accidente cerebrovascular isqué</w:t>
      </w:r>
      <w:r w:rsidR="00836C30" w:rsidRPr="00495A0D">
        <w:rPr>
          <w:rFonts w:ascii="Times New Roman" w:hAnsi="Times New Roman"/>
          <w:color w:val="000000" w:themeColor="text1"/>
          <w:sz w:val="24"/>
          <w:szCs w:val="24"/>
        </w:rPr>
        <w:t xml:space="preserve">mico </w:t>
      </w:r>
      <w:r w:rsidR="0034220B" w:rsidRPr="00495A0D">
        <w:rPr>
          <w:rFonts w:ascii="Times New Roman" w:hAnsi="Times New Roman"/>
          <w:color w:val="000000" w:themeColor="text1"/>
          <w:sz w:val="24"/>
          <w:szCs w:val="24"/>
        </w:rPr>
        <w:t xml:space="preserve">o </w:t>
      </w:r>
      <w:r w:rsidRPr="00495A0D">
        <w:rPr>
          <w:rFonts w:ascii="Times New Roman" w:hAnsi="Times New Roman"/>
          <w:color w:val="000000" w:themeColor="text1"/>
          <w:sz w:val="24"/>
          <w:szCs w:val="24"/>
        </w:rPr>
        <w:t xml:space="preserve">hemorrágico, ataque isquémico transitorio, insuficiencia cardíaca </w:t>
      </w:r>
      <w:r w:rsidR="0034220B" w:rsidRPr="00495A0D">
        <w:rPr>
          <w:rFonts w:ascii="Times New Roman" w:hAnsi="Times New Roman"/>
          <w:color w:val="000000" w:themeColor="text1"/>
          <w:sz w:val="24"/>
          <w:szCs w:val="24"/>
        </w:rPr>
        <w:t xml:space="preserve">o </w:t>
      </w:r>
      <w:r w:rsidRPr="00495A0D">
        <w:rPr>
          <w:rFonts w:ascii="Times New Roman" w:hAnsi="Times New Roman"/>
          <w:color w:val="000000" w:themeColor="text1"/>
          <w:sz w:val="24"/>
          <w:szCs w:val="24"/>
        </w:rPr>
        <w:t>trombosis venosa profunda.</w:t>
      </w:r>
    </w:p>
    <w:p w14:paraId="3694A5F6" w14:textId="420CFE76" w:rsidR="001731E1"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A todos los sujetos se</w:t>
      </w:r>
      <w:r w:rsidR="00996072" w:rsidRPr="00495A0D">
        <w:rPr>
          <w:rFonts w:ascii="Times New Roman" w:hAnsi="Times New Roman"/>
          <w:color w:val="000000" w:themeColor="text1"/>
          <w:sz w:val="24"/>
          <w:szCs w:val="24"/>
        </w:rPr>
        <w:t xml:space="preserve"> les realizó</w:t>
      </w:r>
      <w:r w:rsidR="0038258E" w:rsidRPr="00495A0D">
        <w:rPr>
          <w:rFonts w:ascii="Times New Roman" w:hAnsi="Times New Roman"/>
          <w:color w:val="000000" w:themeColor="text1"/>
          <w:sz w:val="24"/>
          <w:szCs w:val="24"/>
        </w:rPr>
        <w:t xml:space="preserve"> un</w:t>
      </w:r>
      <w:r w:rsidR="00996072" w:rsidRPr="00495A0D">
        <w:rPr>
          <w:rFonts w:ascii="Times New Roman" w:hAnsi="Times New Roman"/>
          <w:color w:val="000000" w:themeColor="text1"/>
          <w:sz w:val="24"/>
          <w:szCs w:val="24"/>
        </w:rPr>
        <w:t>a entrevista basada en el</w:t>
      </w:r>
      <w:r w:rsidR="0038258E" w:rsidRPr="00495A0D">
        <w:rPr>
          <w:rFonts w:ascii="Times New Roman" w:hAnsi="Times New Roman"/>
          <w:color w:val="000000" w:themeColor="text1"/>
          <w:sz w:val="24"/>
          <w:szCs w:val="24"/>
        </w:rPr>
        <w:t xml:space="preserve"> cuestionario</w:t>
      </w:r>
      <w:r w:rsidR="00996072" w:rsidRPr="00495A0D">
        <w:rPr>
          <w:rFonts w:ascii="Times New Roman" w:hAnsi="Times New Roman"/>
          <w:color w:val="000000" w:themeColor="text1"/>
          <w:sz w:val="24"/>
          <w:szCs w:val="24"/>
        </w:rPr>
        <w:t xml:space="preserve"> </w:t>
      </w:r>
      <w:r w:rsidR="00367B45" w:rsidRPr="00495A0D">
        <w:rPr>
          <w:rFonts w:ascii="Times New Roman" w:hAnsi="Times New Roman"/>
          <w:color w:val="000000" w:themeColor="text1"/>
          <w:sz w:val="24"/>
          <w:szCs w:val="24"/>
        </w:rPr>
        <w:t>STEPS</w:t>
      </w:r>
      <w:r w:rsidRPr="00495A0D">
        <w:rPr>
          <w:rFonts w:ascii="Times New Roman" w:hAnsi="Times New Roman"/>
          <w:color w:val="000000" w:themeColor="text1"/>
          <w:sz w:val="24"/>
          <w:szCs w:val="24"/>
        </w:rPr>
        <w:t xml:space="preserve"> pa</w:t>
      </w:r>
      <w:r w:rsidR="00A1355B" w:rsidRPr="00495A0D">
        <w:rPr>
          <w:rFonts w:ascii="Times New Roman" w:hAnsi="Times New Roman"/>
          <w:color w:val="000000" w:themeColor="text1"/>
          <w:sz w:val="24"/>
          <w:szCs w:val="24"/>
        </w:rPr>
        <w:t>nam</w:t>
      </w:r>
      <w:r w:rsidR="00234B7E" w:rsidRPr="00495A0D">
        <w:rPr>
          <w:rFonts w:ascii="Times New Roman" w:hAnsi="Times New Roman"/>
          <w:color w:val="000000" w:themeColor="text1"/>
          <w:sz w:val="24"/>
          <w:szCs w:val="24"/>
        </w:rPr>
        <w:t>ericano</w:t>
      </w:r>
      <w:r w:rsidR="00857CD2" w:rsidRPr="00495A0D">
        <w:rPr>
          <w:rFonts w:ascii="Times New Roman" w:hAnsi="Times New Roman"/>
          <w:color w:val="000000" w:themeColor="text1"/>
          <w:sz w:val="24"/>
          <w:szCs w:val="24"/>
        </w:rPr>
        <w:t xml:space="preserve"> para la recolección </w:t>
      </w:r>
      <w:r w:rsidRPr="00495A0D">
        <w:rPr>
          <w:rFonts w:ascii="Times New Roman" w:hAnsi="Times New Roman"/>
          <w:color w:val="000000" w:themeColor="text1"/>
          <w:sz w:val="24"/>
          <w:szCs w:val="24"/>
        </w:rPr>
        <w:t>de informaci</w:t>
      </w:r>
      <w:r w:rsidR="00CD0D84" w:rsidRPr="00495A0D">
        <w:rPr>
          <w:rFonts w:ascii="Times New Roman" w:hAnsi="Times New Roman"/>
          <w:color w:val="000000" w:themeColor="text1"/>
          <w:sz w:val="24"/>
          <w:szCs w:val="24"/>
        </w:rPr>
        <w:t>ón sobre</w:t>
      </w:r>
      <w:r w:rsidR="00415342" w:rsidRPr="00495A0D">
        <w:rPr>
          <w:rFonts w:ascii="Times New Roman" w:hAnsi="Times New Roman"/>
          <w:color w:val="000000" w:themeColor="text1"/>
          <w:sz w:val="24"/>
          <w:szCs w:val="24"/>
        </w:rPr>
        <w:t xml:space="preserve"> alimentación</w:t>
      </w:r>
      <w:r w:rsidRPr="00495A0D">
        <w:rPr>
          <w:rFonts w:ascii="Times New Roman" w:hAnsi="Times New Roman"/>
          <w:color w:val="000000" w:themeColor="text1"/>
          <w:sz w:val="24"/>
          <w:szCs w:val="24"/>
        </w:rPr>
        <w:t>, activi</w:t>
      </w:r>
      <w:r w:rsidR="00FC7DE8" w:rsidRPr="00495A0D">
        <w:rPr>
          <w:rFonts w:ascii="Times New Roman" w:hAnsi="Times New Roman"/>
          <w:color w:val="000000" w:themeColor="text1"/>
          <w:sz w:val="24"/>
          <w:szCs w:val="24"/>
        </w:rPr>
        <w:t>dad fís</w:t>
      </w:r>
      <w:r w:rsidR="00370C81" w:rsidRPr="00495A0D">
        <w:rPr>
          <w:rFonts w:ascii="Times New Roman" w:hAnsi="Times New Roman"/>
          <w:color w:val="000000" w:themeColor="text1"/>
          <w:sz w:val="24"/>
          <w:szCs w:val="24"/>
        </w:rPr>
        <w:t>ica, consumo de alcohol y</w:t>
      </w:r>
      <w:r w:rsidRPr="00495A0D">
        <w:rPr>
          <w:rFonts w:ascii="Times New Roman" w:hAnsi="Times New Roman"/>
          <w:color w:val="000000" w:themeColor="text1"/>
          <w:sz w:val="24"/>
          <w:szCs w:val="24"/>
        </w:rPr>
        <w:t xml:space="preserve"> </w:t>
      </w:r>
      <w:r w:rsidR="00415342" w:rsidRPr="00495A0D">
        <w:rPr>
          <w:rFonts w:ascii="Times New Roman" w:hAnsi="Times New Roman"/>
          <w:color w:val="000000" w:themeColor="text1"/>
          <w:sz w:val="24"/>
          <w:szCs w:val="24"/>
        </w:rPr>
        <w:t>tabaco, así como</w:t>
      </w:r>
      <w:r w:rsidRPr="00495A0D">
        <w:rPr>
          <w:rFonts w:ascii="Times New Roman" w:hAnsi="Times New Roman"/>
          <w:color w:val="000000" w:themeColor="text1"/>
          <w:sz w:val="24"/>
          <w:szCs w:val="24"/>
        </w:rPr>
        <w:t xml:space="preserve"> antecedentes </w:t>
      </w:r>
      <w:r w:rsidR="00CD0D84" w:rsidRPr="00495A0D">
        <w:rPr>
          <w:rFonts w:ascii="Times New Roman" w:hAnsi="Times New Roman"/>
          <w:color w:val="000000" w:themeColor="text1"/>
          <w:sz w:val="24"/>
          <w:szCs w:val="24"/>
        </w:rPr>
        <w:t>heredo</w:t>
      </w:r>
      <w:r w:rsidR="00415342" w:rsidRPr="00495A0D">
        <w:rPr>
          <w:rFonts w:ascii="Times New Roman" w:hAnsi="Times New Roman"/>
          <w:color w:val="000000" w:themeColor="text1"/>
          <w:sz w:val="24"/>
          <w:szCs w:val="24"/>
        </w:rPr>
        <w:t>familiares</w:t>
      </w:r>
      <w:r w:rsidRPr="00495A0D">
        <w:rPr>
          <w:rFonts w:ascii="Times New Roman" w:hAnsi="Times New Roman"/>
          <w:color w:val="000000" w:themeColor="text1"/>
          <w:sz w:val="24"/>
          <w:szCs w:val="24"/>
        </w:rPr>
        <w:t>.</w:t>
      </w:r>
    </w:p>
    <w:p w14:paraId="7FAF9DA3" w14:textId="0E8E40F5" w:rsidR="001731E1" w:rsidRPr="00495A0D" w:rsidRDefault="001731E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Previó a la aplicación de la entrevista</w:t>
      </w:r>
      <w:r w:rsidR="00BE4552"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se obtuvo el consent</w:t>
      </w:r>
      <w:r w:rsidR="00330F07" w:rsidRPr="00495A0D">
        <w:rPr>
          <w:rFonts w:ascii="Times New Roman" w:hAnsi="Times New Roman"/>
          <w:color w:val="000000" w:themeColor="text1"/>
          <w:sz w:val="24"/>
          <w:szCs w:val="24"/>
        </w:rPr>
        <w:t>imiento in</w:t>
      </w:r>
      <w:r w:rsidR="003722FA" w:rsidRPr="00495A0D">
        <w:rPr>
          <w:rFonts w:ascii="Times New Roman" w:hAnsi="Times New Roman"/>
          <w:color w:val="000000" w:themeColor="text1"/>
          <w:sz w:val="24"/>
          <w:szCs w:val="24"/>
        </w:rPr>
        <w:t>formado</w:t>
      </w:r>
      <w:r w:rsidR="00BE4552" w:rsidRPr="00495A0D">
        <w:rPr>
          <w:rFonts w:ascii="Times New Roman" w:hAnsi="Times New Roman"/>
          <w:color w:val="000000" w:themeColor="text1"/>
          <w:sz w:val="24"/>
          <w:szCs w:val="24"/>
        </w:rPr>
        <w:t xml:space="preserve"> de todos los participantes</w:t>
      </w:r>
      <w:r w:rsidR="00330F07" w:rsidRPr="00495A0D">
        <w:rPr>
          <w:rFonts w:ascii="Times New Roman" w:hAnsi="Times New Roman"/>
          <w:color w:val="000000" w:themeColor="text1"/>
          <w:sz w:val="24"/>
          <w:szCs w:val="24"/>
        </w:rPr>
        <w:t>,</w:t>
      </w:r>
      <w:r w:rsidR="00026827" w:rsidRPr="00495A0D">
        <w:rPr>
          <w:rFonts w:ascii="Times New Roman" w:hAnsi="Times New Roman"/>
          <w:color w:val="000000" w:themeColor="text1"/>
          <w:sz w:val="24"/>
          <w:szCs w:val="24"/>
        </w:rPr>
        <w:t xml:space="preserve"> de acuerdo</w:t>
      </w:r>
      <w:r w:rsidRPr="00495A0D">
        <w:rPr>
          <w:rFonts w:ascii="Times New Roman" w:hAnsi="Times New Roman"/>
          <w:color w:val="000000" w:themeColor="text1"/>
          <w:sz w:val="24"/>
          <w:szCs w:val="24"/>
        </w:rPr>
        <w:t xml:space="preserve"> </w:t>
      </w:r>
      <w:r w:rsidR="0029028B" w:rsidRPr="00495A0D">
        <w:rPr>
          <w:rFonts w:ascii="Times New Roman" w:hAnsi="Times New Roman"/>
          <w:color w:val="000000" w:themeColor="text1"/>
          <w:sz w:val="24"/>
          <w:szCs w:val="24"/>
        </w:rPr>
        <w:t>con</w:t>
      </w:r>
      <w:r w:rsidRPr="00495A0D">
        <w:rPr>
          <w:rFonts w:ascii="Times New Roman" w:hAnsi="Times New Roman"/>
          <w:color w:val="000000" w:themeColor="text1"/>
          <w:sz w:val="24"/>
          <w:szCs w:val="24"/>
        </w:rPr>
        <w:t xml:space="preserve"> los principios que rigen la investigación en seres humanos.</w:t>
      </w:r>
    </w:p>
    <w:p w14:paraId="0F3F7D2A" w14:textId="54EA6BE6" w:rsidR="001731E1" w:rsidRPr="00495A0D" w:rsidRDefault="00CC768F"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Las variables establecidas fueron</w:t>
      </w:r>
      <w:r w:rsidR="001731E1" w:rsidRPr="00495A0D">
        <w:rPr>
          <w:rFonts w:ascii="Times New Roman" w:hAnsi="Times New Roman"/>
          <w:color w:val="000000" w:themeColor="text1"/>
          <w:sz w:val="24"/>
          <w:szCs w:val="24"/>
        </w:rPr>
        <w:t xml:space="preserve"> edad, sexo, actividad física, tabaquismo, diabetes, índice de masa corporal, </w:t>
      </w:r>
      <w:r w:rsidR="008B7B77" w:rsidRPr="00495A0D">
        <w:rPr>
          <w:rFonts w:ascii="Times New Roman" w:hAnsi="Times New Roman"/>
          <w:color w:val="000000" w:themeColor="text1"/>
          <w:sz w:val="24"/>
          <w:szCs w:val="24"/>
        </w:rPr>
        <w:t xml:space="preserve">tensión arterial </w:t>
      </w:r>
      <w:r w:rsidR="001731E1" w:rsidRPr="00495A0D">
        <w:rPr>
          <w:rFonts w:ascii="Times New Roman" w:hAnsi="Times New Roman"/>
          <w:color w:val="000000" w:themeColor="text1"/>
          <w:sz w:val="24"/>
          <w:szCs w:val="24"/>
        </w:rPr>
        <w:t xml:space="preserve">sistólica, colesterol total, colesterol HDL, triglicéridos, perímetro abdominal, </w:t>
      </w:r>
      <w:r w:rsidR="00E72EB5" w:rsidRPr="00495A0D">
        <w:rPr>
          <w:rFonts w:ascii="Times New Roman" w:hAnsi="Times New Roman"/>
          <w:color w:val="000000" w:themeColor="text1"/>
          <w:sz w:val="24"/>
          <w:szCs w:val="24"/>
        </w:rPr>
        <w:t xml:space="preserve">índice cintura–altura, </w:t>
      </w:r>
      <w:r w:rsidR="001731E1" w:rsidRPr="00495A0D">
        <w:rPr>
          <w:rFonts w:ascii="Times New Roman" w:hAnsi="Times New Roman"/>
          <w:color w:val="000000" w:themeColor="text1"/>
          <w:sz w:val="24"/>
          <w:szCs w:val="24"/>
        </w:rPr>
        <w:t>riesgo cardiovascular, edad vascular, índice tobillo–brazo, producto de acumulación de lípidos y nivel de estrés.</w:t>
      </w:r>
    </w:p>
    <w:p w14:paraId="615870BD" w14:textId="7AF3B567" w:rsidR="00952279" w:rsidRPr="00495A0D" w:rsidRDefault="00952279"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Se empleó el coeficiente de correlación de Pearson para determinar la relación y dirección entre las diversas variables evaluadas</w:t>
      </w:r>
      <w:r w:rsidR="00B71A03" w:rsidRPr="00495A0D">
        <w:rPr>
          <w:rFonts w:ascii="Times New Roman" w:hAnsi="Times New Roman"/>
          <w:color w:val="000000" w:themeColor="text1"/>
          <w:sz w:val="24"/>
          <w:szCs w:val="24"/>
        </w:rPr>
        <w:t>.</w:t>
      </w:r>
    </w:p>
    <w:p w14:paraId="11B16CFB" w14:textId="403A3231" w:rsidR="001731E1" w:rsidRPr="00495A0D" w:rsidRDefault="001167EA"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L</w:t>
      </w:r>
      <w:r w:rsidR="00B864F4" w:rsidRPr="00495A0D">
        <w:rPr>
          <w:rFonts w:ascii="Times New Roman" w:hAnsi="Times New Roman"/>
          <w:color w:val="000000" w:themeColor="text1"/>
          <w:sz w:val="24"/>
          <w:szCs w:val="24"/>
        </w:rPr>
        <w:t>a edad vascular se obtuvo</w:t>
      </w:r>
      <w:r w:rsidR="001731E1" w:rsidRPr="00495A0D">
        <w:rPr>
          <w:rFonts w:ascii="Times New Roman" w:hAnsi="Times New Roman"/>
          <w:color w:val="000000" w:themeColor="text1"/>
          <w:sz w:val="24"/>
          <w:szCs w:val="24"/>
        </w:rPr>
        <w:t xml:space="preserve"> mediante la calculadora de predicción de riesgo del Framingham Heart Study</w:t>
      </w:r>
      <w:r w:rsidR="00B06E20" w:rsidRPr="00495A0D">
        <w:rPr>
          <w:rFonts w:ascii="Times New Roman" w:hAnsi="Times New Roman"/>
          <w:color w:val="000000" w:themeColor="text1"/>
          <w:sz w:val="24"/>
          <w:szCs w:val="24"/>
        </w:rPr>
        <w:t xml:space="preserve"> (FHS, 2016).</w:t>
      </w:r>
      <w:r w:rsidR="001731E1" w:rsidRPr="00495A0D">
        <w:rPr>
          <w:rFonts w:ascii="Times New Roman" w:hAnsi="Times New Roman"/>
          <w:color w:val="000000" w:themeColor="text1"/>
          <w:sz w:val="24"/>
          <w:szCs w:val="24"/>
        </w:rPr>
        <w:t xml:space="preserve"> </w:t>
      </w:r>
    </w:p>
    <w:p w14:paraId="108B1952" w14:textId="62013456" w:rsidR="001731E1" w:rsidRPr="00495A0D" w:rsidRDefault="004D7B3A"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lastRenderedPageBreak/>
        <w:t>Las cifras</w:t>
      </w:r>
      <w:r w:rsidR="003450E3" w:rsidRPr="00495A0D">
        <w:rPr>
          <w:rFonts w:ascii="Times New Roman" w:hAnsi="Times New Roman"/>
          <w:color w:val="000000" w:themeColor="text1"/>
          <w:sz w:val="24"/>
          <w:szCs w:val="24"/>
        </w:rPr>
        <w:t xml:space="preserve"> de glucosa se determinaron mediante </w:t>
      </w:r>
      <w:r w:rsidR="006F007D" w:rsidRPr="00495A0D">
        <w:rPr>
          <w:rFonts w:ascii="Times New Roman" w:hAnsi="Times New Roman"/>
          <w:color w:val="000000" w:themeColor="text1"/>
          <w:sz w:val="24"/>
          <w:szCs w:val="24"/>
        </w:rPr>
        <w:t>glucometr</w:t>
      </w:r>
      <w:r w:rsidR="00ED5AC2" w:rsidRPr="00495A0D">
        <w:rPr>
          <w:rFonts w:ascii="Times New Roman" w:hAnsi="Times New Roman"/>
          <w:color w:val="000000" w:themeColor="text1"/>
          <w:sz w:val="24"/>
          <w:szCs w:val="24"/>
        </w:rPr>
        <w:t>í</w:t>
      </w:r>
      <w:r w:rsidR="006F007D" w:rsidRPr="00495A0D">
        <w:rPr>
          <w:rFonts w:ascii="Times New Roman" w:hAnsi="Times New Roman"/>
          <w:color w:val="000000" w:themeColor="text1"/>
          <w:sz w:val="24"/>
          <w:szCs w:val="24"/>
        </w:rPr>
        <w:t>a</w:t>
      </w:r>
      <w:r w:rsidR="00C50A19" w:rsidRPr="00495A0D">
        <w:rPr>
          <w:rFonts w:ascii="Times New Roman" w:hAnsi="Times New Roman"/>
          <w:color w:val="000000" w:themeColor="text1"/>
          <w:sz w:val="24"/>
          <w:szCs w:val="24"/>
        </w:rPr>
        <w:t xml:space="preserve"> capilar en ayuno</w:t>
      </w:r>
      <w:r w:rsidR="005231AB" w:rsidRPr="00495A0D">
        <w:rPr>
          <w:rFonts w:ascii="Times New Roman" w:hAnsi="Times New Roman"/>
          <w:color w:val="000000" w:themeColor="text1"/>
          <w:sz w:val="24"/>
          <w:szCs w:val="24"/>
        </w:rPr>
        <w:t xml:space="preserve"> </w:t>
      </w:r>
      <w:r w:rsidR="00CC768F" w:rsidRPr="00495A0D">
        <w:rPr>
          <w:rFonts w:ascii="Times New Roman" w:hAnsi="Times New Roman"/>
          <w:color w:val="000000" w:themeColor="text1"/>
          <w:sz w:val="24"/>
          <w:szCs w:val="24"/>
        </w:rPr>
        <w:t>—</w:t>
      </w:r>
      <w:r w:rsidR="005231AB" w:rsidRPr="00495A0D">
        <w:rPr>
          <w:rFonts w:ascii="Times New Roman" w:hAnsi="Times New Roman"/>
          <w:color w:val="000000" w:themeColor="text1"/>
          <w:sz w:val="24"/>
          <w:szCs w:val="24"/>
        </w:rPr>
        <w:t>con apoyo de</w:t>
      </w:r>
      <w:r w:rsidR="00CC768F" w:rsidRPr="00495A0D">
        <w:rPr>
          <w:rFonts w:ascii="Times New Roman" w:hAnsi="Times New Roman"/>
          <w:color w:val="000000" w:themeColor="text1"/>
          <w:sz w:val="24"/>
          <w:szCs w:val="24"/>
        </w:rPr>
        <w:t>l</w:t>
      </w:r>
      <w:r w:rsidR="005231AB" w:rsidRPr="00495A0D">
        <w:rPr>
          <w:rFonts w:ascii="Times New Roman" w:hAnsi="Times New Roman"/>
          <w:color w:val="000000" w:themeColor="text1"/>
          <w:sz w:val="24"/>
          <w:szCs w:val="24"/>
        </w:rPr>
        <w:t xml:space="preserve"> monitor de glicemia</w:t>
      </w:r>
      <w:r w:rsidR="00A17D86" w:rsidRPr="00495A0D">
        <w:rPr>
          <w:rFonts w:ascii="Times New Roman" w:hAnsi="Times New Roman"/>
          <w:color w:val="000000" w:themeColor="text1"/>
          <w:sz w:val="24"/>
          <w:szCs w:val="24"/>
        </w:rPr>
        <w:t xml:space="preserve"> </w:t>
      </w:r>
      <w:r w:rsidR="00CC768F" w:rsidRPr="00495A0D">
        <w:rPr>
          <w:rFonts w:ascii="Times New Roman" w:hAnsi="Times New Roman"/>
          <w:color w:val="000000" w:themeColor="text1"/>
          <w:sz w:val="24"/>
          <w:szCs w:val="24"/>
        </w:rPr>
        <w:t>Accu-Check</w:t>
      </w:r>
      <w:r w:rsidR="00CC768F" w:rsidRPr="00495A0D">
        <w:rPr>
          <w:rFonts w:ascii="Times New Roman" w:hAnsi="Times New Roman"/>
          <w:color w:val="000000" w:themeColor="text1"/>
          <w:sz w:val="24"/>
          <w:szCs w:val="24"/>
          <w:vertAlign w:val="superscript"/>
        </w:rPr>
        <w:t>®</w:t>
      </w:r>
      <w:r w:rsidR="00CC768F" w:rsidRPr="00495A0D">
        <w:rPr>
          <w:rFonts w:ascii="Times New Roman" w:hAnsi="Times New Roman"/>
          <w:color w:val="000000" w:themeColor="text1"/>
          <w:sz w:val="24"/>
          <w:szCs w:val="24"/>
        </w:rPr>
        <w:t xml:space="preserve"> Performa, </w:t>
      </w:r>
      <w:r w:rsidR="00A17D86" w:rsidRPr="00495A0D">
        <w:rPr>
          <w:rFonts w:ascii="Times New Roman" w:hAnsi="Times New Roman"/>
          <w:color w:val="000000" w:themeColor="text1"/>
          <w:sz w:val="24"/>
          <w:szCs w:val="24"/>
        </w:rPr>
        <w:t>de productos Roche</w:t>
      </w:r>
      <w:r w:rsidR="00CC768F"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y</w:t>
      </w:r>
      <w:r w:rsidR="001F3ADB"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corroborada</w:t>
      </w:r>
      <w:r w:rsidR="003450E3" w:rsidRPr="00495A0D">
        <w:rPr>
          <w:rFonts w:ascii="Times New Roman" w:hAnsi="Times New Roman"/>
          <w:color w:val="000000" w:themeColor="text1"/>
          <w:sz w:val="24"/>
          <w:szCs w:val="24"/>
        </w:rPr>
        <w:t xml:space="preserve"> </w:t>
      </w:r>
      <w:r w:rsidR="0061503F" w:rsidRPr="00495A0D">
        <w:rPr>
          <w:rFonts w:ascii="Times New Roman" w:hAnsi="Times New Roman"/>
          <w:color w:val="000000" w:themeColor="text1"/>
          <w:sz w:val="24"/>
          <w:szCs w:val="24"/>
        </w:rPr>
        <w:t>mediante reporte</w:t>
      </w:r>
      <w:r w:rsidR="003450E3" w:rsidRPr="00495A0D">
        <w:rPr>
          <w:rFonts w:ascii="Times New Roman" w:hAnsi="Times New Roman"/>
          <w:color w:val="000000" w:themeColor="text1"/>
          <w:sz w:val="24"/>
          <w:szCs w:val="24"/>
        </w:rPr>
        <w:t xml:space="preserve"> de glicem</w:t>
      </w:r>
      <w:r w:rsidR="00E81A5F" w:rsidRPr="00495A0D">
        <w:rPr>
          <w:rFonts w:ascii="Times New Roman" w:hAnsi="Times New Roman"/>
          <w:color w:val="000000" w:themeColor="text1"/>
          <w:sz w:val="24"/>
          <w:szCs w:val="24"/>
        </w:rPr>
        <w:t>ia</w:t>
      </w:r>
      <w:r w:rsidR="00A8312E" w:rsidRPr="00495A0D">
        <w:rPr>
          <w:rFonts w:ascii="Times New Roman" w:hAnsi="Times New Roman"/>
          <w:color w:val="000000" w:themeColor="text1"/>
          <w:sz w:val="24"/>
          <w:szCs w:val="24"/>
        </w:rPr>
        <w:t xml:space="preserve"> en química sanguínea, s</w:t>
      </w:r>
      <w:r w:rsidR="001731E1" w:rsidRPr="00495A0D">
        <w:rPr>
          <w:rFonts w:ascii="Times New Roman" w:hAnsi="Times New Roman"/>
          <w:color w:val="000000" w:themeColor="text1"/>
          <w:sz w:val="24"/>
          <w:szCs w:val="24"/>
        </w:rPr>
        <w:t>e consideró como diabético(a) a l</w:t>
      </w:r>
      <w:r w:rsidR="00E81A5F" w:rsidRPr="00495A0D">
        <w:rPr>
          <w:rFonts w:ascii="Times New Roman" w:hAnsi="Times New Roman"/>
          <w:color w:val="000000" w:themeColor="text1"/>
          <w:sz w:val="24"/>
          <w:szCs w:val="24"/>
        </w:rPr>
        <w:t>a persona con diagnóstico</w:t>
      </w:r>
      <w:r w:rsidR="001731E1" w:rsidRPr="00495A0D">
        <w:rPr>
          <w:rFonts w:ascii="Times New Roman" w:hAnsi="Times New Roman"/>
          <w:color w:val="000000" w:themeColor="text1"/>
          <w:sz w:val="24"/>
          <w:szCs w:val="24"/>
        </w:rPr>
        <w:t xml:space="preserve"> previo, uso de tratam</w:t>
      </w:r>
      <w:r w:rsidR="0061503F" w:rsidRPr="00495A0D">
        <w:rPr>
          <w:rFonts w:ascii="Times New Roman" w:hAnsi="Times New Roman"/>
          <w:color w:val="000000" w:themeColor="text1"/>
          <w:sz w:val="24"/>
          <w:szCs w:val="24"/>
        </w:rPr>
        <w:t>iento hipoglucemiante o con g</w:t>
      </w:r>
      <w:r w:rsidR="001731E1" w:rsidRPr="00495A0D">
        <w:rPr>
          <w:rFonts w:ascii="Times New Roman" w:hAnsi="Times New Roman"/>
          <w:color w:val="000000" w:themeColor="text1"/>
          <w:sz w:val="24"/>
          <w:szCs w:val="24"/>
        </w:rPr>
        <w:t xml:space="preserve">lucosa plasmática en ayunas mayor </w:t>
      </w:r>
      <w:r w:rsidR="00CC768F" w:rsidRPr="00495A0D">
        <w:rPr>
          <w:rFonts w:ascii="Times New Roman" w:hAnsi="Times New Roman"/>
          <w:color w:val="000000" w:themeColor="text1"/>
          <w:sz w:val="24"/>
          <w:szCs w:val="24"/>
        </w:rPr>
        <w:t xml:space="preserve">o </w:t>
      </w:r>
      <w:r w:rsidR="001731E1" w:rsidRPr="00495A0D">
        <w:rPr>
          <w:rFonts w:ascii="Times New Roman" w:hAnsi="Times New Roman"/>
          <w:color w:val="000000" w:themeColor="text1"/>
          <w:sz w:val="24"/>
          <w:szCs w:val="24"/>
        </w:rPr>
        <w:t>igual a 126 mg/dl.</w:t>
      </w:r>
    </w:p>
    <w:p w14:paraId="165791AB" w14:textId="53503DC5" w:rsidR="003825AB" w:rsidRPr="00495A0D" w:rsidRDefault="003450E3"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La medición del peso se determinó mediante báscula con estadímetr</w:t>
      </w:r>
      <w:r w:rsidR="0061503F" w:rsidRPr="00495A0D">
        <w:rPr>
          <w:rFonts w:ascii="Times New Roman" w:hAnsi="Times New Roman"/>
          <w:color w:val="000000" w:themeColor="text1"/>
          <w:sz w:val="24"/>
          <w:szCs w:val="24"/>
        </w:rPr>
        <w:t>o</w:t>
      </w:r>
      <w:r w:rsidR="001E6BD2" w:rsidRPr="00495A0D">
        <w:rPr>
          <w:rFonts w:ascii="Times New Roman" w:hAnsi="Times New Roman"/>
          <w:color w:val="000000" w:themeColor="text1"/>
          <w:sz w:val="24"/>
          <w:szCs w:val="24"/>
        </w:rPr>
        <w:t xml:space="preserve"> con la enfermera(o)</w:t>
      </w:r>
      <w:r w:rsidR="00414B29" w:rsidRPr="00495A0D">
        <w:rPr>
          <w:rFonts w:ascii="Times New Roman" w:hAnsi="Times New Roman"/>
          <w:color w:val="000000" w:themeColor="text1"/>
          <w:sz w:val="24"/>
          <w:szCs w:val="24"/>
        </w:rPr>
        <w:t xml:space="preserve"> </w:t>
      </w:r>
      <w:r w:rsidR="0061503F" w:rsidRPr="00495A0D">
        <w:rPr>
          <w:rFonts w:ascii="Times New Roman" w:hAnsi="Times New Roman"/>
          <w:color w:val="000000" w:themeColor="text1"/>
          <w:sz w:val="24"/>
          <w:szCs w:val="24"/>
        </w:rPr>
        <w:t>en ropa mínima</w:t>
      </w:r>
      <w:r w:rsidR="00050303" w:rsidRPr="00495A0D">
        <w:rPr>
          <w:rFonts w:ascii="Times New Roman" w:hAnsi="Times New Roman"/>
          <w:color w:val="000000" w:themeColor="text1"/>
          <w:sz w:val="24"/>
          <w:szCs w:val="24"/>
        </w:rPr>
        <w:t xml:space="preserve">. En </w:t>
      </w:r>
      <w:r w:rsidR="0061503F" w:rsidRPr="00495A0D">
        <w:rPr>
          <w:rFonts w:ascii="Times New Roman" w:hAnsi="Times New Roman"/>
          <w:color w:val="000000" w:themeColor="text1"/>
          <w:sz w:val="24"/>
          <w:szCs w:val="24"/>
        </w:rPr>
        <w:t>cuanto a</w:t>
      </w:r>
      <w:r w:rsidR="001731E1" w:rsidRPr="00495A0D">
        <w:rPr>
          <w:rFonts w:ascii="Times New Roman" w:hAnsi="Times New Roman"/>
          <w:color w:val="000000" w:themeColor="text1"/>
          <w:sz w:val="24"/>
          <w:szCs w:val="24"/>
        </w:rPr>
        <w:t xml:space="preserve">l índice de masa corporal </w:t>
      </w:r>
      <w:r w:rsidR="00050303" w:rsidRPr="00495A0D">
        <w:rPr>
          <w:rFonts w:ascii="Times New Roman" w:hAnsi="Times New Roman"/>
          <w:color w:val="000000" w:themeColor="text1"/>
          <w:sz w:val="24"/>
          <w:szCs w:val="24"/>
        </w:rPr>
        <w:t xml:space="preserve">(IMC) </w:t>
      </w:r>
      <w:r w:rsidR="0061503F" w:rsidRPr="00495A0D">
        <w:rPr>
          <w:rFonts w:ascii="Times New Roman" w:hAnsi="Times New Roman"/>
          <w:color w:val="000000" w:themeColor="text1"/>
          <w:sz w:val="24"/>
          <w:szCs w:val="24"/>
        </w:rPr>
        <w:t>se consideró</w:t>
      </w:r>
      <w:r w:rsidR="001731E1" w:rsidRPr="00495A0D">
        <w:rPr>
          <w:rFonts w:ascii="Times New Roman" w:hAnsi="Times New Roman"/>
          <w:color w:val="000000" w:themeColor="text1"/>
          <w:sz w:val="24"/>
          <w:szCs w:val="24"/>
        </w:rPr>
        <w:t xml:space="preserve"> delgade</w:t>
      </w:r>
      <w:r w:rsidR="00AE33D1" w:rsidRPr="00495A0D">
        <w:rPr>
          <w:rFonts w:ascii="Times New Roman" w:hAnsi="Times New Roman"/>
          <w:color w:val="000000" w:themeColor="text1"/>
          <w:sz w:val="24"/>
          <w:szCs w:val="24"/>
        </w:rPr>
        <w:t xml:space="preserve">z (IMC &lt; 18.4), </w:t>
      </w:r>
      <w:r w:rsidR="006F4B95" w:rsidRPr="00495A0D">
        <w:rPr>
          <w:rFonts w:ascii="Times New Roman" w:hAnsi="Times New Roman"/>
          <w:color w:val="000000" w:themeColor="text1"/>
          <w:sz w:val="24"/>
          <w:szCs w:val="24"/>
        </w:rPr>
        <w:t>“</w:t>
      </w:r>
      <w:r w:rsidR="00AE33D1" w:rsidRPr="00495A0D">
        <w:rPr>
          <w:rFonts w:ascii="Times New Roman" w:hAnsi="Times New Roman"/>
          <w:color w:val="000000" w:themeColor="text1"/>
          <w:sz w:val="24"/>
          <w:szCs w:val="24"/>
        </w:rPr>
        <w:t xml:space="preserve">peso normal </w:t>
      </w:r>
      <w:r w:rsidR="001731E1" w:rsidRPr="00495A0D">
        <w:rPr>
          <w:rFonts w:ascii="Times New Roman" w:hAnsi="Times New Roman"/>
          <w:color w:val="000000" w:themeColor="text1"/>
          <w:sz w:val="24"/>
          <w:szCs w:val="24"/>
        </w:rPr>
        <w:t>(IMC 18.</w:t>
      </w:r>
      <w:r w:rsidR="00392A50" w:rsidRPr="00495A0D">
        <w:rPr>
          <w:rFonts w:ascii="Times New Roman" w:hAnsi="Times New Roman"/>
          <w:color w:val="000000" w:themeColor="text1"/>
          <w:sz w:val="24"/>
          <w:szCs w:val="24"/>
        </w:rPr>
        <w:t>5 a 24.9), sobrepeso (IMC &gt; 25 a</w:t>
      </w:r>
      <w:r w:rsidR="001731E1" w:rsidRPr="00495A0D">
        <w:rPr>
          <w:rFonts w:ascii="Times New Roman" w:hAnsi="Times New Roman"/>
          <w:color w:val="000000" w:themeColor="text1"/>
          <w:sz w:val="24"/>
          <w:szCs w:val="24"/>
        </w:rPr>
        <w:t xml:space="preserve"> 29.9), y obesidad (IMC &gt; 30)</w:t>
      </w:r>
      <w:r w:rsidR="006F4B95" w:rsidRPr="00495A0D">
        <w:rPr>
          <w:rFonts w:ascii="Times New Roman" w:hAnsi="Times New Roman"/>
          <w:color w:val="000000" w:themeColor="text1"/>
          <w:sz w:val="24"/>
          <w:szCs w:val="24"/>
        </w:rPr>
        <w:t>”</w:t>
      </w:r>
      <w:r w:rsidR="00F16785" w:rsidRPr="00495A0D">
        <w:rPr>
          <w:rFonts w:ascii="Times New Roman" w:hAnsi="Times New Roman"/>
          <w:color w:val="000000" w:themeColor="text1"/>
          <w:sz w:val="24"/>
          <w:szCs w:val="24"/>
        </w:rPr>
        <w:t xml:space="preserve"> </w:t>
      </w:r>
      <w:r w:rsidR="006F4B95" w:rsidRPr="00495A0D">
        <w:rPr>
          <w:rFonts w:ascii="Times New Roman" w:hAnsi="Times New Roman"/>
          <w:color w:val="000000" w:themeColor="text1"/>
          <w:sz w:val="24"/>
          <w:szCs w:val="24"/>
        </w:rPr>
        <w:t>(</w:t>
      </w:r>
      <w:r w:rsidR="009770D8" w:rsidRPr="00495A0D">
        <w:rPr>
          <w:rFonts w:ascii="Times New Roman" w:hAnsi="Times New Roman"/>
          <w:color w:val="000000" w:themeColor="text1"/>
          <w:sz w:val="24"/>
          <w:szCs w:val="24"/>
        </w:rPr>
        <w:t xml:space="preserve">Ortiz </w:t>
      </w:r>
      <w:r w:rsidR="00050303" w:rsidRPr="00495A0D">
        <w:rPr>
          <w:rFonts w:ascii="Times New Roman" w:hAnsi="Times New Roman"/>
          <w:color w:val="000000" w:themeColor="text1"/>
          <w:sz w:val="24"/>
          <w:szCs w:val="24"/>
        </w:rPr>
        <w:t xml:space="preserve">y </w:t>
      </w:r>
      <w:r w:rsidR="00AD5F51" w:rsidRPr="00495A0D">
        <w:rPr>
          <w:rFonts w:ascii="Times New Roman" w:hAnsi="Times New Roman"/>
          <w:color w:val="000000" w:themeColor="text1"/>
          <w:sz w:val="24"/>
          <w:szCs w:val="24"/>
        </w:rPr>
        <w:t>Hernández,</w:t>
      </w:r>
      <w:r w:rsidR="006F4B95" w:rsidRPr="00495A0D">
        <w:rPr>
          <w:rFonts w:ascii="Times New Roman" w:hAnsi="Times New Roman"/>
          <w:color w:val="000000" w:themeColor="text1"/>
          <w:sz w:val="24"/>
          <w:szCs w:val="24"/>
        </w:rPr>
        <w:t xml:space="preserve"> 2013, p.</w:t>
      </w:r>
      <w:r w:rsidR="00050303" w:rsidRPr="00495A0D">
        <w:rPr>
          <w:rFonts w:ascii="Times New Roman" w:hAnsi="Times New Roman"/>
          <w:color w:val="000000" w:themeColor="text1"/>
          <w:sz w:val="24"/>
          <w:szCs w:val="24"/>
        </w:rPr>
        <w:t xml:space="preserve"> </w:t>
      </w:r>
      <w:r w:rsidR="006F4B95" w:rsidRPr="00495A0D">
        <w:rPr>
          <w:rFonts w:ascii="Times New Roman" w:hAnsi="Times New Roman"/>
          <w:color w:val="000000" w:themeColor="text1"/>
          <w:sz w:val="24"/>
          <w:szCs w:val="24"/>
        </w:rPr>
        <w:t>8)</w:t>
      </w:r>
      <w:r w:rsidR="00F16785" w:rsidRPr="00495A0D">
        <w:rPr>
          <w:rFonts w:ascii="Times New Roman" w:hAnsi="Times New Roman"/>
          <w:color w:val="000000" w:themeColor="text1"/>
          <w:sz w:val="24"/>
          <w:szCs w:val="24"/>
        </w:rPr>
        <w:t>.</w:t>
      </w:r>
    </w:p>
    <w:p w14:paraId="684146D7" w14:textId="3B0A7569" w:rsidR="003825AB" w:rsidRPr="00495A0D" w:rsidRDefault="003825AB"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La </w:t>
      </w:r>
      <w:r w:rsidR="003F3E6C" w:rsidRPr="00495A0D">
        <w:rPr>
          <w:rFonts w:ascii="Times New Roman" w:hAnsi="Times New Roman"/>
          <w:color w:val="000000" w:themeColor="text1"/>
          <w:sz w:val="24"/>
          <w:szCs w:val="24"/>
        </w:rPr>
        <w:t>detección</w:t>
      </w:r>
      <w:r w:rsidRPr="00495A0D">
        <w:rPr>
          <w:rFonts w:ascii="Times New Roman" w:hAnsi="Times New Roman"/>
          <w:color w:val="000000" w:themeColor="text1"/>
          <w:sz w:val="24"/>
          <w:szCs w:val="24"/>
        </w:rPr>
        <w:t xml:space="preserve"> de síndrome metabólico se realizó u</w:t>
      </w:r>
      <w:r w:rsidR="00AE7B45" w:rsidRPr="00495A0D">
        <w:rPr>
          <w:rFonts w:ascii="Times New Roman" w:hAnsi="Times New Roman"/>
          <w:color w:val="000000" w:themeColor="text1"/>
          <w:sz w:val="24"/>
          <w:szCs w:val="24"/>
        </w:rPr>
        <w:t>tilizando</w:t>
      </w:r>
      <w:r w:rsidR="00937752" w:rsidRPr="00495A0D">
        <w:rPr>
          <w:rFonts w:ascii="Times New Roman" w:hAnsi="Times New Roman"/>
          <w:color w:val="000000" w:themeColor="text1"/>
          <w:sz w:val="24"/>
          <w:szCs w:val="24"/>
        </w:rPr>
        <w:t xml:space="preserve"> los siguientes criterios: </w:t>
      </w:r>
      <w:r w:rsidR="00E504FC" w:rsidRPr="00495A0D">
        <w:rPr>
          <w:rFonts w:ascii="Times New Roman" w:hAnsi="Times New Roman"/>
          <w:color w:val="000000" w:themeColor="text1"/>
          <w:sz w:val="24"/>
          <w:szCs w:val="24"/>
        </w:rPr>
        <w:t>“</w:t>
      </w:r>
      <w:r w:rsidR="00937752" w:rsidRPr="00495A0D">
        <w:rPr>
          <w:rFonts w:ascii="Times New Roman" w:hAnsi="Times New Roman"/>
          <w:color w:val="000000" w:themeColor="text1"/>
          <w:sz w:val="24"/>
          <w:szCs w:val="24"/>
        </w:rPr>
        <w:t xml:space="preserve">circunferencia abdominal mayor </w:t>
      </w:r>
      <w:r w:rsidR="004267C3" w:rsidRPr="00495A0D">
        <w:rPr>
          <w:rFonts w:ascii="Times New Roman" w:hAnsi="Times New Roman"/>
          <w:color w:val="000000" w:themeColor="text1"/>
          <w:sz w:val="24"/>
          <w:szCs w:val="24"/>
        </w:rPr>
        <w:t>de</w:t>
      </w:r>
      <w:r w:rsidR="00050303" w:rsidRPr="00495A0D">
        <w:rPr>
          <w:rFonts w:ascii="Times New Roman" w:hAnsi="Times New Roman"/>
          <w:color w:val="000000" w:themeColor="text1"/>
          <w:sz w:val="24"/>
          <w:szCs w:val="24"/>
        </w:rPr>
        <w:t xml:space="preserve"> </w:t>
      </w:r>
      <w:r w:rsidR="00937752" w:rsidRPr="00495A0D">
        <w:rPr>
          <w:rFonts w:ascii="Times New Roman" w:hAnsi="Times New Roman"/>
          <w:color w:val="000000" w:themeColor="text1"/>
          <w:sz w:val="24"/>
          <w:szCs w:val="24"/>
        </w:rPr>
        <w:t xml:space="preserve">102 cm en hombres, y mayor </w:t>
      </w:r>
      <w:r w:rsidR="004267C3" w:rsidRPr="00495A0D">
        <w:rPr>
          <w:rFonts w:ascii="Times New Roman" w:hAnsi="Times New Roman"/>
          <w:color w:val="000000" w:themeColor="text1"/>
          <w:sz w:val="24"/>
          <w:szCs w:val="24"/>
        </w:rPr>
        <w:t>d</w:t>
      </w:r>
      <w:r w:rsidR="00050303" w:rsidRPr="00495A0D">
        <w:rPr>
          <w:rFonts w:ascii="Times New Roman" w:hAnsi="Times New Roman"/>
          <w:color w:val="000000" w:themeColor="text1"/>
          <w:sz w:val="24"/>
          <w:szCs w:val="24"/>
        </w:rPr>
        <w:t xml:space="preserve">e </w:t>
      </w:r>
      <w:r w:rsidR="00937752" w:rsidRPr="00495A0D">
        <w:rPr>
          <w:rFonts w:ascii="Times New Roman" w:hAnsi="Times New Roman"/>
          <w:color w:val="000000" w:themeColor="text1"/>
          <w:sz w:val="24"/>
          <w:szCs w:val="24"/>
        </w:rPr>
        <w:t>88 cm en mujeres</w:t>
      </w:r>
      <w:r w:rsidR="00050303" w:rsidRPr="00495A0D">
        <w:rPr>
          <w:rFonts w:ascii="Times New Roman" w:hAnsi="Times New Roman"/>
          <w:color w:val="000000" w:themeColor="text1"/>
          <w:sz w:val="24"/>
          <w:szCs w:val="24"/>
        </w:rPr>
        <w:t xml:space="preserve">”; </w:t>
      </w:r>
      <w:r w:rsidR="00937752" w:rsidRPr="00495A0D">
        <w:rPr>
          <w:rFonts w:ascii="Times New Roman" w:hAnsi="Times New Roman"/>
          <w:color w:val="000000" w:themeColor="text1"/>
          <w:sz w:val="24"/>
          <w:szCs w:val="24"/>
        </w:rPr>
        <w:t xml:space="preserve">triglicéridos séricos </w:t>
      </w:r>
      <w:r w:rsidR="00D8353F" w:rsidRPr="00495A0D">
        <w:rPr>
          <w:rFonts w:ascii="Times New Roman" w:hAnsi="Times New Roman"/>
          <w:color w:val="000000" w:themeColor="text1"/>
          <w:sz w:val="24"/>
          <w:szCs w:val="24"/>
        </w:rPr>
        <w:t>“</w:t>
      </w:r>
      <w:r w:rsidR="00937752" w:rsidRPr="00495A0D">
        <w:rPr>
          <w:rFonts w:ascii="Times New Roman" w:hAnsi="Times New Roman"/>
          <w:color w:val="000000" w:themeColor="text1"/>
          <w:sz w:val="24"/>
          <w:szCs w:val="24"/>
        </w:rPr>
        <w:t>mayor</w:t>
      </w:r>
      <w:r w:rsidR="004267C3" w:rsidRPr="00495A0D">
        <w:rPr>
          <w:rFonts w:ascii="Times New Roman" w:hAnsi="Times New Roman"/>
          <w:color w:val="000000" w:themeColor="text1"/>
          <w:sz w:val="24"/>
          <w:szCs w:val="24"/>
        </w:rPr>
        <w:t>es</w:t>
      </w:r>
      <w:r w:rsidR="00937752" w:rsidRPr="00495A0D">
        <w:rPr>
          <w:rFonts w:ascii="Times New Roman" w:hAnsi="Times New Roman"/>
          <w:color w:val="000000" w:themeColor="text1"/>
          <w:sz w:val="24"/>
          <w:szCs w:val="24"/>
        </w:rPr>
        <w:t xml:space="preserve"> </w:t>
      </w:r>
      <w:r w:rsidR="004267C3" w:rsidRPr="00495A0D">
        <w:rPr>
          <w:rFonts w:ascii="Times New Roman" w:hAnsi="Times New Roman"/>
          <w:color w:val="000000" w:themeColor="text1"/>
          <w:sz w:val="24"/>
          <w:szCs w:val="24"/>
        </w:rPr>
        <w:t>d</w:t>
      </w:r>
      <w:r w:rsidR="00050303" w:rsidRPr="00495A0D">
        <w:rPr>
          <w:rFonts w:ascii="Times New Roman" w:hAnsi="Times New Roman"/>
          <w:color w:val="000000" w:themeColor="text1"/>
          <w:sz w:val="24"/>
          <w:szCs w:val="24"/>
        </w:rPr>
        <w:t xml:space="preserve">e </w:t>
      </w:r>
      <w:r w:rsidR="00937752" w:rsidRPr="00495A0D">
        <w:rPr>
          <w:rFonts w:ascii="Times New Roman" w:hAnsi="Times New Roman"/>
          <w:color w:val="000000" w:themeColor="text1"/>
          <w:sz w:val="24"/>
          <w:szCs w:val="24"/>
        </w:rPr>
        <w:t xml:space="preserve">150 mg/dl, colesterol HDL menor </w:t>
      </w:r>
      <w:r w:rsidR="004267C3" w:rsidRPr="00495A0D">
        <w:rPr>
          <w:rFonts w:ascii="Times New Roman" w:hAnsi="Times New Roman"/>
          <w:color w:val="000000" w:themeColor="text1"/>
          <w:sz w:val="24"/>
          <w:szCs w:val="24"/>
        </w:rPr>
        <w:t>d</w:t>
      </w:r>
      <w:r w:rsidR="00050303" w:rsidRPr="00495A0D">
        <w:rPr>
          <w:rFonts w:ascii="Times New Roman" w:hAnsi="Times New Roman"/>
          <w:color w:val="000000" w:themeColor="text1"/>
          <w:sz w:val="24"/>
          <w:szCs w:val="24"/>
        </w:rPr>
        <w:t xml:space="preserve">e </w:t>
      </w:r>
      <w:r w:rsidR="00937752" w:rsidRPr="00495A0D">
        <w:rPr>
          <w:rFonts w:ascii="Times New Roman" w:hAnsi="Times New Roman"/>
          <w:color w:val="000000" w:themeColor="text1"/>
          <w:sz w:val="24"/>
          <w:szCs w:val="24"/>
        </w:rPr>
        <w:t xml:space="preserve">40 mg/dl en hombres y menor </w:t>
      </w:r>
      <w:r w:rsidR="004267C3" w:rsidRPr="00495A0D">
        <w:rPr>
          <w:rFonts w:ascii="Times New Roman" w:hAnsi="Times New Roman"/>
          <w:color w:val="000000" w:themeColor="text1"/>
          <w:sz w:val="24"/>
          <w:szCs w:val="24"/>
        </w:rPr>
        <w:t>d</w:t>
      </w:r>
      <w:r w:rsidR="00050303" w:rsidRPr="00495A0D">
        <w:rPr>
          <w:rFonts w:ascii="Times New Roman" w:hAnsi="Times New Roman"/>
          <w:color w:val="000000" w:themeColor="text1"/>
          <w:sz w:val="24"/>
          <w:szCs w:val="24"/>
        </w:rPr>
        <w:t xml:space="preserve">e </w:t>
      </w:r>
      <w:r w:rsidR="00937752" w:rsidRPr="00495A0D">
        <w:rPr>
          <w:rFonts w:ascii="Times New Roman" w:hAnsi="Times New Roman"/>
          <w:color w:val="000000" w:themeColor="text1"/>
          <w:sz w:val="24"/>
          <w:szCs w:val="24"/>
        </w:rPr>
        <w:t xml:space="preserve">50 mg/dl en mujeres, presión sanguínea sistólica mayor </w:t>
      </w:r>
      <w:r w:rsidR="004267C3" w:rsidRPr="00495A0D">
        <w:rPr>
          <w:rFonts w:ascii="Times New Roman" w:hAnsi="Times New Roman"/>
          <w:color w:val="000000" w:themeColor="text1"/>
          <w:sz w:val="24"/>
          <w:szCs w:val="24"/>
        </w:rPr>
        <w:t>d</w:t>
      </w:r>
      <w:r w:rsidR="00050303" w:rsidRPr="00495A0D">
        <w:rPr>
          <w:rFonts w:ascii="Times New Roman" w:hAnsi="Times New Roman"/>
          <w:color w:val="000000" w:themeColor="text1"/>
          <w:sz w:val="24"/>
          <w:szCs w:val="24"/>
        </w:rPr>
        <w:t xml:space="preserve">e </w:t>
      </w:r>
      <w:r w:rsidR="00937752" w:rsidRPr="00495A0D">
        <w:rPr>
          <w:rFonts w:ascii="Times New Roman" w:hAnsi="Times New Roman"/>
          <w:color w:val="000000" w:themeColor="text1"/>
          <w:sz w:val="24"/>
          <w:szCs w:val="24"/>
        </w:rPr>
        <w:t xml:space="preserve">130 mmhg/ y diastólica mayor </w:t>
      </w:r>
      <w:r w:rsidR="004267C3" w:rsidRPr="00495A0D">
        <w:rPr>
          <w:rFonts w:ascii="Times New Roman" w:hAnsi="Times New Roman"/>
          <w:color w:val="000000" w:themeColor="text1"/>
          <w:sz w:val="24"/>
          <w:szCs w:val="24"/>
        </w:rPr>
        <w:t>d</w:t>
      </w:r>
      <w:r w:rsidR="00050303" w:rsidRPr="00495A0D">
        <w:rPr>
          <w:rFonts w:ascii="Times New Roman" w:hAnsi="Times New Roman"/>
          <w:color w:val="000000" w:themeColor="text1"/>
          <w:sz w:val="24"/>
          <w:szCs w:val="24"/>
        </w:rPr>
        <w:t xml:space="preserve">e </w:t>
      </w:r>
      <w:r w:rsidR="00937752" w:rsidRPr="00495A0D">
        <w:rPr>
          <w:rFonts w:ascii="Times New Roman" w:hAnsi="Times New Roman"/>
          <w:color w:val="000000" w:themeColor="text1"/>
          <w:sz w:val="24"/>
          <w:szCs w:val="24"/>
        </w:rPr>
        <w:t xml:space="preserve">85 mmhg; y glucosa en ayuno mayor </w:t>
      </w:r>
      <w:r w:rsidR="004267C3" w:rsidRPr="00495A0D">
        <w:rPr>
          <w:rFonts w:ascii="Times New Roman" w:hAnsi="Times New Roman"/>
          <w:color w:val="000000" w:themeColor="text1"/>
          <w:sz w:val="24"/>
          <w:szCs w:val="24"/>
        </w:rPr>
        <w:t>d</w:t>
      </w:r>
      <w:r w:rsidR="00050303" w:rsidRPr="00495A0D">
        <w:rPr>
          <w:rFonts w:ascii="Times New Roman" w:hAnsi="Times New Roman"/>
          <w:color w:val="000000" w:themeColor="text1"/>
          <w:sz w:val="24"/>
          <w:szCs w:val="24"/>
        </w:rPr>
        <w:t xml:space="preserve">e </w:t>
      </w:r>
      <w:r w:rsidR="00937752" w:rsidRPr="00495A0D">
        <w:rPr>
          <w:rFonts w:ascii="Times New Roman" w:hAnsi="Times New Roman"/>
          <w:color w:val="000000" w:themeColor="text1"/>
          <w:sz w:val="24"/>
          <w:szCs w:val="24"/>
        </w:rPr>
        <w:t>100 mg/dl</w:t>
      </w:r>
      <w:r w:rsidR="00D8353F" w:rsidRPr="00495A0D">
        <w:rPr>
          <w:rFonts w:ascii="Times New Roman" w:hAnsi="Times New Roman"/>
          <w:color w:val="000000" w:themeColor="text1"/>
          <w:sz w:val="24"/>
          <w:szCs w:val="24"/>
        </w:rPr>
        <w:t>” (</w:t>
      </w:r>
      <w:r w:rsidR="001E18EE" w:rsidRPr="00495A0D">
        <w:rPr>
          <w:rFonts w:ascii="Times New Roman" w:hAnsi="Times New Roman"/>
          <w:color w:val="000000" w:themeColor="text1"/>
          <w:sz w:val="24"/>
          <w:szCs w:val="24"/>
        </w:rPr>
        <w:t>Lizarzaburu</w:t>
      </w:r>
      <w:r w:rsidR="00D8353F" w:rsidRPr="00495A0D">
        <w:rPr>
          <w:rFonts w:ascii="Times New Roman" w:hAnsi="Times New Roman"/>
          <w:color w:val="000000" w:themeColor="text1"/>
          <w:sz w:val="24"/>
          <w:szCs w:val="24"/>
        </w:rPr>
        <w:t>, 201</w:t>
      </w:r>
      <w:r w:rsidR="001E18EE" w:rsidRPr="00495A0D">
        <w:rPr>
          <w:rFonts w:ascii="Times New Roman" w:hAnsi="Times New Roman"/>
          <w:color w:val="000000" w:themeColor="text1"/>
          <w:sz w:val="24"/>
          <w:szCs w:val="24"/>
        </w:rPr>
        <w:t>3</w:t>
      </w:r>
      <w:r w:rsidR="00D8353F" w:rsidRPr="00495A0D">
        <w:rPr>
          <w:rFonts w:ascii="Times New Roman" w:hAnsi="Times New Roman"/>
          <w:color w:val="000000" w:themeColor="text1"/>
          <w:sz w:val="24"/>
          <w:szCs w:val="24"/>
        </w:rPr>
        <w:t>, p.</w:t>
      </w:r>
      <w:r w:rsidR="00CC768F" w:rsidRPr="00495A0D">
        <w:rPr>
          <w:rFonts w:ascii="Times New Roman" w:hAnsi="Times New Roman"/>
          <w:color w:val="000000" w:themeColor="text1"/>
          <w:sz w:val="24"/>
          <w:szCs w:val="24"/>
        </w:rPr>
        <w:t xml:space="preserve"> </w:t>
      </w:r>
      <w:r w:rsidR="001E18EE" w:rsidRPr="00495A0D">
        <w:rPr>
          <w:rFonts w:ascii="Times New Roman" w:hAnsi="Times New Roman"/>
          <w:color w:val="000000" w:themeColor="text1"/>
          <w:sz w:val="24"/>
          <w:szCs w:val="24"/>
        </w:rPr>
        <w:t>317</w:t>
      </w:r>
      <w:r w:rsidR="00D8353F" w:rsidRPr="00495A0D">
        <w:rPr>
          <w:rFonts w:ascii="Times New Roman" w:hAnsi="Times New Roman"/>
          <w:color w:val="000000" w:themeColor="text1"/>
          <w:sz w:val="24"/>
          <w:szCs w:val="24"/>
        </w:rPr>
        <w:t>).</w:t>
      </w:r>
      <w:r w:rsidR="00937752" w:rsidRPr="00495A0D">
        <w:rPr>
          <w:rFonts w:ascii="Times New Roman" w:hAnsi="Times New Roman"/>
          <w:color w:val="000000" w:themeColor="text1"/>
          <w:sz w:val="24"/>
          <w:szCs w:val="24"/>
        </w:rPr>
        <w:t xml:space="preserve"> </w:t>
      </w:r>
    </w:p>
    <w:p w14:paraId="11160F94" w14:textId="6609D10D" w:rsidR="003F3E6C" w:rsidRPr="00495A0D" w:rsidRDefault="003F3E6C"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El diagnóstico presuntivo se realizó al presentarse tres o </w:t>
      </w:r>
      <w:r w:rsidR="00E23E90" w:rsidRPr="00495A0D">
        <w:rPr>
          <w:rFonts w:ascii="Times New Roman" w:hAnsi="Times New Roman"/>
          <w:color w:val="000000" w:themeColor="text1"/>
          <w:sz w:val="24"/>
          <w:szCs w:val="24"/>
        </w:rPr>
        <w:t>más</w:t>
      </w:r>
      <w:r w:rsidRPr="00495A0D">
        <w:rPr>
          <w:rFonts w:ascii="Times New Roman" w:hAnsi="Times New Roman"/>
          <w:color w:val="000000" w:themeColor="text1"/>
          <w:sz w:val="24"/>
          <w:szCs w:val="24"/>
        </w:rPr>
        <w:t xml:space="preserve"> criterios.</w:t>
      </w:r>
    </w:p>
    <w:p w14:paraId="102AE860" w14:textId="46CC326F" w:rsidR="004A4CA6" w:rsidRPr="00495A0D" w:rsidRDefault="001E6BD2"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La medición de la tensión arterial se llevó a cabo con la enfermera(o) en decúbito dorsal con 20 minutos de reposo</w:t>
      </w:r>
      <w:r w:rsidR="007659C5" w:rsidRPr="00495A0D">
        <w:rPr>
          <w:rFonts w:ascii="Times New Roman" w:hAnsi="Times New Roman"/>
          <w:color w:val="000000" w:themeColor="text1"/>
          <w:sz w:val="24"/>
          <w:szCs w:val="24"/>
        </w:rPr>
        <w:t xml:space="preserve"> previo</w:t>
      </w:r>
      <w:r w:rsidR="008B2EE4" w:rsidRPr="00495A0D">
        <w:rPr>
          <w:rFonts w:ascii="Times New Roman" w:hAnsi="Times New Roman"/>
          <w:color w:val="000000" w:themeColor="text1"/>
          <w:sz w:val="24"/>
          <w:szCs w:val="24"/>
        </w:rPr>
        <w:t xml:space="preserve">, </w:t>
      </w:r>
      <w:r w:rsidR="007659C5" w:rsidRPr="00495A0D">
        <w:rPr>
          <w:rFonts w:ascii="Times New Roman" w:hAnsi="Times New Roman"/>
          <w:color w:val="000000" w:themeColor="text1"/>
          <w:sz w:val="24"/>
          <w:szCs w:val="24"/>
        </w:rPr>
        <w:t xml:space="preserve">con el apoyo de </w:t>
      </w:r>
      <w:r w:rsidR="009232E6" w:rsidRPr="00495A0D">
        <w:rPr>
          <w:rFonts w:ascii="Times New Roman" w:hAnsi="Times New Roman"/>
          <w:color w:val="000000" w:themeColor="text1"/>
          <w:sz w:val="24"/>
          <w:szCs w:val="24"/>
        </w:rPr>
        <w:t xml:space="preserve">baumanómetro </w:t>
      </w:r>
      <w:r w:rsidR="002C268E" w:rsidRPr="00495A0D">
        <w:rPr>
          <w:rFonts w:ascii="Times New Roman" w:hAnsi="Times New Roman"/>
          <w:color w:val="000000" w:themeColor="text1"/>
          <w:sz w:val="24"/>
          <w:szCs w:val="24"/>
        </w:rPr>
        <w:t>aneroide exacta Riester</w:t>
      </w:r>
      <w:r w:rsidR="007659C5" w:rsidRPr="00495A0D">
        <w:rPr>
          <w:rFonts w:ascii="Times New Roman" w:hAnsi="Times New Roman"/>
          <w:color w:val="000000" w:themeColor="text1"/>
          <w:sz w:val="24"/>
          <w:szCs w:val="24"/>
        </w:rPr>
        <w:t xml:space="preserve"> y doopler </w:t>
      </w:r>
      <w:r w:rsidR="00C30B68" w:rsidRPr="00495A0D">
        <w:rPr>
          <w:rFonts w:ascii="Times New Roman" w:hAnsi="Times New Roman"/>
          <w:color w:val="000000" w:themeColor="text1"/>
          <w:sz w:val="24"/>
          <w:szCs w:val="24"/>
        </w:rPr>
        <w:t>vascular bidireccional</w:t>
      </w:r>
      <w:r w:rsidR="001E3047" w:rsidRPr="00495A0D">
        <w:rPr>
          <w:rFonts w:ascii="Times New Roman" w:hAnsi="Times New Roman"/>
          <w:color w:val="000000" w:themeColor="text1"/>
          <w:sz w:val="24"/>
          <w:szCs w:val="24"/>
        </w:rPr>
        <w:t xml:space="preserve"> sonoline C</w:t>
      </w:r>
      <w:r w:rsidR="00A8312E" w:rsidRPr="00495A0D">
        <w:rPr>
          <w:rFonts w:ascii="Times New Roman" w:hAnsi="Times New Roman"/>
          <w:color w:val="000000" w:themeColor="text1"/>
          <w:sz w:val="24"/>
          <w:szCs w:val="24"/>
        </w:rPr>
        <w:t xml:space="preserve"> de 8 </w:t>
      </w:r>
      <w:r w:rsidR="00792680" w:rsidRPr="00495A0D">
        <w:rPr>
          <w:rFonts w:ascii="Times New Roman" w:hAnsi="Times New Roman"/>
          <w:color w:val="000000" w:themeColor="text1"/>
          <w:sz w:val="24"/>
          <w:szCs w:val="24"/>
        </w:rPr>
        <w:t>MHz</w:t>
      </w:r>
      <w:r w:rsidR="001E3047" w:rsidRPr="00495A0D">
        <w:rPr>
          <w:rFonts w:ascii="Times New Roman" w:hAnsi="Times New Roman"/>
          <w:color w:val="000000" w:themeColor="text1"/>
          <w:sz w:val="24"/>
          <w:szCs w:val="24"/>
        </w:rPr>
        <w:t xml:space="preserve"> de la empresa Contec Medical Systems</w:t>
      </w:r>
      <w:r w:rsidR="009232E6" w:rsidRPr="00495A0D">
        <w:rPr>
          <w:rFonts w:ascii="Times New Roman" w:hAnsi="Times New Roman"/>
          <w:color w:val="000000" w:themeColor="text1"/>
          <w:sz w:val="24"/>
          <w:szCs w:val="24"/>
        </w:rPr>
        <w:t xml:space="preserve">. La </w:t>
      </w:r>
      <w:r w:rsidR="00644721" w:rsidRPr="00495A0D">
        <w:rPr>
          <w:rFonts w:ascii="Times New Roman" w:hAnsi="Times New Roman"/>
          <w:color w:val="000000" w:themeColor="text1"/>
          <w:sz w:val="24"/>
          <w:szCs w:val="24"/>
        </w:rPr>
        <w:t xml:space="preserve">hipertensión se consideró </w:t>
      </w:r>
      <w:r w:rsidR="001D71A8" w:rsidRPr="00495A0D">
        <w:rPr>
          <w:rFonts w:ascii="Times New Roman" w:hAnsi="Times New Roman"/>
          <w:color w:val="000000" w:themeColor="text1"/>
          <w:sz w:val="24"/>
          <w:szCs w:val="24"/>
        </w:rPr>
        <w:t xml:space="preserve">si la tensión arterial obtenida era igual o </w:t>
      </w:r>
      <w:r w:rsidR="00726167" w:rsidRPr="00495A0D">
        <w:rPr>
          <w:rFonts w:ascii="Times New Roman" w:hAnsi="Times New Roman"/>
          <w:color w:val="000000" w:themeColor="text1"/>
          <w:sz w:val="24"/>
          <w:szCs w:val="24"/>
        </w:rPr>
        <w:t>“</w:t>
      </w:r>
      <w:r w:rsidR="001D71A8" w:rsidRPr="00495A0D">
        <w:rPr>
          <w:rFonts w:ascii="Times New Roman" w:hAnsi="Times New Roman"/>
          <w:color w:val="000000" w:themeColor="text1"/>
          <w:sz w:val="24"/>
          <w:szCs w:val="24"/>
        </w:rPr>
        <w:t>mayor</w:t>
      </w:r>
      <w:r w:rsidR="004B5D78" w:rsidRPr="00495A0D">
        <w:rPr>
          <w:rFonts w:ascii="Times New Roman" w:hAnsi="Times New Roman"/>
          <w:color w:val="000000" w:themeColor="text1"/>
          <w:sz w:val="24"/>
          <w:szCs w:val="24"/>
        </w:rPr>
        <w:t xml:space="preserve"> </w:t>
      </w:r>
      <w:r w:rsidR="004267C3" w:rsidRPr="00495A0D">
        <w:rPr>
          <w:rFonts w:ascii="Times New Roman" w:hAnsi="Times New Roman"/>
          <w:color w:val="000000" w:themeColor="text1"/>
          <w:sz w:val="24"/>
          <w:szCs w:val="24"/>
        </w:rPr>
        <w:t>de</w:t>
      </w:r>
      <w:r w:rsidR="009232E6" w:rsidRPr="00495A0D">
        <w:rPr>
          <w:rFonts w:ascii="Times New Roman" w:hAnsi="Times New Roman"/>
          <w:color w:val="000000" w:themeColor="text1"/>
          <w:sz w:val="24"/>
          <w:szCs w:val="24"/>
        </w:rPr>
        <w:t xml:space="preserve"> </w:t>
      </w:r>
      <w:r w:rsidR="004B5D78" w:rsidRPr="00495A0D">
        <w:rPr>
          <w:rFonts w:ascii="Times New Roman" w:hAnsi="Times New Roman"/>
          <w:color w:val="000000" w:themeColor="text1"/>
          <w:sz w:val="24"/>
          <w:szCs w:val="24"/>
        </w:rPr>
        <w:t>140</w:t>
      </w:r>
      <w:r w:rsidR="001D71A8" w:rsidRPr="00495A0D">
        <w:rPr>
          <w:rFonts w:ascii="Times New Roman" w:hAnsi="Times New Roman"/>
          <w:color w:val="000000" w:themeColor="text1"/>
          <w:sz w:val="24"/>
          <w:szCs w:val="24"/>
        </w:rPr>
        <w:t xml:space="preserve">/90 </w:t>
      </w:r>
      <w:r w:rsidR="004B5D78" w:rsidRPr="00495A0D">
        <w:rPr>
          <w:rFonts w:ascii="Times New Roman" w:hAnsi="Times New Roman"/>
          <w:color w:val="000000" w:themeColor="text1"/>
          <w:sz w:val="24"/>
          <w:szCs w:val="24"/>
        </w:rPr>
        <w:t>mmhg</w:t>
      </w:r>
      <w:r w:rsidR="006E0B62" w:rsidRPr="00495A0D">
        <w:rPr>
          <w:rFonts w:ascii="Times New Roman" w:hAnsi="Times New Roman"/>
          <w:color w:val="000000" w:themeColor="text1"/>
          <w:sz w:val="24"/>
          <w:szCs w:val="24"/>
        </w:rPr>
        <w:t>” (OMS, 2008, p.17).</w:t>
      </w:r>
    </w:p>
    <w:p w14:paraId="592163BF" w14:textId="05569619" w:rsidR="004A4CA6" w:rsidRPr="00495A0D" w:rsidRDefault="004A4CA6"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La medición del per</w:t>
      </w:r>
      <w:r w:rsidR="00C546E7" w:rsidRPr="00495A0D">
        <w:rPr>
          <w:rFonts w:ascii="Times New Roman" w:hAnsi="Times New Roman"/>
          <w:color w:val="000000" w:themeColor="text1"/>
          <w:sz w:val="24"/>
          <w:szCs w:val="24"/>
        </w:rPr>
        <w:t>fil lipídico</w:t>
      </w:r>
      <w:r w:rsidR="00300D3D"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se realizó mediante la obtención de una muestra única de san</w:t>
      </w:r>
      <w:r w:rsidR="00374567" w:rsidRPr="00495A0D">
        <w:rPr>
          <w:rFonts w:ascii="Times New Roman" w:hAnsi="Times New Roman"/>
          <w:color w:val="000000" w:themeColor="text1"/>
          <w:sz w:val="24"/>
          <w:szCs w:val="24"/>
        </w:rPr>
        <w:t>gre</w:t>
      </w:r>
      <w:r w:rsidR="009232E6" w:rsidRPr="00495A0D">
        <w:rPr>
          <w:rFonts w:ascii="Times New Roman" w:hAnsi="Times New Roman"/>
          <w:color w:val="000000" w:themeColor="text1"/>
          <w:sz w:val="24"/>
          <w:szCs w:val="24"/>
        </w:rPr>
        <w:t>,</w:t>
      </w:r>
      <w:r w:rsidR="00374567"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con ayuno mínimo de 12 horas, la cual se envió de manera inmediata a laboratorio privado</w:t>
      </w:r>
      <w:r w:rsidR="00300D3D" w:rsidRPr="00495A0D">
        <w:rPr>
          <w:rFonts w:ascii="Times New Roman" w:hAnsi="Times New Roman"/>
          <w:color w:val="000000" w:themeColor="text1"/>
          <w:sz w:val="24"/>
          <w:szCs w:val="24"/>
        </w:rPr>
        <w:t xml:space="preserve"> para su centrifugación y análisis mediante técnica espectrofotométrica.</w:t>
      </w:r>
    </w:p>
    <w:p w14:paraId="1EA3DBAB" w14:textId="77777777" w:rsidR="009C6493" w:rsidRPr="00495A0D" w:rsidRDefault="009C6493" w:rsidP="00495A0D">
      <w:pPr>
        <w:spacing w:after="0" w:line="360" w:lineRule="auto"/>
        <w:ind w:firstLine="360"/>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La presencia de dislipidemia se consideró bajo los siguientes criterios: </w:t>
      </w:r>
    </w:p>
    <w:p w14:paraId="0F2EF209" w14:textId="22B7B47A" w:rsidR="009C6493" w:rsidRPr="00495A0D" w:rsidRDefault="009C6493" w:rsidP="00495A0D">
      <w:pPr>
        <w:pStyle w:val="Prrafodelista"/>
        <w:numPr>
          <w:ilvl w:val="0"/>
          <w:numId w:val="5"/>
        </w:numPr>
        <w:spacing w:after="0" w:line="360" w:lineRule="auto"/>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Colesterol total &gt; </w:t>
      </w:r>
      <w:r w:rsidR="004267C3" w:rsidRPr="00495A0D">
        <w:rPr>
          <w:rFonts w:ascii="Times New Roman" w:hAnsi="Times New Roman"/>
          <w:color w:val="000000" w:themeColor="text1"/>
          <w:sz w:val="24"/>
          <w:szCs w:val="24"/>
        </w:rPr>
        <w:t>de</w:t>
      </w:r>
      <w:r w:rsidR="009232E6"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200 mg/dl.</w:t>
      </w:r>
    </w:p>
    <w:p w14:paraId="1707FE9E" w14:textId="7C93723A" w:rsidR="009C6493" w:rsidRPr="00495A0D" w:rsidRDefault="009C6493" w:rsidP="00495A0D">
      <w:pPr>
        <w:pStyle w:val="Prrafodelista"/>
        <w:numPr>
          <w:ilvl w:val="0"/>
          <w:numId w:val="5"/>
        </w:numPr>
        <w:spacing w:after="0" w:line="360" w:lineRule="auto"/>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Triglicéridos &gt; </w:t>
      </w:r>
      <w:r w:rsidR="004267C3" w:rsidRPr="00495A0D">
        <w:rPr>
          <w:rFonts w:ascii="Times New Roman" w:hAnsi="Times New Roman"/>
          <w:color w:val="000000" w:themeColor="text1"/>
          <w:sz w:val="24"/>
          <w:szCs w:val="24"/>
        </w:rPr>
        <w:t>de</w:t>
      </w:r>
      <w:r w:rsidR="009232E6"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150 mg/dl.</w:t>
      </w:r>
    </w:p>
    <w:p w14:paraId="28BFA17B" w14:textId="60222126" w:rsidR="00613AAC" w:rsidRPr="00495A0D" w:rsidRDefault="009C6493" w:rsidP="00495A0D">
      <w:pPr>
        <w:pStyle w:val="Prrafodelista"/>
        <w:numPr>
          <w:ilvl w:val="0"/>
          <w:numId w:val="5"/>
        </w:numPr>
        <w:spacing w:after="0" w:line="360" w:lineRule="auto"/>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Colesterol HDL </w:t>
      </w:r>
      <w:r w:rsidR="007216BF" w:rsidRPr="00495A0D">
        <w:rPr>
          <w:rFonts w:ascii="Times New Roman" w:hAnsi="Times New Roman"/>
          <w:color w:val="000000" w:themeColor="text1"/>
          <w:sz w:val="24"/>
          <w:szCs w:val="24"/>
        </w:rPr>
        <w:t xml:space="preserve">&lt; </w:t>
      </w:r>
      <w:r w:rsidR="004267C3" w:rsidRPr="00495A0D">
        <w:rPr>
          <w:rFonts w:ascii="Times New Roman" w:hAnsi="Times New Roman"/>
          <w:color w:val="000000" w:themeColor="text1"/>
          <w:sz w:val="24"/>
          <w:szCs w:val="24"/>
        </w:rPr>
        <w:t>de</w:t>
      </w:r>
      <w:r w:rsidR="009232E6" w:rsidRPr="00495A0D">
        <w:rPr>
          <w:rFonts w:ascii="Times New Roman" w:hAnsi="Times New Roman"/>
          <w:color w:val="000000" w:themeColor="text1"/>
          <w:sz w:val="24"/>
          <w:szCs w:val="24"/>
        </w:rPr>
        <w:t xml:space="preserve"> </w:t>
      </w:r>
      <w:r w:rsidR="007216BF" w:rsidRPr="00495A0D">
        <w:rPr>
          <w:rFonts w:ascii="Times New Roman" w:hAnsi="Times New Roman"/>
          <w:color w:val="000000" w:themeColor="text1"/>
          <w:sz w:val="24"/>
          <w:szCs w:val="24"/>
        </w:rPr>
        <w:t xml:space="preserve">40 mg/dl </w:t>
      </w:r>
      <w:r w:rsidR="007C1D36" w:rsidRPr="00495A0D">
        <w:rPr>
          <w:rFonts w:ascii="Times New Roman" w:hAnsi="Times New Roman"/>
          <w:color w:val="000000" w:themeColor="text1"/>
          <w:sz w:val="24"/>
          <w:szCs w:val="24"/>
        </w:rPr>
        <w:t>(en</w:t>
      </w:r>
      <w:r w:rsidR="007216BF" w:rsidRPr="00495A0D">
        <w:rPr>
          <w:rFonts w:ascii="Times New Roman" w:hAnsi="Times New Roman"/>
          <w:color w:val="000000" w:themeColor="text1"/>
          <w:sz w:val="24"/>
          <w:szCs w:val="24"/>
        </w:rPr>
        <w:t xml:space="preserve"> hombres) y &lt; </w:t>
      </w:r>
      <w:r w:rsidR="00800416" w:rsidRPr="00495A0D">
        <w:rPr>
          <w:rFonts w:ascii="Times New Roman" w:hAnsi="Times New Roman"/>
          <w:color w:val="000000" w:themeColor="text1"/>
          <w:sz w:val="24"/>
          <w:szCs w:val="24"/>
        </w:rPr>
        <w:t xml:space="preserve">de </w:t>
      </w:r>
      <w:r w:rsidR="007216BF" w:rsidRPr="00495A0D">
        <w:rPr>
          <w:rFonts w:ascii="Times New Roman" w:hAnsi="Times New Roman"/>
          <w:color w:val="000000" w:themeColor="text1"/>
          <w:sz w:val="24"/>
          <w:szCs w:val="24"/>
        </w:rPr>
        <w:t>50 mg/dl (en mujeres)</w:t>
      </w:r>
      <w:r w:rsidR="00800416" w:rsidRPr="00495A0D">
        <w:rPr>
          <w:rFonts w:ascii="Times New Roman" w:hAnsi="Times New Roman"/>
          <w:color w:val="000000" w:themeColor="text1"/>
          <w:sz w:val="24"/>
          <w:szCs w:val="24"/>
        </w:rPr>
        <w:t>.</w:t>
      </w:r>
    </w:p>
    <w:p w14:paraId="09224BC3" w14:textId="6711BFD9" w:rsidR="00765E6F" w:rsidRPr="00495A0D" w:rsidRDefault="00613AAC" w:rsidP="00495A0D">
      <w:pPr>
        <w:pStyle w:val="Prrafodelista"/>
        <w:numPr>
          <w:ilvl w:val="0"/>
          <w:numId w:val="5"/>
        </w:numPr>
        <w:spacing w:after="0" w:line="360" w:lineRule="auto"/>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Colesterol LDL &gt; </w:t>
      </w:r>
      <w:r w:rsidR="004267C3" w:rsidRPr="00495A0D">
        <w:rPr>
          <w:rFonts w:ascii="Times New Roman" w:hAnsi="Times New Roman"/>
          <w:color w:val="000000" w:themeColor="text1"/>
          <w:sz w:val="24"/>
          <w:szCs w:val="24"/>
        </w:rPr>
        <w:t>de</w:t>
      </w:r>
      <w:r w:rsidR="009232E6"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100 mg/dl</w:t>
      </w:r>
      <w:r w:rsidR="00765E6F" w:rsidRPr="00495A0D">
        <w:rPr>
          <w:rFonts w:ascii="Times New Roman" w:hAnsi="Times New Roman"/>
          <w:color w:val="000000" w:themeColor="text1"/>
          <w:sz w:val="24"/>
          <w:szCs w:val="24"/>
        </w:rPr>
        <w:t xml:space="preserve"> (Escobedo</w:t>
      </w:r>
      <w:r w:rsidR="007C5A50" w:rsidRPr="00495A0D">
        <w:rPr>
          <w:rFonts w:ascii="Times New Roman" w:hAnsi="Times New Roman"/>
          <w:color w:val="000000" w:themeColor="text1"/>
          <w:sz w:val="24"/>
          <w:szCs w:val="24"/>
        </w:rPr>
        <w:t>, de Jesús, Schargrodsky y Champagne</w:t>
      </w:r>
      <w:r w:rsidR="00765E6F" w:rsidRPr="00495A0D">
        <w:rPr>
          <w:rFonts w:ascii="Times New Roman" w:hAnsi="Times New Roman"/>
          <w:color w:val="000000" w:themeColor="text1"/>
          <w:sz w:val="24"/>
          <w:szCs w:val="24"/>
        </w:rPr>
        <w:t>, 2014, p.</w:t>
      </w:r>
      <w:r w:rsidR="009232E6" w:rsidRPr="00495A0D">
        <w:rPr>
          <w:rFonts w:ascii="Times New Roman" w:hAnsi="Times New Roman"/>
          <w:color w:val="000000" w:themeColor="text1"/>
          <w:sz w:val="24"/>
          <w:szCs w:val="24"/>
        </w:rPr>
        <w:t xml:space="preserve"> </w:t>
      </w:r>
      <w:r w:rsidR="00765E6F" w:rsidRPr="00495A0D">
        <w:rPr>
          <w:rFonts w:ascii="Times New Roman" w:hAnsi="Times New Roman"/>
          <w:color w:val="000000" w:themeColor="text1"/>
          <w:sz w:val="24"/>
          <w:szCs w:val="24"/>
        </w:rPr>
        <w:t>130).</w:t>
      </w:r>
    </w:p>
    <w:p w14:paraId="7973EF5F" w14:textId="4A58A268" w:rsidR="00BC56AD" w:rsidRPr="00495A0D" w:rsidRDefault="00BC56AD" w:rsidP="00495A0D">
      <w:pPr>
        <w:spacing w:after="0" w:line="360" w:lineRule="auto"/>
        <w:ind w:firstLine="360"/>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lastRenderedPageBreak/>
        <w:t xml:space="preserve">La medición del perímetro abdominal se realizó con la enfermera(o) de pie, rodeando el abdomen a la altura del punto medio </w:t>
      </w:r>
      <w:r w:rsidR="00B9533D"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ubicado entre la cresta ilíaca y el último reborde costal a la altura del ombligo</w:t>
      </w:r>
      <w:r w:rsidR="00B9533D"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w:t>
      </w:r>
      <w:r w:rsidR="00AB58C7" w:rsidRPr="00495A0D">
        <w:rPr>
          <w:rFonts w:ascii="Times New Roman" w:hAnsi="Times New Roman"/>
          <w:color w:val="000000" w:themeColor="text1"/>
          <w:sz w:val="24"/>
          <w:szCs w:val="24"/>
        </w:rPr>
        <w:t>asegurándose</w:t>
      </w:r>
      <w:r w:rsidRPr="00495A0D">
        <w:rPr>
          <w:rFonts w:ascii="Times New Roman" w:hAnsi="Times New Roman"/>
          <w:color w:val="000000" w:themeColor="text1"/>
          <w:sz w:val="24"/>
          <w:szCs w:val="24"/>
        </w:rPr>
        <w:t xml:space="preserve"> que la cinta </w:t>
      </w:r>
      <w:r w:rsidR="00C111E0" w:rsidRPr="00495A0D">
        <w:rPr>
          <w:rFonts w:ascii="Times New Roman" w:hAnsi="Times New Roman"/>
          <w:color w:val="000000" w:themeColor="text1"/>
          <w:sz w:val="24"/>
          <w:szCs w:val="24"/>
        </w:rPr>
        <w:t>quedara</w:t>
      </w:r>
      <w:r w:rsidRPr="00495A0D">
        <w:rPr>
          <w:rFonts w:ascii="Times New Roman" w:hAnsi="Times New Roman"/>
          <w:color w:val="000000" w:themeColor="text1"/>
          <w:sz w:val="24"/>
          <w:szCs w:val="24"/>
        </w:rPr>
        <w:t xml:space="preserve"> paralela con el piso.</w:t>
      </w:r>
    </w:p>
    <w:p w14:paraId="6FB31901" w14:textId="7B50B0D2" w:rsidR="00B56DFA" w:rsidRPr="00495A0D" w:rsidRDefault="004E1016" w:rsidP="00495A0D">
      <w:pPr>
        <w:spacing w:after="0" w:line="360" w:lineRule="auto"/>
        <w:ind w:firstLine="360"/>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P</w:t>
      </w:r>
      <w:r w:rsidR="00CA793B" w:rsidRPr="00495A0D">
        <w:rPr>
          <w:rFonts w:ascii="Times New Roman" w:hAnsi="Times New Roman"/>
          <w:color w:val="000000" w:themeColor="text1"/>
          <w:sz w:val="24"/>
          <w:szCs w:val="24"/>
        </w:rPr>
        <w:t>ara la evaluación del perímetro abdomin</w:t>
      </w:r>
      <w:r w:rsidRPr="00495A0D">
        <w:rPr>
          <w:rFonts w:ascii="Times New Roman" w:hAnsi="Times New Roman"/>
          <w:color w:val="000000" w:themeColor="text1"/>
          <w:sz w:val="24"/>
          <w:szCs w:val="24"/>
        </w:rPr>
        <w:t>al</w:t>
      </w:r>
      <w:r w:rsidR="00B9533D"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se consideró</w:t>
      </w:r>
      <w:r w:rsidR="00CA793B" w:rsidRPr="00495A0D">
        <w:rPr>
          <w:rFonts w:ascii="Times New Roman" w:hAnsi="Times New Roman"/>
          <w:color w:val="000000" w:themeColor="text1"/>
          <w:sz w:val="24"/>
          <w:szCs w:val="24"/>
        </w:rPr>
        <w:t xml:space="preserve"> como perímetro de alto riesgo aquel mayor </w:t>
      </w:r>
      <w:r w:rsidR="004267C3" w:rsidRPr="00495A0D">
        <w:rPr>
          <w:rFonts w:ascii="Times New Roman" w:hAnsi="Times New Roman"/>
          <w:color w:val="000000" w:themeColor="text1"/>
          <w:sz w:val="24"/>
          <w:szCs w:val="24"/>
        </w:rPr>
        <w:t xml:space="preserve">de </w:t>
      </w:r>
      <w:r w:rsidR="00CA793B" w:rsidRPr="00495A0D">
        <w:rPr>
          <w:rFonts w:ascii="Times New Roman" w:hAnsi="Times New Roman"/>
          <w:color w:val="000000" w:themeColor="text1"/>
          <w:sz w:val="24"/>
          <w:szCs w:val="24"/>
        </w:rPr>
        <w:t xml:space="preserve">102 centímetros en hombres y mayor </w:t>
      </w:r>
      <w:r w:rsidR="004267C3" w:rsidRPr="00495A0D">
        <w:rPr>
          <w:rFonts w:ascii="Times New Roman" w:hAnsi="Times New Roman"/>
          <w:color w:val="000000" w:themeColor="text1"/>
          <w:sz w:val="24"/>
          <w:szCs w:val="24"/>
        </w:rPr>
        <w:t xml:space="preserve">de </w:t>
      </w:r>
      <w:r w:rsidR="00CA793B" w:rsidRPr="00495A0D">
        <w:rPr>
          <w:rFonts w:ascii="Times New Roman" w:hAnsi="Times New Roman"/>
          <w:color w:val="000000" w:themeColor="text1"/>
          <w:sz w:val="24"/>
          <w:szCs w:val="24"/>
        </w:rPr>
        <w:t>88 centímetros en las mujeres</w:t>
      </w:r>
      <w:r w:rsidR="00E30F1B" w:rsidRPr="00495A0D">
        <w:rPr>
          <w:rFonts w:ascii="Times New Roman" w:hAnsi="Times New Roman"/>
          <w:color w:val="000000" w:themeColor="text1"/>
          <w:sz w:val="24"/>
          <w:szCs w:val="24"/>
        </w:rPr>
        <w:t xml:space="preserve"> </w:t>
      </w:r>
      <w:r w:rsidR="00F53082" w:rsidRPr="00495A0D">
        <w:rPr>
          <w:rFonts w:ascii="Times New Roman" w:hAnsi="Times New Roman"/>
          <w:color w:val="000000" w:themeColor="text1"/>
          <w:sz w:val="24"/>
          <w:szCs w:val="24"/>
        </w:rPr>
        <w:t>(</w:t>
      </w:r>
      <w:r w:rsidR="00A74382" w:rsidRPr="00495A0D">
        <w:rPr>
          <w:rFonts w:ascii="Times New Roman" w:hAnsi="Times New Roman"/>
          <w:color w:val="000000" w:themeColor="text1"/>
          <w:sz w:val="24"/>
          <w:szCs w:val="24"/>
        </w:rPr>
        <w:t>Aráuz, Guzmán y Roselló</w:t>
      </w:r>
      <w:r w:rsidR="00F53082" w:rsidRPr="00495A0D">
        <w:rPr>
          <w:rFonts w:ascii="Times New Roman" w:hAnsi="Times New Roman"/>
          <w:color w:val="000000" w:themeColor="text1"/>
          <w:sz w:val="24"/>
          <w:szCs w:val="24"/>
        </w:rPr>
        <w:t>,</w:t>
      </w:r>
      <w:r w:rsidR="00941E17" w:rsidRPr="00495A0D">
        <w:rPr>
          <w:rFonts w:ascii="Times New Roman" w:hAnsi="Times New Roman"/>
          <w:color w:val="000000" w:themeColor="text1"/>
          <w:sz w:val="24"/>
          <w:szCs w:val="24"/>
        </w:rPr>
        <w:t xml:space="preserve"> 2013</w:t>
      </w:r>
      <w:r w:rsidR="00F53082" w:rsidRPr="00495A0D">
        <w:rPr>
          <w:rFonts w:ascii="Times New Roman" w:hAnsi="Times New Roman"/>
          <w:color w:val="000000" w:themeColor="text1"/>
          <w:sz w:val="24"/>
          <w:szCs w:val="24"/>
        </w:rPr>
        <w:t>)</w:t>
      </w:r>
      <w:r w:rsidR="00A62754" w:rsidRPr="00495A0D">
        <w:rPr>
          <w:rFonts w:ascii="Times New Roman" w:hAnsi="Times New Roman"/>
          <w:color w:val="000000" w:themeColor="text1"/>
          <w:sz w:val="24"/>
          <w:szCs w:val="24"/>
        </w:rPr>
        <w:t>.</w:t>
      </w:r>
    </w:p>
    <w:p w14:paraId="44D32131" w14:textId="631363EA" w:rsidR="00E47596" w:rsidRPr="00495A0D" w:rsidRDefault="00AB58C7" w:rsidP="00495A0D">
      <w:pPr>
        <w:spacing w:after="0" w:line="360" w:lineRule="auto"/>
        <w:ind w:firstLine="360"/>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En cuanto al</w:t>
      </w:r>
      <w:r w:rsidR="00E47596" w:rsidRPr="00495A0D">
        <w:rPr>
          <w:rFonts w:ascii="Times New Roman" w:hAnsi="Times New Roman"/>
          <w:color w:val="000000" w:themeColor="text1"/>
          <w:sz w:val="24"/>
          <w:szCs w:val="24"/>
        </w:rPr>
        <w:t xml:space="preserve"> índice </w:t>
      </w:r>
      <w:r w:rsidR="00E667EB" w:rsidRPr="00495A0D">
        <w:rPr>
          <w:rFonts w:ascii="Times New Roman" w:hAnsi="Times New Roman"/>
          <w:color w:val="000000" w:themeColor="text1"/>
          <w:sz w:val="24"/>
          <w:szCs w:val="24"/>
        </w:rPr>
        <w:t>cintura-</w:t>
      </w:r>
      <w:r w:rsidRPr="00495A0D">
        <w:rPr>
          <w:rFonts w:ascii="Times New Roman" w:hAnsi="Times New Roman"/>
          <w:color w:val="000000" w:themeColor="text1"/>
          <w:sz w:val="24"/>
          <w:szCs w:val="24"/>
        </w:rPr>
        <w:t>altura</w:t>
      </w:r>
      <w:r w:rsidR="00E667EB"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se </w:t>
      </w:r>
      <w:r w:rsidR="007C1D36" w:rsidRPr="00495A0D">
        <w:rPr>
          <w:rFonts w:ascii="Times New Roman" w:hAnsi="Times New Roman"/>
          <w:color w:val="000000" w:themeColor="text1"/>
          <w:sz w:val="24"/>
          <w:szCs w:val="24"/>
        </w:rPr>
        <w:t>consideró</w:t>
      </w:r>
      <w:r w:rsidR="00E47596" w:rsidRPr="00495A0D">
        <w:rPr>
          <w:rFonts w:ascii="Times New Roman" w:hAnsi="Times New Roman"/>
          <w:color w:val="000000" w:themeColor="text1"/>
          <w:sz w:val="24"/>
          <w:szCs w:val="24"/>
        </w:rPr>
        <w:t xml:space="preserve"> como valor de referencia de riesgo cardiometabólico </w:t>
      </w:r>
      <w:r w:rsidR="00E667EB" w:rsidRPr="00495A0D">
        <w:rPr>
          <w:rFonts w:ascii="Times New Roman" w:hAnsi="Times New Roman"/>
          <w:color w:val="000000" w:themeColor="text1"/>
          <w:sz w:val="24"/>
          <w:szCs w:val="24"/>
        </w:rPr>
        <w:t xml:space="preserve">dicho </w:t>
      </w:r>
      <w:r w:rsidR="00E47596" w:rsidRPr="00495A0D">
        <w:rPr>
          <w:rFonts w:ascii="Times New Roman" w:hAnsi="Times New Roman"/>
          <w:color w:val="000000" w:themeColor="text1"/>
          <w:sz w:val="24"/>
          <w:szCs w:val="24"/>
        </w:rPr>
        <w:t>índice por arriba de 0.5</w:t>
      </w:r>
      <w:r w:rsidR="004E119A" w:rsidRPr="00495A0D">
        <w:rPr>
          <w:rFonts w:ascii="Times New Roman" w:hAnsi="Times New Roman"/>
          <w:color w:val="000000" w:themeColor="text1"/>
          <w:sz w:val="24"/>
          <w:szCs w:val="24"/>
        </w:rPr>
        <w:t xml:space="preserve"> (Luengo</w:t>
      </w:r>
      <w:r w:rsidR="00476AC0" w:rsidRPr="00495A0D">
        <w:rPr>
          <w:rFonts w:ascii="Times New Roman" w:hAnsi="Times New Roman"/>
          <w:color w:val="000000" w:themeColor="text1"/>
          <w:sz w:val="24"/>
          <w:szCs w:val="24"/>
        </w:rPr>
        <w:t>, Urbano y Pérez</w:t>
      </w:r>
      <w:r w:rsidR="004E119A" w:rsidRPr="00495A0D">
        <w:rPr>
          <w:rFonts w:ascii="Times New Roman" w:hAnsi="Times New Roman"/>
          <w:color w:val="000000" w:themeColor="text1"/>
          <w:sz w:val="24"/>
          <w:szCs w:val="24"/>
        </w:rPr>
        <w:t>, 2009</w:t>
      </w:r>
      <w:r w:rsidR="00CF6324" w:rsidRPr="00495A0D">
        <w:rPr>
          <w:rFonts w:ascii="Times New Roman" w:hAnsi="Times New Roman"/>
          <w:color w:val="000000" w:themeColor="text1"/>
          <w:sz w:val="24"/>
          <w:szCs w:val="24"/>
        </w:rPr>
        <w:t>).</w:t>
      </w:r>
    </w:p>
    <w:p w14:paraId="7808A513" w14:textId="4BEF2E38" w:rsidR="005A034B" w:rsidRPr="00495A0D" w:rsidRDefault="0046725D" w:rsidP="00495A0D">
      <w:pPr>
        <w:spacing w:after="0" w:line="360" w:lineRule="auto"/>
        <w:ind w:firstLine="360"/>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Para la evaluación de riesgo cardiovascular en los profesionales de enfermería</w:t>
      </w:r>
      <w:r w:rsidR="00E667EB"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se utilizó la </w:t>
      </w:r>
      <w:r w:rsidR="00A64A7C" w:rsidRPr="00495A0D">
        <w:rPr>
          <w:rFonts w:ascii="Times New Roman" w:hAnsi="Times New Roman"/>
          <w:color w:val="000000" w:themeColor="text1"/>
          <w:sz w:val="24"/>
          <w:szCs w:val="24"/>
        </w:rPr>
        <w:t>calculadora en línea del Framingham Heart Study</w:t>
      </w:r>
      <w:r w:rsidRPr="00495A0D">
        <w:rPr>
          <w:rFonts w:ascii="Times New Roman" w:hAnsi="Times New Roman"/>
          <w:color w:val="000000" w:themeColor="text1"/>
          <w:sz w:val="24"/>
          <w:szCs w:val="24"/>
        </w:rPr>
        <w:t xml:space="preserve"> para establecer el riesgo de desarrollar un evento cardiovascular en 10 años</w:t>
      </w:r>
      <w:r w:rsidR="003C02B6" w:rsidRPr="00495A0D">
        <w:rPr>
          <w:rFonts w:ascii="Times New Roman" w:hAnsi="Times New Roman"/>
          <w:color w:val="000000" w:themeColor="text1"/>
          <w:sz w:val="24"/>
          <w:szCs w:val="24"/>
        </w:rPr>
        <w:t xml:space="preserve"> </w:t>
      </w:r>
      <w:r w:rsidR="003370C8" w:rsidRPr="00495A0D">
        <w:rPr>
          <w:rFonts w:ascii="Times New Roman" w:hAnsi="Times New Roman"/>
          <w:color w:val="000000" w:themeColor="text1"/>
          <w:sz w:val="24"/>
          <w:szCs w:val="24"/>
        </w:rPr>
        <w:t>(FHS, 2016)</w:t>
      </w:r>
      <w:r w:rsidRPr="00495A0D">
        <w:rPr>
          <w:rFonts w:ascii="Times New Roman" w:hAnsi="Times New Roman"/>
          <w:color w:val="000000" w:themeColor="text1"/>
          <w:sz w:val="24"/>
          <w:szCs w:val="24"/>
        </w:rPr>
        <w:t xml:space="preserve"> de manera conjunta con la tabla OMS/ISH</w:t>
      </w:r>
      <w:r w:rsidR="00AC75F8" w:rsidRPr="00495A0D">
        <w:rPr>
          <w:rFonts w:ascii="Times New Roman" w:hAnsi="Times New Roman"/>
          <w:color w:val="000000" w:themeColor="text1"/>
          <w:sz w:val="24"/>
          <w:szCs w:val="24"/>
        </w:rPr>
        <w:t xml:space="preserve"> (OMS, 2008, p.</w:t>
      </w:r>
      <w:r w:rsidR="00E667EB" w:rsidRPr="00495A0D">
        <w:rPr>
          <w:rFonts w:ascii="Times New Roman" w:hAnsi="Times New Roman"/>
          <w:color w:val="000000" w:themeColor="text1"/>
          <w:sz w:val="24"/>
          <w:szCs w:val="24"/>
        </w:rPr>
        <w:t xml:space="preserve"> </w:t>
      </w:r>
      <w:r w:rsidR="00AC75F8" w:rsidRPr="00495A0D">
        <w:rPr>
          <w:rFonts w:ascii="Times New Roman" w:hAnsi="Times New Roman"/>
          <w:color w:val="000000" w:themeColor="text1"/>
          <w:sz w:val="24"/>
          <w:szCs w:val="24"/>
        </w:rPr>
        <w:t>13)</w:t>
      </w:r>
      <w:r w:rsidRPr="00495A0D">
        <w:rPr>
          <w:rFonts w:ascii="Times New Roman" w:hAnsi="Times New Roman"/>
          <w:color w:val="000000" w:themeColor="text1"/>
          <w:sz w:val="24"/>
          <w:szCs w:val="24"/>
        </w:rPr>
        <w:t xml:space="preserve"> y </w:t>
      </w:r>
      <w:r w:rsidR="00A64A7C" w:rsidRPr="00495A0D">
        <w:rPr>
          <w:rFonts w:ascii="Times New Roman" w:hAnsi="Times New Roman"/>
          <w:color w:val="000000" w:themeColor="text1"/>
          <w:sz w:val="24"/>
          <w:szCs w:val="24"/>
        </w:rPr>
        <w:t>la aplicación</w:t>
      </w:r>
      <w:r w:rsidRPr="00495A0D">
        <w:rPr>
          <w:rFonts w:ascii="Times New Roman" w:hAnsi="Times New Roman"/>
          <w:color w:val="000000" w:themeColor="text1"/>
          <w:sz w:val="24"/>
          <w:szCs w:val="24"/>
        </w:rPr>
        <w:t xml:space="preserve"> ASCVD score</w:t>
      </w:r>
      <w:r w:rsidR="00A64A7C" w:rsidRPr="00495A0D">
        <w:rPr>
          <w:rFonts w:ascii="Times New Roman" w:hAnsi="Times New Roman"/>
          <w:color w:val="000000" w:themeColor="text1"/>
          <w:sz w:val="24"/>
          <w:szCs w:val="24"/>
        </w:rPr>
        <w:t xml:space="preserve"> de</w:t>
      </w:r>
      <w:r w:rsidR="00466A0E" w:rsidRPr="00495A0D">
        <w:rPr>
          <w:rFonts w:ascii="Times New Roman" w:hAnsi="Times New Roman"/>
          <w:color w:val="000000" w:themeColor="text1"/>
          <w:sz w:val="24"/>
          <w:szCs w:val="24"/>
        </w:rPr>
        <w:t>l</w:t>
      </w:r>
      <w:r w:rsidR="00A64A7C" w:rsidRPr="00495A0D">
        <w:rPr>
          <w:rFonts w:ascii="Times New Roman" w:hAnsi="Times New Roman"/>
          <w:color w:val="000000" w:themeColor="text1"/>
          <w:sz w:val="24"/>
          <w:szCs w:val="24"/>
        </w:rPr>
        <w:t xml:space="preserve"> American </w:t>
      </w:r>
      <w:r w:rsidR="00C053B1" w:rsidRPr="00495A0D">
        <w:rPr>
          <w:rFonts w:ascii="Times New Roman" w:hAnsi="Times New Roman"/>
          <w:color w:val="000000" w:themeColor="text1"/>
          <w:sz w:val="24"/>
          <w:szCs w:val="24"/>
        </w:rPr>
        <w:t>College of Cardiology</w:t>
      </w:r>
      <w:r w:rsidRPr="00495A0D">
        <w:rPr>
          <w:rFonts w:ascii="Times New Roman" w:hAnsi="Times New Roman"/>
          <w:color w:val="000000" w:themeColor="text1"/>
          <w:sz w:val="24"/>
          <w:szCs w:val="24"/>
        </w:rPr>
        <w:t xml:space="preserve"> </w:t>
      </w:r>
      <w:r w:rsidR="003C02B6" w:rsidRPr="00495A0D">
        <w:rPr>
          <w:rFonts w:ascii="Times New Roman" w:hAnsi="Times New Roman"/>
          <w:color w:val="000000" w:themeColor="text1"/>
          <w:sz w:val="24"/>
          <w:szCs w:val="24"/>
        </w:rPr>
        <w:t>(ACC</w:t>
      </w:r>
      <w:r w:rsidR="00A74382" w:rsidRPr="00495A0D">
        <w:rPr>
          <w:rFonts w:ascii="Times New Roman" w:hAnsi="Times New Roman"/>
          <w:color w:val="000000" w:themeColor="text1"/>
          <w:sz w:val="24"/>
          <w:szCs w:val="24"/>
        </w:rPr>
        <w:t>/AHA</w:t>
      </w:r>
      <w:r w:rsidR="003C02B6" w:rsidRPr="00495A0D">
        <w:rPr>
          <w:rFonts w:ascii="Times New Roman" w:hAnsi="Times New Roman"/>
          <w:color w:val="000000" w:themeColor="text1"/>
          <w:sz w:val="24"/>
          <w:szCs w:val="24"/>
        </w:rPr>
        <w:t>, 2016)</w:t>
      </w:r>
      <w:r w:rsidR="008A24D9" w:rsidRPr="00495A0D">
        <w:rPr>
          <w:rFonts w:ascii="Times New Roman" w:hAnsi="Times New Roman"/>
          <w:color w:val="000000" w:themeColor="text1"/>
          <w:sz w:val="24"/>
          <w:szCs w:val="24"/>
        </w:rPr>
        <w:t>,</w:t>
      </w:r>
      <w:r w:rsidR="003C02B6"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 xml:space="preserve">clasificando como riesgo bajo </w:t>
      </w:r>
      <w:r w:rsidR="008A24D9" w:rsidRPr="00495A0D">
        <w:rPr>
          <w:rFonts w:ascii="Times New Roman" w:hAnsi="Times New Roman"/>
          <w:color w:val="000000" w:themeColor="text1"/>
          <w:sz w:val="24"/>
          <w:szCs w:val="24"/>
        </w:rPr>
        <w:t xml:space="preserve">los </w:t>
      </w:r>
      <w:r w:rsidRPr="00495A0D">
        <w:rPr>
          <w:rFonts w:ascii="Times New Roman" w:hAnsi="Times New Roman"/>
          <w:color w:val="000000" w:themeColor="text1"/>
          <w:sz w:val="24"/>
          <w:szCs w:val="24"/>
        </w:rPr>
        <w:t>puntajes menores a 10</w:t>
      </w:r>
      <w:r w:rsidR="00E667EB" w:rsidRPr="00495A0D">
        <w:rPr>
          <w:rFonts w:ascii="Times New Roman" w:hAnsi="Times New Roman"/>
          <w:color w:val="000000" w:themeColor="text1"/>
          <w:sz w:val="24"/>
          <w:szCs w:val="24"/>
        </w:rPr>
        <w:t xml:space="preserve"> </w:t>
      </w:r>
      <w:r w:rsidR="008A24D9"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riesgo moderado entre 10 y 20</w:t>
      </w:r>
      <w:r w:rsidR="008A24D9" w:rsidRPr="00495A0D">
        <w:rPr>
          <w:rFonts w:ascii="Times New Roman" w:hAnsi="Times New Roman"/>
          <w:color w:val="000000" w:themeColor="text1"/>
          <w:sz w:val="24"/>
          <w:szCs w:val="24"/>
        </w:rPr>
        <w:t xml:space="preserve"> %; </w:t>
      </w:r>
      <w:r w:rsidRPr="00495A0D">
        <w:rPr>
          <w:rFonts w:ascii="Times New Roman" w:hAnsi="Times New Roman"/>
          <w:color w:val="000000" w:themeColor="text1"/>
          <w:sz w:val="24"/>
          <w:szCs w:val="24"/>
        </w:rPr>
        <w:t>y riesgo alto puntajes mayores a 20</w:t>
      </w:r>
      <w:r w:rsidR="008A24D9"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w:t>
      </w:r>
      <w:r w:rsidR="00816CB7" w:rsidRPr="00495A0D">
        <w:rPr>
          <w:rFonts w:ascii="Times New Roman" w:hAnsi="Times New Roman"/>
          <w:color w:val="000000" w:themeColor="text1"/>
          <w:sz w:val="24"/>
          <w:szCs w:val="24"/>
        </w:rPr>
        <w:t>.</w:t>
      </w:r>
    </w:p>
    <w:p w14:paraId="06893537" w14:textId="42A7597B" w:rsidR="00043EE0" w:rsidRPr="00495A0D" w:rsidRDefault="00704263" w:rsidP="00495A0D">
      <w:pPr>
        <w:spacing w:after="0" w:line="360" w:lineRule="auto"/>
        <w:ind w:firstLine="360"/>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El índice </w:t>
      </w:r>
      <w:r w:rsidR="008A24D9" w:rsidRPr="00495A0D">
        <w:rPr>
          <w:rFonts w:ascii="Times New Roman" w:hAnsi="Times New Roman"/>
          <w:color w:val="000000" w:themeColor="text1"/>
          <w:sz w:val="24"/>
          <w:szCs w:val="24"/>
        </w:rPr>
        <w:t>tobillo-</w:t>
      </w:r>
      <w:r w:rsidRPr="00495A0D">
        <w:rPr>
          <w:rFonts w:ascii="Times New Roman" w:hAnsi="Times New Roman"/>
          <w:color w:val="000000" w:themeColor="text1"/>
          <w:sz w:val="24"/>
          <w:szCs w:val="24"/>
        </w:rPr>
        <w:t xml:space="preserve">brazo se determinó con </w:t>
      </w:r>
      <w:r w:rsidR="008A24D9" w:rsidRPr="00495A0D">
        <w:rPr>
          <w:rFonts w:ascii="Times New Roman" w:hAnsi="Times New Roman"/>
          <w:color w:val="000000" w:themeColor="text1"/>
          <w:sz w:val="24"/>
          <w:szCs w:val="24"/>
        </w:rPr>
        <w:t xml:space="preserve">doopler </w:t>
      </w:r>
      <w:r w:rsidRPr="00495A0D">
        <w:rPr>
          <w:rFonts w:ascii="Times New Roman" w:hAnsi="Times New Roman"/>
          <w:color w:val="000000" w:themeColor="text1"/>
          <w:sz w:val="24"/>
          <w:szCs w:val="24"/>
        </w:rPr>
        <w:t>vascular bidireccional de 8 Mhz</w:t>
      </w:r>
      <w:r w:rsidR="00BE488E" w:rsidRPr="00495A0D">
        <w:rPr>
          <w:rFonts w:ascii="Times New Roman" w:hAnsi="Times New Roman"/>
          <w:color w:val="000000" w:themeColor="text1"/>
          <w:sz w:val="24"/>
          <w:szCs w:val="24"/>
        </w:rPr>
        <w:t xml:space="preserve"> y un esfigmomanómetro</w:t>
      </w:r>
      <w:r w:rsidRPr="00495A0D">
        <w:rPr>
          <w:rFonts w:ascii="Times New Roman" w:hAnsi="Times New Roman"/>
          <w:color w:val="000000" w:themeColor="text1"/>
          <w:sz w:val="24"/>
          <w:szCs w:val="24"/>
        </w:rPr>
        <w:t>, con la enfermera(o) en decúbi</w:t>
      </w:r>
      <w:r w:rsidR="005E0FC7" w:rsidRPr="00495A0D">
        <w:rPr>
          <w:rFonts w:ascii="Times New Roman" w:hAnsi="Times New Roman"/>
          <w:color w:val="000000" w:themeColor="text1"/>
          <w:sz w:val="24"/>
          <w:szCs w:val="24"/>
        </w:rPr>
        <w:t xml:space="preserve">to </w:t>
      </w:r>
      <w:r w:rsidR="00116848" w:rsidRPr="00495A0D">
        <w:rPr>
          <w:rFonts w:ascii="Times New Roman" w:hAnsi="Times New Roman"/>
          <w:color w:val="000000" w:themeColor="text1"/>
          <w:sz w:val="24"/>
          <w:szCs w:val="24"/>
        </w:rPr>
        <w:t>dorsal</w:t>
      </w:r>
      <w:r w:rsidR="008A24D9" w:rsidRPr="00495A0D">
        <w:rPr>
          <w:rFonts w:ascii="Times New Roman" w:hAnsi="Times New Roman"/>
          <w:color w:val="000000" w:themeColor="text1"/>
          <w:sz w:val="24"/>
          <w:szCs w:val="24"/>
        </w:rPr>
        <w:t xml:space="preserve">. Las </w:t>
      </w:r>
      <w:r w:rsidR="00116848" w:rsidRPr="00495A0D">
        <w:rPr>
          <w:rFonts w:ascii="Times New Roman" w:hAnsi="Times New Roman"/>
          <w:color w:val="000000" w:themeColor="text1"/>
          <w:sz w:val="24"/>
          <w:szCs w:val="24"/>
        </w:rPr>
        <w:t>cifras de</w:t>
      </w:r>
      <w:r w:rsidR="001731E1" w:rsidRPr="00495A0D">
        <w:rPr>
          <w:rFonts w:ascii="Times New Roman" w:hAnsi="Times New Roman"/>
          <w:color w:val="000000" w:themeColor="text1"/>
          <w:sz w:val="24"/>
          <w:szCs w:val="24"/>
        </w:rPr>
        <w:t xml:space="preserve"> índice </w:t>
      </w:r>
      <w:r w:rsidR="008A24D9" w:rsidRPr="00495A0D">
        <w:rPr>
          <w:rFonts w:ascii="Times New Roman" w:hAnsi="Times New Roman"/>
          <w:color w:val="000000" w:themeColor="text1"/>
          <w:sz w:val="24"/>
          <w:szCs w:val="24"/>
        </w:rPr>
        <w:t>tobillo-</w:t>
      </w:r>
      <w:r w:rsidR="001731E1" w:rsidRPr="00495A0D">
        <w:rPr>
          <w:rFonts w:ascii="Times New Roman" w:hAnsi="Times New Roman"/>
          <w:color w:val="000000" w:themeColor="text1"/>
          <w:sz w:val="24"/>
          <w:szCs w:val="24"/>
        </w:rPr>
        <w:t>brazo</w:t>
      </w:r>
      <w:r w:rsidR="00116848" w:rsidRPr="00495A0D">
        <w:rPr>
          <w:rFonts w:ascii="Times New Roman" w:hAnsi="Times New Roman"/>
          <w:color w:val="000000" w:themeColor="text1"/>
          <w:sz w:val="24"/>
          <w:szCs w:val="24"/>
        </w:rPr>
        <w:t xml:space="preserve"> entre </w:t>
      </w:r>
      <w:r w:rsidR="00B74A13" w:rsidRPr="00495A0D">
        <w:rPr>
          <w:rFonts w:ascii="Times New Roman" w:hAnsi="Times New Roman"/>
          <w:color w:val="000000" w:themeColor="text1"/>
          <w:sz w:val="24"/>
          <w:szCs w:val="24"/>
        </w:rPr>
        <w:t>“</w:t>
      </w:r>
      <w:r w:rsidR="00116848" w:rsidRPr="00495A0D">
        <w:rPr>
          <w:rFonts w:ascii="Times New Roman" w:hAnsi="Times New Roman"/>
          <w:color w:val="000000" w:themeColor="text1"/>
          <w:sz w:val="24"/>
          <w:szCs w:val="24"/>
        </w:rPr>
        <w:t>0.90 y 1.30 se consideraron</w:t>
      </w:r>
      <w:r w:rsidR="001731E1" w:rsidRPr="00495A0D">
        <w:rPr>
          <w:rFonts w:ascii="Times New Roman" w:hAnsi="Times New Roman"/>
          <w:color w:val="000000" w:themeColor="text1"/>
          <w:sz w:val="24"/>
          <w:szCs w:val="24"/>
        </w:rPr>
        <w:t xml:space="preserve"> normales</w:t>
      </w:r>
      <w:r w:rsidR="00B74A13" w:rsidRPr="00495A0D">
        <w:rPr>
          <w:rFonts w:ascii="Times New Roman" w:hAnsi="Times New Roman"/>
          <w:color w:val="000000" w:themeColor="text1"/>
          <w:sz w:val="24"/>
          <w:szCs w:val="24"/>
        </w:rPr>
        <w:t>”</w:t>
      </w:r>
      <w:r w:rsidR="001731E1" w:rsidRPr="00495A0D">
        <w:rPr>
          <w:rFonts w:ascii="Times New Roman" w:hAnsi="Times New Roman"/>
          <w:color w:val="000000" w:themeColor="text1"/>
          <w:sz w:val="24"/>
          <w:szCs w:val="24"/>
        </w:rPr>
        <w:t xml:space="preserve">, y los valores </w:t>
      </w:r>
      <w:r w:rsidR="00B74A13" w:rsidRPr="00495A0D">
        <w:rPr>
          <w:rFonts w:ascii="Times New Roman" w:hAnsi="Times New Roman"/>
          <w:color w:val="000000" w:themeColor="text1"/>
          <w:sz w:val="24"/>
          <w:szCs w:val="24"/>
        </w:rPr>
        <w:t>“</w:t>
      </w:r>
      <w:r w:rsidR="001731E1" w:rsidRPr="00495A0D">
        <w:rPr>
          <w:rFonts w:ascii="Times New Roman" w:hAnsi="Times New Roman"/>
          <w:color w:val="000000" w:themeColor="text1"/>
          <w:sz w:val="24"/>
          <w:szCs w:val="24"/>
        </w:rPr>
        <w:t xml:space="preserve">por encima del 1.30 o por debajo </w:t>
      </w:r>
      <w:r w:rsidR="00116848" w:rsidRPr="00495A0D">
        <w:rPr>
          <w:rFonts w:ascii="Times New Roman" w:hAnsi="Times New Roman"/>
          <w:color w:val="000000" w:themeColor="text1"/>
          <w:sz w:val="24"/>
          <w:szCs w:val="24"/>
        </w:rPr>
        <w:t>de 0.90</w:t>
      </w:r>
      <w:r w:rsidR="00B74A13" w:rsidRPr="00495A0D">
        <w:rPr>
          <w:rFonts w:ascii="Times New Roman" w:hAnsi="Times New Roman"/>
          <w:color w:val="000000" w:themeColor="text1"/>
          <w:sz w:val="24"/>
          <w:szCs w:val="24"/>
        </w:rPr>
        <w:t>”</w:t>
      </w:r>
      <w:r w:rsidR="00116848" w:rsidRPr="00495A0D">
        <w:rPr>
          <w:rFonts w:ascii="Times New Roman" w:hAnsi="Times New Roman"/>
          <w:color w:val="000000" w:themeColor="text1"/>
          <w:sz w:val="24"/>
          <w:szCs w:val="24"/>
        </w:rPr>
        <w:t xml:space="preserve"> se consideraron diagnósticos de</w:t>
      </w:r>
      <w:r w:rsidR="001731E1" w:rsidRPr="00495A0D">
        <w:rPr>
          <w:rFonts w:ascii="Times New Roman" w:hAnsi="Times New Roman"/>
          <w:color w:val="000000" w:themeColor="text1"/>
          <w:sz w:val="24"/>
          <w:szCs w:val="24"/>
        </w:rPr>
        <w:t xml:space="preserve"> e</w:t>
      </w:r>
      <w:r w:rsidR="00116848" w:rsidRPr="00495A0D">
        <w:rPr>
          <w:rFonts w:ascii="Times New Roman" w:hAnsi="Times New Roman"/>
          <w:color w:val="000000" w:themeColor="text1"/>
          <w:sz w:val="24"/>
          <w:szCs w:val="24"/>
        </w:rPr>
        <w:t xml:space="preserve">nfermedad vascular </w:t>
      </w:r>
      <w:r w:rsidR="00894405" w:rsidRPr="00495A0D">
        <w:rPr>
          <w:rFonts w:ascii="Times New Roman" w:hAnsi="Times New Roman"/>
          <w:color w:val="000000" w:themeColor="text1"/>
          <w:sz w:val="24"/>
          <w:szCs w:val="24"/>
        </w:rPr>
        <w:t>ateroscler</w:t>
      </w:r>
      <w:r w:rsidR="00894405" w:rsidRPr="00495A0D">
        <w:rPr>
          <w:rFonts w:ascii="Times New Roman" w:hAnsi="Times New Roman"/>
          <w:color w:val="000000" w:themeColor="text1"/>
          <w:sz w:val="24"/>
          <w:szCs w:val="24"/>
          <w:lang w:val="es-ES"/>
        </w:rPr>
        <w:t>ó</w:t>
      </w:r>
      <w:r w:rsidR="00894405" w:rsidRPr="00495A0D">
        <w:rPr>
          <w:rFonts w:ascii="Times New Roman" w:hAnsi="Times New Roman"/>
          <w:color w:val="000000" w:themeColor="text1"/>
          <w:sz w:val="24"/>
          <w:szCs w:val="24"/>
        </w:rPr>
        <w:t>tica</w:t>
      </w:r>
      <w:r w:rsidR="00B74A13" w:rsidRPr="00495A0D">
        <w:rPr>
          <w:rFonts w:ascii="Times New Roman" w:hAnsi="Times New Roman"/>
          <w:color w:val="000000" w:themeColor="text1"/>
          <w:sz w:val="24"/>
          <w:szCs w:val="24"/>
        </w:rPr>
        <w:t xml:space="preserve"> </w:t>
      </w:r>
      <w:r w:rsidR="00EB4CDC" w:rsidRPr="00495A0D">
        <w:rPr>
          <w:rFonts w:ascii="Times New Roman" w:hAnsi="Times New Roman"/>
          <w:color w:val="000000" w:themeColor="text1"/>
          <w:sz w:val="24"/>
          <w:szCs w:val="24"/>
        </w:rPr>
        <w:t>(Maggi,</w:t>
      </w:r>
      <w:r w:rsidR="00476AC0" w:rsidRPr="00495A0D">
        <w:rPr>
          <w:rFonts w:ascii="Times New Roman" w:hAnsi="Times New Roman"/>
          <w:color w:val="000000" w:themeColor="text1"/>
          <w:sz w:val="24"/>
          <w:szCs w:val="24"/>
        </w:rPr>
        <w:t xml:space="preserve"> Quadros, Azzolin, and Golmeier,</w:t>
      </w:r>
      <w:r w:rsidR="00EB4CDC" w:rsidRPr="00495A0D">
        <w:rPr>
          <w:rFonts w:ascii="Times New Roman" w:hAnsi="Times New Roman"/>
          <w:color w:val="000000" w:themeColor="text1"/>
          <w:sz w:val="24"/>
          <w:szCs w:val="24"/>
        </w:rPr>
        <w:t xml:space="preserve"> 2014,</w:t>
      </w:r>
      <w:r w:rsidR="00A023DE" w:rsidRPr="00495A0D">
        <w:rPr>
          <w:rFonts w:ascii="Times New Roman" w:hAnsi="Times New Roman"/>
          <w:color w:val="000000" w:themeColor="text1"/>
          <w:sz w:val="24"/>
          <w:szCs w:val="24"/>
        </w:rPr>
        <w:t xml:space="preserve"> p.</w:t>
      </w:r>
      <w:r w:rsidR="006A68E5" w:rsidRPr="00495A0D">
        <w:rPr>
          <w:rFonts w:ascii="Times New Roman" w:hAnsi="Times New Roman"/>
          <w:color w:val="000000" w:themeColor="text1"/>
          <w:sz w:val="24"/>
          <w:szCs w:val="24"/>
        </w:rPr>
        <w:t xml:space="preserve"> </w:t>
      </w:r>
      <w:r w:rsidR="00A023DE" w:rsidRPr="00495A0D">
        <w:rPr>
          <w:rFonts w:ascii="Times New Roman" w:hAnsi="Times New Roman"/>
          <w:color w:val="000000" w:themeColor="text1"/>
          <w:sz w:val="24"/>
          <w:szCs w:val="24"/>
        </w:rPr>
        <w:t>222).</w:t>
      </w:r>
    </w:p>
    <w:p w14:paraId="03EEA01D" w14:textId="64E5DCBA" w:rsidR="00965169" w:rsidRPr="00495A0D" w:rsidRDefault="006F5AA3" w:rsidP="00495A0D">
      <w:pPr>
        <w:spacing w:after="0" w:line="360" w:lineRule="auto"/>
        <w:ind w:firstLine="360"/>
        <w:jc w:val="both"/>
        <w:rPr>
          <w:rFonts w:ascii="Times New Roman" w:hAnsi="Times New Roman"/>
          <w:color w:val="000000" w:themeColor="text1"/>
          <w:sz w:val="24"/>
          <w:szCs w:val="24"/>
          <w:vertAlign w:val="superscript"/>
        </w:rPr>
      </w:pPr>
      <w:r w:rsidRPr="00495A0D">
        <w:rPr>
          <w:rFonts w:ascii="Times New Roman" w:hAnsi="Times New Roman"/>
          <w:color w:val="000000" w:themeColor="text1"/>
          <w:sz w:val="24"/>
          <w:szCs w:val="24"/>
        </w:rPr>
        <w:t>El</w:t>
      </w:r>
      <w:r w:rsidR="001B5DAF" w:rsidRPr="00495A0D">
        <w:rPr>
          <w:rFonts w:ascii="Times New Roman" w:hAnsi="Times New Roman"/>
          <w:color w:val="000000" w:themeColor="text1"/>
          <w:sz w:val="24"/>
          <w:szCs w:val="24"/>
        </w:rPr>
        <w:t xml:space="preserve"> producto de acumulación de lípidos</w:t>
      </w:r>
      <w:r w:rsidR="002912D6" w:rsidRPr="00495A0D">
        <w:rPr>
          <w:rFonts w:ascii="Times New Roman" w:hAnsi="Times New Roman"/>
          <w:color w:val="000000" w:themeColor="text1"/>
          <w:sz w:val="24"/>
          <w:szCs w:val="24"/>
        </w:rPr>
        <w:t xml:space="preserve"> se determinó mediante la medición de la circunferencia abdominal y</w:t>
      </w:r>
      <w:r w:rsidRPr="00495A0D">
        <w:rPr>
          <w:rFonts w:ascii="Times New Roman" w:hAnsi="Times New Roman"/>
          <w:color w:val="000000" w:themeColor="text1"/>
          <w:sz w:val="24"/>
          <w:szCs w:val="24"/>
        </w:rPr>
        <w:t xml:space="preserve"> la medición </w:t>
      </w:r>
      <w:r w:rsidR="00020DED" w:rsidRPr="00495A0D">
        <w:rPr>
          <w:rFonts w:ascii="Times New Roman" w:hAnsi="Times New Roman"/>
          <w:color w:val="000000" w:themeColor="text1"/>
          <w:sz w:val="24"/>
          <w:szCs w:val="24"/>
        </w:rPr>
        <w:t xml:space="preserve">sérica </w:t>
      </w:r>
      <w:r w:rsidRPr="00495A0D">
        <w:rPr>
          <w:rFonts w:ascii="Times New Roman" w:hAnsi="Times New Roman"/>
          <w:color w:val="000000" w:themeColor="text1"/>
          <w:sz w:val="24"/>
          <w:szCs w:val="24"/>
        </w:rPr>
        <w:t>de triglicéridos circu</w:t>
      </w:r>
      <w:r w:rsidR="001055DA" w:rsidRPr="00495A0D">
        <w:rPr>
          <w:rFonts w:ascii="Times New Roman" w:hAnsi="Times New Roman"/>
          <w:color w:val="000000" w:themeColor="text1"/>
          <w:sz w:val="24"/>
          <w:szCs w:val="24"/>
        </w:rPr>
        <w:t xml:space="preserve">lantes en </w:t>
      </w:r>
      <w:r w:rsidR="00EF64F7" w:rsidRPr="00495A0D">
        <w:rPr>
          <w:rFonts w:ascii="Times New Roman" w:hAnsi="Times New Roman"/>
          <w:color w:val="000000" w:themeColor="text1"/>
          <w:sz w:val="24"/>
          <w:szCs w:val="24"/>
        </w:rPr>
        <w:t>ayuno</w:t>
      </w:r>
      <w:r w:rsidR="003A0C39" w:rsidRPr="00495A0D">
        <w:rPr>
          <w:rFonts w:ascii="Times New Roman" w:hAnsi="Times New Roman"/>
          <w:color w:val="000000" w:themeColor="text1"/>
          <w:sz w:val="24"/>
          <w:szCs w:val="24"/>
        </w:rPr>
        <w:t>. L</w:t>
      </w:r>
      <w:r w:rsidR="00EF64F7" w:rsidRPr="00495A0D">
        <w:rPr>
          <w:rFonts w:ascii="Times New Roman" w:hAnsi="Times New Roman"/>
          <w:color w:val="000000" w:themeColor="text1"/>
          <w:sz w:val="24"/>
          <w:szCs w:val="24"/>
        </w:rPr>
        <w:t>a cifra de referencia se calculó mediante</w:t>
      </w:r>
      <w:r w:rsidR="001B5DAF" w:rsidRPr="00495A0D">
        <w:rPr>
          <w:rFonts w:ascii="Times New Roman" w:hAnsi="Times New Roman"/>
          <w:color w:val="000000" w:themeColor="text1"/>
          <w:sz w:val="24"/>
          <w:szCs w:val="24"/>
        </w:rPr>
        <w:t xml:space="preserve"> la siguiente fórmula: </w:t>
      </w:r>
      <w:r w:rsidR="00373141" w:rsidRPr="00495A0D">
        <w:rPr>
          <w:rFonts w:ascii="Times New Roman" w:hAnsi="Times New Roman"/>
          <w:color w:val="000000" w:themeColor="text1"/>
          <w:sz w:val="24"/>
          <w:szCs w:val="24"/>
        </w:rPr>
        <w:t>“</w:t>
      </w:r>
      <w:r w:rsidR="001B5DAF" w:rsidRPr="00495A0D">
        <w:rPr>
          <w:rFonts w:ascii="Times New Roman" w:hAnsi="Times New Roman"/>
          <w:color w:val="000000" w:themeColor="text1"/>
          <w:sz w:val="24"/>
          <w:szCs w:val="24"/>
        </w:rPr>
        <w:t>(Circunferencia abdominal en cms – 65) x (Triglicéridos en mmol/l) para hombres y (Circunferencia abdominal en cms – 58) x (Triglicéridos en mmol/l) para mujeres</w:t>
      </w:r>
      <w:r w:rsidR="00373141" w:rsidRPr="00495A0D">
        <w:rPr>
          <w:rFonts w:ascii="Times New Roman" w:hAnsi="Times New Roman"/>
          <w:color w:val="000000" w:themeColor="text1"/>
          <w:sz w:val="24"/>
          <w:szCs w:val="24"/>
        </w:rPr>
        <w:t>”</w:t>
      </w:r>
      <w:r w:rsidR="00166E30" w:rsidRPr="00495A0D">
        <w:rPr>
          <w:rFonts w:ascii="Times New Roman" w:hAnsi="Times New Roman"/>
          <w:color w:val="000000" w:themeColor="text1"/>
          <w:sz w:val="24"/>
          <w:szCs w:val="24"/>
        </w:rPr>
        <w:t xml:space="preserve"> </w:t>
      </w:r>
      <w:r w:rsidR="001C6D7C" w:rsidRPr="00495A0D">
        <w:rPr>
          <w:rFonts w:ascii="Times New Roman" w:hAnsi="Times New Roman"/>
          <w:color w:val="000000" w:themeColor="text1"/>
          <w:sz w:val="24"/>
          <w:szCs w:val="24"/>
        </w:rPr>
        <w:t xml:space="preserve">(Ioachimescu </w:t>
      </w:r>
      <w:r w:rsidR="001C6D7C" w:rsidRPr="00495A0D">
        <w:rPr>
          <w:rFonts w:ascii="Times New Roman" w:hAnsi="Times New Roman"/>
          <w:i/>
          <w:color w:val="000000" w:themeColor="text1"/>
          <w:sz w:val="24"/>
          <w:szCs w:val="24"/>
        </w:rPr>
        <w:t>et</w:t>
      </w:r>
      <w:r w:rsidR="003A0C39" w:rsidRPr="00495A0D">
        <w:rPr>
          <w:rFonts w:ascii="Times New Roman" w:hAnsi="Times New Roman"/>
          <w:i/>
          <w:color w:val="000000" w:themeColor="text1"/>
          <w:sz w:val="24"/>
          <w:szCs w:val="24"/>
        </w:rPr>
        <w:t xml:space="preserve"> </w:t>
      </w:r>
      <w:r w:rsidR="001C6D7C" w:rsidRPr="00495A0D">
        <w:rPr>
          <w:rFonts w:ascii="Times New Roman" w:hAnsi="Times New Roman"/>
          <w:i/>
          <w:color w:val="000000" w:themeColor="text1"/>
          <w:sz w:val="24"/>
          <w:szCs w:val="24"/>
        </w:rPr>
        <w:t>al</w:t>
      </w:r>
      <w:r w:rsidR="003A0C39" w:rsidRPr="00495A0D">
        <w:rPr>
          <w:rFonts w:ascii="Times New Roman" w:hAnsi="Times New Roman"/>
          <w:i/>
          <w:color w:val="000000" w:themeColor="text1"/>
          <w:sz w:val="24"/>
          <w:szCs w:val="24"/>
        </w:rPr>
        <w:t>.</w:t>
      </w:r>
      <w:r w:rsidR="001C6D7C" w:rsidRPr="00495A0D">
        <w:rPr>
          <w:rFonts w:ascii="Times New Roman" w:hAnsi="Times New Roman"/>
          <w:color w:val="000000" w:themeColor="text1"/>
          <w:sz w:val="24"/>
          <w:szCs w:val="24"/>
        </w:rPr>
        <w:t>, 2010, p.</w:t>
      </w:r>
      <w:r w:rsidR="003A0C39" w:rsidRPr="00495A0D">
        <w:rPr>
          <w:rFonts w:ascii="Times New Roman" w:hAnsi="Times New Roman"/>
          <w:color w:val="000000" w:themeColor="text1"/>
          <w:sz w:val="24"/>
          <w:szCs w:val="24"/>
        </w:rPr>
        <w:t xml:space="preserve"> </w:t>
      </w:r>
      <w:r w:rsidR="00B52805" w:rsidRPr="00495A0D">
        <w:rPr>
          <w:rFonts w:ascii="Times New Roman" w:hAnsi="Times New Roman"/>
          <w:color w:val="000000" w:themeColor="text1"/>
          <w:sz w:val="24"/>
          <w:szCs w:val="24"/>
        </w:rPr>
        <w:t>1837).</w:t>
      </w:r>
    </w:p>
    <w:p w14:paraId="1B9BF417" w14:textId="6151B957" w:rsidR="001731E1" w:rsidRPr="00495A0D" w:rsidRDefault="00847450" w:rsidP="00495A0D">
      <w:pPr>
        <w:spacing w:after="0" w:line="360" w:lineRule="auto"/>
        <w:ind w:firstLine="360"/>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Para cuantifica</w:t>
      </w:r>
      <w:r w:rsidR="004C771E" w:rsidRPr="00495A0D">
        <w:rPr>
          <w:rFonts w:ascii="Times New Roman" w:hAnsi="Times New Roman"/>
          <w:color w:val="000000" w:themeColor="text1"/>
          <w:sz w:val="24"/>
          <w:szCs w:val="24"/>
        </w:rPr>
        <w:t>r el nivel de estrés</w:t>
      </w:r>
      <w:r w:rsidRPr="00495A0D">
        <w:rPr>
          <w:rFonts w:ascii="Times New Roman" w:hAnsi="Times New Roman"/>
          <w:color w:val="000000" w:themeColor="text1"/>
          <w:sz w:val="24"/>
          <w:szCs w:val="24"/>
        </w:rPr>
        <w:t xml:space="preserve"> psicológico</w:t>
      </w:r>
      <w:r w:rsidR="004C771E" w:rsidRPr="00495A0D">
        <w:rPr>
          <w:rFonts w:ascii="Times New Roman" w:hAnsi="Times New Roman"/>
          <w:color w:val="000000" w:themeColor="text1"/>
          <w:sz w:val="24"/>
          <w:szCs w:val="24"/>
        </w:rPr>
        <w:t xml:space="preserve"> del profesional de enfermería se utilizó la escala de reajuste social de Holmes y Rahe</w:t>
      </w:r>
      <w:r w:rsidR="00E96C22" w:rsidRPr="00495A0D">
        <w:rPr>
          <w:rFonts w:ascii="Times New Roman" w:hAnsi="Times New Roman"/>
          <w:color w:val="000000" w:themeColor="text1"/>
          <w:sz w:val="24"/>
          <w:szCs w:val="24"/>
        </w:rPr>
        <w:t xml:space="preserve"> para </w:t>
      </w:r>
      <w:r w:rsidR="00B369D8" w:rsidRPr="00495A0D">
        <w:rPr>
          <w:rFonts w:ascii="Times New Roman" w:hAnsi="Times New Roman"/>
          <w:color w:val="000000" w:themeColor="text1"/>
          <w:sz w:val="24"/>
          <w:szCs w:val="24"/>
        </w:rPr>
        <w:t>e</w:t>
      </w:r>
      <w:r w:rsidR="00E96C22" w:rsidRPr="00495A0D">
        <w:rPr>
          <w:rFonts w:ascii="Times New Roman" w:hAnsi="Times New Roman"/>
          <w:color w:val="000000" w:themeColor="text1"/>
          <w:sz w:val="24"/>
          <w:szCs w:val="24"/>
        </w:rPr>
        <w:t>valuar los acontecimientos vitales estresantes por los que atraviesan los profesionales de enfermería y</w:t>
      </w:r>
      <w:r w:rsidR="003A0C39" w:rsidRPr="00495A0D">
        <w:rPr>
          <w:rFonts w:ascii="Times New Roman" w:hAnsi="Times New Roman"/>
          <w:color w:val="000000" w:themeColor="text1"/>
          <w:sz w:val="24"/>
          <w:szCs w:val="24"/>
        </w:rPr>
        <w:t>,</w:t>
      </w:r>
      <w:r w:rsidR="00E96C22" w:rsidRPr="00495A0D">
        <w:rPr>
          <w:rFonts w:ascii="Times New Roman" w:hAnsi="Times New Roman"/>
          <w:color w:val="000000" w:themeColor="text1"/>
          <w:sz w:val="24"/>
          <w:szCs w:val="24"/>
        </w:rPr>
        <w:t xml:space="preserve"> a partir de esta puntuación</w:t>
      </w:r>
      <w:r w:rsidR="003A0C39" w:rsidRPr="00495A0D">
        <w:rPr>
          <w:rFonts w:ascii="Times New Roman" w:hAnsi="Times New Roman"/>
          <w:color w:val="000000" w:themeColor="text1"/>
          <w:sz w:val="24"/>
          <w:szCs w:val="24"/>
        </w:rPr>
        <w:t>,</w:t>
      </w:r>
      <w:r w:rsidR="00E462E1" w:rsidRPr="00495A0D">
        <w:rPr>
          <w:rFonts w:ascii="Times New Roman" w:hAnsi="Times New Roman"/>
          <w:color w:val="000000" w:themeColor="text1"/>
          <w:sz w:val="24"/>
          <w:szCs w:val="24"/>
        </w:rPr>
        <w:t xml:space="preserve"> predecir la probabilidad que tenían</w:t>
      </w:r>
      <w:r w:rsidR="00E96C22" w:rsidRPr="00495A0D">
        <w:rPr>
          <w:rFonts w:ascii="Times New Roman" w:hAnsi="Times New Roman"/>
          <w:color w:val="000000" w:themeColor="text1"/>
          <w:sz w:val="24"/>
          <w:szCs w:val="24"/>
        </w:rPr>
        <w:t xml:space="preserve"> de enfermar en un tiempo cercano</w:t>
      </w:r>
      <w:r w:rsidR="00D41255" w:rsidRPr="00495A0D">
        <w:rPr>
          <w:rFonts w:ascii="Times New Roman" w:hAnsi="Times New Roman"/>
          <w:color w:val="000000" w:themeColor="text1"/>
          <w:sz w:val="24"/>
          <w:szCs w:val="24"/>
        </w:rPr>
        <w:t xml:space="preserve"> (Suárez, 2010).</w:t>
      </w:r>
    </w:p>
    <w:p w14:paraId="2EFF1F3F" w14:textId="5864A914" w:rsidR="00453678" w:rsidRDefault="00014E10" w:rsidP="00495A0D">
      <w:pPr>
        <w:spacing w:after="0" w:line="360" w:lineRule="auto"/>
        <w:ind w:firstLine="360"/>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lastRenderedPageBreak/>
        <w:t xml:space="preserve">El costo de pruebas, material y equipo </w:t>
      </w:r>
      <w:r w:rsidR="00C43A1E" w:rsidRPr="00495A0D">
        <w:rPr>
          <w:rFonts w:ascii="Times New Roman" w:hAnsi="Times New Roman"/>
          <w:color w:val="000000" w:themeColor="text1"/>
          <w:sz w:val="24"/>
          <w:szCs w:val="24"/>
        </w:rPr>
        <w:t>utilizados fueron asumidos en su totalidad por los investigadores.</w:t>
      </w:r>
    </w:p>
    <w:p w14:paraId="28B74B4B" w14:textId="77777777" w:rsidR="00B07455" w:rsidRPr="00447037" w:rsidRDefault="00B07455" w:rsidP="00495A0D">
      <w:pPr>
        <w:spacing w:after="0" w:line="360" w:lineRule="auto"/>
        <w:ind w:firstLine="360"/>
        <w:jc w:val="both"/>
        <w:rPr>
          <w:rFonts w:ascii="Arial" w:hAnsi="Arial" w:cs="Arial"/>
          <w:color w:val="000000" w:themeColor="text1"/>
          <w:sz w:val="24"/>
          <w:szCs w:val="24"/>
        </w:rPr>
      </w:pPr>
    </w:p>
    <w:p w14:paraId="64E1EE77" w14:textId="77777777" w:rsidR="00B369D8" w:rsidRPr="00447037" w:rsidRDefault="00B369D8" w:rsidP="00D24753">
      <w:pPr>
        <w:spacing w:after="0"/>
        <w:jc w:val="both"/>
        <w:rPr>
          <w:rFonts w:ascii="Arial" w:hAnsi="Arial" w:cs="Arial"/>
          <w:color w:val="000000" w:themeColor="text1"/>
          <w:sz w:val="24"/>
          <w:szCs w:val="24"/>
        </w:rPr>
      </w:pPr>
    </w:p>
    <w:p w14:paraId="34C52388" w14:textId="77777777" w:rsidR="00F82D31" w:rsidRPr="00162A70" w:rsidRDefault="00B278F9" w:rsidP="00D24753">
      <w:pPr>
        <w:spacing w:after="0"/>
        <w:jc w:val="both"/>
        <w:rPr>
          <w:rFonts w:cs="Calibri"/>
          <w:b/>
          <w:color w:val="000000" w:themeColor="text1"/>
          <w:sz w:val="28"/>
          <w:szCs w:val="28"/>
          <w:lang w:val="es-ES" w:eastAsia="es-ES"/>
        </w:rPr>
      </w:pPr>
      <w:r w:rsidRPr="00162A70">
        <w:rPr>
          <w:rFonts w:cs="Calibri"/>
          <w:b/>
          <w:color w:val="000000" w:themeColor="text1"/>
          <w:sz w:val="28"/>
          <w:szCs w:val="28"/>
          <w:lang w:val="es-ES" w:eastAsia="es-ES"/>
        </w:rPr>
        <w:t>Resultados</w:t>
      </w:r>
    </w:p>
    <w:p w14:paraId="64B46035" w14:textId="0B77D391" w:rsidR="003E650A" w:rsidRPr="00495A0D" w:rsidRDefault="00B278F9"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Los profesionales de enfermería asignados a la </w:t>
      </w:r>
      <w:r w:rsidR="00C73CE8" w:rsidRPr="00495A0D">
        <w:rPr>
          <w:rFonts w:ascii="Times New Roman" w:hAnsi="Times New Roman"/>
          <w:color w:val="000000" w:themeColor="text1"/>
          <w:sz w:val="24"/>
          <w:szCs w:val="24"/>
        </w:rPr>
        <w:t xml:space="preserve">UCI </w:t>
      </w:r>
      <w:r w:rsidR="002A09B1" w:rsidRPr="00495A0D">
        <w:rPr>
          <w:rFonts w:ascii="Times New Roman" w:hAnsi="Times New Roman"/>
          <w:color w:val="000000" w:themeColor="text1"/>
          <w:sz w:val="24"/>
          <w:szCs w:val="24"/>
        </w:rPr>
        <w:t xml:space="preserve">se encontraban en </w:t>
      </w:r>
      <w:r w:rsidRPr="00495A0D">
        <w:rPr>
          <w:rFonts w:ascii="Times New Roman" w:hAnsi="Times New Roman"/>
          <w:color w:val="000000" w:themeColor="text1"/>
          <w:sz w:val="24"/>
          <w:szCs w:val="24"/>
        </w:rPr>
        <w:t xml:space="preserve">un </w:t>
      </w:r>
      <w:r w:rsidR="002A09B1" w:rsidRPr="00495A0D">
        <w:rPr>
          <w:rFonts w:ascii="Times New Roman" w:hAnsi="Times New Roman"/>
          <w:color w:val="000000" w:themeColor="text1"/>
          <w:sz w:val="24"/>
          <w:szCs w:val="24"/>
        </w:rPr>
        <w:t xml:space="preserve">intervalo </w:t>
      </w:r>
      <w:r w:rsidRPr="00495A0D">
        <w:rPr>
          <w:rFonts w:ascii="Times New Roman" w:hAnsi="Times New Roman"/>
          <w:color w:val="000000" w:themeColor="text1"/>
          <w:sz w:val="24"/>
          <w:szCs w:val="24"/>
        </w:rPr>
        <w:t>de edad entre los 30 y</w:t>
      </w:r>
      <w:r w:rsidR="00946020" w:rsidRPr="00495A0D">
        <w:rPr>
          <w:rFonts w:ascii="Times New Roman" w:hAnsi="Times New Roman"/>
          <w:color w:val="000000" w:themeColor="text1"/>
          <w:sz w:val="24"/>
          <w:szCs w:val="24"/>
        </w:rPr>
        <w:t xml:space="preserve"> 54 años</w:t>
      </w:r>
      <w:r w:rsidR="002A09B1" w:rsidRPr="00495A0D">
        <w:rPr>
          <w:rFonts w:ascii="Times New Roman" w:hAnsi="Times New Roman"/>
          <w:color w:val="000000" w:themeColor="text1"/>
          <w:sz w:val="24"/>
          <w:szCs w:val="24"/>
        </w:rPr>
        <w:t>,</w:t>
      </w:r>
      <w:r w:rsidR="00946020" w:rsidRPr="00495A0D">
        <w:rPr>
          <w:rFonts w:ascii="Times New Roman" w:hAnsi="Times New Roman"/>
          <w:color w:val="000000" w:themeColor="text1"/>
          <w:sz w:val="24"/>
          <w:szCs w:val="24"/>
        </w:rPr>
        <w:t xml:space="preserve"> siendo</w:t>
      </w:r>
      <w:r w:rsidR="009B6C59" w:rsidRPr="00495A0D">
        <w:rPr>
          <w:rFonts w:ascii="Times New Roman" w:hAnsi="Times New Roman"/>
          <w:color w:val="000000" w:themeColor="text1"/>
          <w:sz w:val="24"/>
          <w:szCs w:val="24"/>
        </w:rPr>
        <w:t xml:space="preserve"> la edad promedio </w:t>
      </w:r>
      <w:r w:rsidR="005F1E11" w:rsidRPr="00495A0D">
        <w:rPr>
          <w:rFonts w:ascii="Times New Roman" w:hAnsi="Times New Roman"/>
          <w:color w:val="000000" w:themeColor="text1"/>
          <w:sz w:val="24"/>
          <w:szCs w:val="24"/>
        </w:rPr>
        <w:t>de 39.6</w:t>
      </w:r>
      <w:r w:rsidRPr="00495A0D">
        <w:rPr>
          <w:rFonts w:ascii="Times New Roman" w:hAnsi="Times New Roman"/>
          <w:color w:val="000000" w:themeColor="text1"/>
          <w:sz w:val="24"/>
          <w:szCs w:val="24"/>
        </w:rPr>
        <w:t xml:space="preserve"> años, predominando las mujeres respecto a los hombre</w:t>
      </w:r>
      <w:r w:rsidR="00A462B2" w:rsidRPr="00495A0D">
        <w:rPr>
          <w:rFonts w:ascii="Times New Roman" w:hAnsi="Times New Roman"/>
          <w:color w:val="000000" w:themeColor="text1"/>
          <w:sz w:val="24"/>
          <w:szCs w:val="24"/>
        </w:rPr>
        <w:t>s</w:t>
      </w:r>
      <w:r w:rsidRPr="00495A0D">
        <w:rPr>
          <w:rFonts w:ascii="Times New Roman" w:hAnsi="Times New Roman"/>
          <w:color w:val="000000" w:themeColor="text1"/>
          <w:sz w:val="24"/>
          <w:szCs w:val="24"/>
        </w:rPr>
        <w:t>.</w:t>
      </w:r>
    </w:p>
    <w:p w14:paraId="2E07D25F" w14:textId="6816BE9A" w:rsidR="004035AE" w:rsidRPr="00495A0D" w:rsidRDefault="004035AE"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En cuanto al riesgo cardiovascular</w:t>
      </w:r>
      <w:r w:rsidR="002A09B1"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calculado mediante la escala de Framingham</w:t>
      </w:r>
      <w:r w:rsidR="002A09B1"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el </w:t>
      </w:r>
      <w:r w:rsidR="002A09B1" w:rsidRPr="00495A0D">
        <w:rPr>
          <w:rFonts w:ascii="Times New Roman" w:hAnsi="Times New Roman"/>
          <w:color w:val="000000" w:themeColor="text1"/>
          <w:sz w:val="24"/>
          <w:szCs w:val="24"/>
        </w:rPr>
        <w:t xml:space="preserve">intervalo </w:t>
      </w:r>
      <w:r w:rsidRPr="00495A0D">
        <w:rPr>
          <w:rFonts w:ascii="Times New Roman" w:hAnsi="Times New Roman"/>
          <w:color w:val="000000" w:themeColor="text1"/>
          <w:sz w:val="24"/>
          <w:szCs w:val="24"/>
        </w:rPr>
        <w:t>observado fue de 0.6</w:t>
      </w:r>
      <w:r w:rsidR="00BE3935"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 a 9</w:t>
      </w:r>
      <w:r w:rsidR="00BE3935" w:rsidRPr="00495A0D">
        <w:rPr>
          <w:rFonts w:ascii="Times New Roman" w:hAnsi="Times New Roman"/>
          <w:color w:val="000000" w:themeColor="text1"/>
          <w:sz w:val="24"/>
          <w:szCs w:val="24"/>
        </w:rPr>
        <w:t xml:space="preserve"> </w:t>
      </w:r>
      <w:r w:rsidR="00A225C7" w:rsidRPr="00495A0D">
        <w:rPr>
          <w:rFonts w:ascii="Times New Roman" w:hAnsi="Times New Roman"/>
          <w:color w:val="000000" w:themeColor="text1"/>
          <w:sz w:val="24"/>
          <w:szCs w:val="24"/>
        </w:rPr>
        <w:t xml:space="preserve">%, mientras que </w:t>
      </w:r>
      <w:r w:rsidR="00E20D43" w:rsidRPr="00495A0D">
        <w:rPr>
          <w:rFonts w:ascii="Times New Roman" w:hAnsi="Times New Roman"/>
          <w:color w:val="000000" w:themeColor="text1"/>
          <w:sz w:val="24"/>
          <w:szCs w:val="24"/>
        </w:rPr>
        <w:t xml:space="preserve">con </w:t>
      </w:r>
      <w:r w:rsidR="00BE3935" w:rsidRPr="00495A0D">
        <w:rPr>
          <w:rFonts w:ascii="Times New Roman" w:hAnsi="Times New Roman"/>
          <w:color w:val="000000" w:themeColor="text1"/>
          <w:sz w:val="24"/>
          <w:szCs w:val="24"/>
        </w:rPr>
        <w:t xml:space="preserve">ASCVD </w:t>
      </w:r>
      <w:r w:rsidR="00A225C7" w:rsidRPr="00495A0D">
        <w:rPr>
          <w:rFonts w:ascii="Times New Roman" w:hAnsi="Times New Roman"/>
          <w:color w:val="000000" w:themeColor="text1"/>
          <w:sz w:val="24"/>
          <w:szCs w:val="24"/>
        </w:rPr>
        <w:t xml:space="preserve">score </w:t>
      </w:r>
      <w:r w:rsidR="00BE3935" w:rsidRPr="00495A0D">
        <w:rPr>
          <w:rFonts w:ascii="Times New Roman" w:hAnsi="Times New Roman"/>
          <w:color w:val="000000" w:themeColor="text1"/>
          <w:sz w:val="24"/>
          <w:szCs w:val="24"/>
        </w:rPr>
        <w:t>—</w:t>
      </w:r>
      <w:r w:rsidR="00A225C7" w:rsidRPr="00495A0D">
        <w:rPr>
          <w:rFonts w:ascii="Times New Roman" w:hAnsi="Times New Roman"/>
          <w:color w:val="000000" w:themeColor="text1"/>
          <w:sz w:val="24"/>
          <w:szCs w:val="24"/>
        </w:rPr>
        <w:t>a 10 años</w:t>
      </w:r>
      <w:r w:rsidR="00BE3935" w:rsidRPr="00495A0D">
        <w:rPr>
          <w:rFonts w:ascii="Times New Roman" w:hAnsi="Times New Roman"/>
          <w:color w:val="000000" w:themeColor="text1"/>
          <w:sz w:val="24"/>
          <w:szCs w:val="24"/>
        </w:rPr>
        <w:t>—</w:t>
      </w:r>
      <w:r w:rsidR="00A225C7" w:rsidRPr="00495A0D">
        <w:rPr>
          <w:rFonts w:ascii="Times New Roman" w:hAnsi="Times New Roman"/>
          <w:color w:val="000000" w:themeColor="text1"/>
          <w:sz w:val="24"/>
          <w:szCs w:val="24"/>
        </w:rPr>
        <w:t xml:space="preserve"> el</w:t>
      </w:r>
      <w:r w:rsidRPr="00495A0D">
        <w:rPr>
          <w:rFonts w:ascii="Times New Roman" w:hAnsi="Times New Roman"/>
          <w:color w:val="000000" w:themeColor="text1"/>
          <w:sz w:val="24"/>
          <w:szCs w:val="24"/>
        </w:rPr>
        <w:t xml:space="preserve"> promedio fue de 1.4</w:t>
      </w:r>
      <w:r w:rsidR="00BE3935"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 xml:space="preserve">% y el riesgo </w:t>
      </w:r>
      <w:r w:rsidR="00B110B3" w:rsidRPr="00495A0D">
        <w:rPr>
          <w:rFonts w:ascii="Times New Roman" w:hAnsi="Times New Roman"/>
          <w:color w:val="000000" w:themeColor="text1"/>
          <w:sz w:val="24"/>
          <w:szCs w:val="24"/>
        </w:rPr>
        <w:t xml:space="preserve">cardiovascular </w:t>
      </w:r>
      <w:r w:rsidRPr="00495A0D">
        <w:rPr>
          <w:rFonts w:ascii="Times New Roman" w:hAnsi="Times New Roman"/>
          <w:color w:val="000000" w:themeColor="text1"/>
          <w:sz w:val="24"/>
          <w:szCs w:val="24"/>
        </w:rPr>
        <w:t xml:space="preserve">para toda la vida </w:t>
      </w:r>
      <w:r w:rsidR="00BE3935"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en promedio</w:t>
      </w:r>
      <w:r w:rsidR="00BE3935"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fue de 34.7</w:t>
      </w:r>
      <w:r w:rsidR="00BE3935" w:rsidRPr="00495A0D">
        <w:rPr>
          <w:rFonts w:ascii="Times New Roman" w:hAnsi="Times New Roman"/>
          <w:color w:val="000000" w:themeColor="text1"/>
          <w:sz w:val="24"/>
          <w:szCs w:val="24"/>
        </w:rPr>
        <w:t xml:space="preserve"> %. Por </w:t>
      </w:r>
      <w:r w:rsidRPr="00495A0D">
        <w:rPr>
          <w:rFonts w:ascii="Times New Roman" w:hAnsi="Times New Roman"/>
          <w:color w:val="000000" w:themeColor="text1"/>
          <w:sz w:val="24"/>
          <w:szCs w:val="24"/>
        </w:rPr>
        <w:t xml:space="preserve">otra </w:t>
      </w:r>
      <w:r w:rsidR="00E20D43" w:rsidRPr="00495A0D">
        <w:rPr>
          <w:rFonts w:ascii="Times New Roman" w:hAnsi="Times New Roman"/>
          <w:color w:val="000000" w:themeColor="text1"/>
          <w:sz w:val="24"/>
          <w:szCs w:val="24"/>
        </w:rPr>
        <w:t>parte,</w:t>
      </w:r>
      <w:r w:rsidRPr="00495A0D">
        <w:rPr>
          <w:rFonts w:ascii="Times New Roman" w:hAnsi="Times New Roman"/>
          <w:color w:val="000000" w:themeColor="text1"/>
          <w:sz w:val="24"/>
          <w:szCs w:val="24"/>
        </w:rPr>
        <w:t xml:space="preserve"> el riesgo</w:t>
      </w:r>
      <w:r w:rsidR="00E86615" w:rsidRPr="00495A0D">
        <w:rPr>
          <w:rFonts w:ascii="Times New Roman" w:hAnsi="Times New Roman"/>
          <w:color w:val="000000" w:themeColor="text1"/>
          <w:sz w:val="24"/>
          <w:szCs w:val="24"/>
        </w:rPr>
        <w:t xml:space="preserve"> calculado para toda la</w:t>
      </w:r>
      <w:r w:rsidR="002D2FE8" w:rsidRPr="00495A0D">
        <w:rPr>
          <w:rFonts w:ascii="Times New Roman" w:hAnsi="Times New Roman"/>
          <w:color w:val="000000" w:themeColor="text1"/>
          <w:sz w:val="24"/>
          <w:szCs w:val="24"/>
        </w:rPr>
        <w:t xml:space="preserve"> vida si la enfermera(o) hubiese tenido</w:t>
      </w:r>
      <w:r w:rsidRPr="00495A0D">
        <w:rPr>
          <w:rFonts w:ascii="Times New Roman" w:hAnsi="Times New Roman"/>
          <w:color w:val="000000" w:themeColor="text1"/>
          <w:sz w:val="24"/>
          <w:szCs w:val="24"/>
        </w:rPr>
        <w:t xml:space="preserve"> fa</w:t>
      </w:r>
      <w:r w:rsidR="002D2FE8" w:rsidRPr="00495A0D">
        <w:rPr>
          <w:rFonts w:ascii="Times New Roman" w:hAnsi="Times New Roman"/>
          <w:color w:val="000000" w:themeColor="text1"/>
          <w:sz w:val="24"/>
          <w:szCs w:val="24"/>
        </w:rPr>
        <w:t>ctores de riesgo controlados</w:t>
      </w:r>
      <w:r w:rsidRPr="00495A0D">
        <w:rPr>
          <w:rFonts w:ascii="Times New Roman" w:hAnsi="Times New Roman"/>
          <w:color w:val="000000" w:themeColor="text1"/>
          <w:sz w:val="24"/>
          <w:szCs w:val="24"/>
        </w:rPr>
        <w:t xml:space="preserve"> en promedio </w:t>
      </w:r>
      <w:r w:rsidR="002D2FE8" w:rsidRPr="00495A0D">
        <w:rPr>
          <w:rFonts w:ascii="Times New Roman" w:hAnsi="Times New Roman"/>
          <w:color w:val="000000" w:themeColor="text1"/>
          <w:sz w:val="24"/>
          <w:szCs w:val="24"/>
        </w:rPr>
        <w:t xml:space="preserve">fue </w:t>
      </w:r>
      <w:r w:rsidRPr="00495A0D">
        <w:rPr>
          <w:rFonts w:ascii="Times New Roman" w:hAnsi="Times New Roman"/>
          <w:color w:val="000000" w:themeColor="text1"/>
          <w:sz w:val="24"/>
          <w:szCs w:val="24"/>
        </w:rPr>
        <w:t>de 7.6</w:t>
      </w:r>
      <w:r w:rsidR="00BE3935" w:rsidRPr="00495A0D">
        <w:rPr>
          <w:rFonts w:ascii="Times New Roman" w:hAnsi="Times New Roman"/>
          <w:color w:val="000000" w:themeColor="text1"/>
          <w:sz w:val="24"/>
          <w:szCs w:val="24"/>
        </w:rPr>
        <w:t xml:space="preserve"> %, </w:t>
      </w:r>
      <w:r w:rsidRPr="00495A0D">
        <w:rPr>
          <w:rFonts w:ascii="Times New Roman" w:hAnsi="Times New Roman"/>
          <w:color w:val="000000" w:themeColor="text1"/>
          <w:sz w:val="24"/>
          <w:szCs w:val="24"/>
        </w:rPr>
        <w:t>categorizando a los profesionales de enfermería en una categoría de rie</w:t>
      </w:r>
      <w:r w:rsidR="007D12FF" w:rsidRPr="00495A0D">
        <w:rPr>
          <w:rFonts w:ascii="Times New Roman" w:hAnsi="Times New Roman"/>
          <w:color w:val="000000" w:themeColor="text1"/>
          <w:sz w:val="24"/>
          <w:szCs w:val="24"/>
        </w:rPr>
        <w:t>sgo cardiovascular bajo</w:t>
      </w:r>
      <w:r w:rsidR="005269D1" w:rsidRPr="00495A0D">
        <w:rPr>
          <w:rFonts w:ascii="Times New Roman" w:hAnsi="Times New Roman"/>
          <w:color w:val="000000" w:themeColor="text1"/>
          <w:sz w:val="24"/>
          <w:szCs w:val="24"/>
        </w:rPr>
        <w:t xml:space="preserve"> (Tabla 2).</w:t>
      </w:r>
    </w:p>
    <w:p w14:paraId="6BDE9321" w14:textId="57E92534" w:rsidR="00ED1CB8" w:rsidRDefault="00ED1CB8" w:rsidP="00495A0D">
      <w:pPr>
        <w:spacing w:after="0" w:line="360" w:lineRule="auto"/>
        <w:jc w:val="both"/>
        <w:rPr>
          <w:rFonts w:ascii="Times New Roman" w:hAnsi="Times New Roman"/>
          <w:color w:val="000000" w:themeColor="text1"/>
          <w:sz w:val="24"/>
          <w:szCs w:val="24"/>
        </w:rPr>
      </w:pPr>
    </w:p>
    <w:p w14:paraId="2645240B" w14:textId="45847FE7" w:rsidR="00D27A09" w:rsidRDefault="00D27A09" w:rsidP="00495A0D">
      <w:pPr>
        <w:spacing w:after="0" w:line="360" w:lineRule="auto"/>
        <w:jc w:val="both"/>
        <w:rPr>
          <w:rFonts w:ascii="Times New Roman" w:hAnsi="Times New Roman"/>
          <w:color w:val="000000" w:themeColor="text1"/>
          <w:sz w:val="24"/>
          <w:szCs w:val="24"/>
        </w:rPr>
      </w:pPr>
    </w:p>
    <w:p w14:paraId="072BACD2" w14:textId="319196FB" w:rsidR="00D27A09" w:rsidRDefault="00D27A09" w:rsidP="00495A0D">
      <w:pPr>
        <w:spacing w:after="0" w:line="360" w:lineRule="auto"/>
        <w:jc w:val="both"/>
        <w:rPr>
          <w:rFonts w:ascii="Times New Roman" w:hAnsi="Times New Roman"/>
          <w:color w:val="000000" w:themeColor="text1"/>
          <w:sz w:val="24"/>
          <w:szCs w:val="24"/>
        </w:rPr>
      </w:pPr>
    </w:p>
    <w:p w14:paraId="3959F8D8" w14:textId="4BAC5241" w:rsidR="00D27A09" w:rsidRDefault="00D27A09" w:rsidP="00495A0D">
      <w:pPr>
        <w:spacing w:after="0" w:line="360" w:lineRule="auto"/>
        <w:jc w:val="both"/>
        <w:rPr>
          <w:rFonts w:ascii="Times New Roman" w:hAnsi="Times New Roman"/>
          <w:color w:val="000000" w:themeColor="text1"/>
          <w:sz w:val="24"/>
          <w:szCs w:val="24"/>
        </w:rPr>
      </w:pPr>
    </w:p>
    <w:p w14:paraId="2CDC7503" w14:textId="2081AF10" w:rsidR="00D27A09" w:rsidRDefault="00D27A09" w:rsidP="00495A0D">
      <w:pPr>
        <w:spacing w:after="0" w:line="360" w:lineRule="auto"/>
        <w:jc w:val="both"/>
        <w:rPr>
          <w:rFonts w:ascii="Times New Roman" w:hAnsi="Times New Roman"/>
          <w:color w:val="000000" w:themeColor="text1"/>
          <w:sz w:val="24"/>
          <w:szCs w:val="24"/>
        </w:rPr>
      </w:pPr>
    </w:p>
    <w:p w14:paraId="2A25AA6B" w14:textId="020787CB" w:rsidR="00D27A09" w:rsidRDefault="00D27A09" w:rsidP="00495A0D">
      <w:pPr>
        <w:spacing w:after="0" w:line="360" w:lineRule="auto"/>
        <w:jc w:val="both"/>
        <w:rPr>
          <w:rFonts w:ascii="Times New Roman" w:hAnsi="Times New Roman"/>
          <w:color w:val="000000" w:themeColor="text1"/>
          <w:sz w:val="24"/>
          <w:szCs w:val="24"/>
        </w:rPr>
      </w:pPr>
    </w:p>
    <w:p w14:paraId="75F11DB5" w14:textId="3E0D93FB" w:rsidR="00D27A09" w:rsidRDefault="00D27A09" w:rsidP="00495A0D">
      <w:pPr>
        <w:spacing w:after="0" w:line="360" w:lineRule="auto"/>
        <w:jc w:val="both"/>
        <w:rPr>
          <w:rFonts w:ascii="Times New Roman" w:hAnsi="Times New Roman"/>
          <w:color w:val="000000" w:themeColor="text1"/>
          <w:sz w:val="24"/>
          <w:szCs w:val="24"/>
        </w:rPr>
      </w:pPr>
    </w:p>
    <w:p w14:paraId="29F2CBE4" w14:textId="6284BD26" w:rsidR="00D27A09" w:rsidRDefault="00D27A09" w:rsidP="00495A0D">
      <w:pPr>
        <w:spacing w:after="0" w:line="360" w:lineRule="auto"/>
        <w:jc w:val="both"/>
        <w:rPr>
          <w:rFonts w:ascii="Times New Roman" w:hAnsi="Times New Roman"/>
          <w:color w:val="000000" w:themeColor="text1"/>
          <w:sz w:val="24"/>
          <w:szCs w:val="24"/>
        </w:rPr>
      </w:pPr>
    </w:p>
    <w:p w14:paraId="1959340C" w14:textId="0E2E70A7" w:rsidR="00D27A09" w:rsidRDefault="00D27A09" w:rsidP="00495A0D">
      <w:pPr>
        <w:spacing w:after="0" w:line="360" w:lineRule="auto"/>
        <w:jc w:val="both"/>
        <w:rPr>
          <w:rFonts w:ascii="Times New Roman" w:hAnsi="Times New Roman"/>
          <w:color w:val="000000" w:themeColor="text1"/>
          <w:sz w:val="24"/>
          <w:szCs w:val="24"/>
        </w:rPr>
      </w:pPr>
    </w:p>
    <w:p w14:paraId="26A4644D" w14:textId="0BA8A934" w:rsidR="00D27A09" w:rsidRDefault="00D27A09" w:rsidP="00495A0D">
      <w:pPr>
        <w:spacing w:after="0" w:line="360" w:lineRule="auto"/>
        <w:jc w:val="both"/>
        <w:rPr>
          <w:rFonts w:ascii="Times New Roman" w:hAnsi="Times New Roman"/>
          <w:color w:val="000000" w:themeColor="text1"/>
          <w:sz w:val="24"/>
          <w:szCs w:val="24"/>
        </w:rPr>
      </w:pPr>
    </w:p>
    <w:p w14:paraId="606FF174" w14:textId="418EC682" w:rsidR="00D27A09" w:rsidRDefault="00D27A09" w:rsidP="00495A0D">
      <w:pPr>
        <w:spacing w:after="0" w:line="360" w:lineRule="auto"/>
        <w:jc w:val="both"/>
        <w:rPr>
          <w:rFonts w:ascii="Times New Roman" w:hAnsi="Times New Roman"/>
          <w:color w:val="000000" w:themeColor="text1"/>
          <w:sz w:val="24"/>
          <w:szCs w:val="24"/>
        </w:rPr>
      </w:pPr>
    </w:p>
    <w:p w14:paraId="1D623B20" w14:textId="5C83028E" w:rsidR="00D27A09" w:rsidRDefault="00D27A09" w:rsidP="00495A0D">
      <w:pPr>
        <w:spacing w:after="0" w:line="360" w:lineRule="auto"/>
        <w:jc w:val="both"/>
        <w:rPr>
          <w:rFonts w:ascii="Times New Roman" w:hAnsi="Times New Roman"/>
          <w:color w:val="000000" w:themeColor="text1"/>
          <w:sz w:val="24"/>
          <w:szCs w:val="24"/>
        </w:rPr>
      </w:pPr>
    </w:p>
    <w:p w14:paraId="2905E9D0" w14:textId="62E79D70" w:rsidR="00D27A09" w:rsidRDefault="00D27A09" w:rsidP="00495A0D">
      <w:pPr>
        <w:spacing w:after="0" w:line="360" w:lineRule="auto"/>
        <w:jc w:val="both"/>
        <w:rPr>
          <w:rFonts w:ascii="Times New Roman" w:hAnsi="Times New Roman"/>
          <w:color w:val="000000" w:themeColor="text1"/>
          <w:sz w:val="24"/>
          <w:szCs w:val="24"/>
        </w:rPr>
      </w:pPr>
    </w:p>
    <w:p w14:paraId="6A8FB976" w14:textId="26CAD3A9" w:rsidR="00D27A09" w:rsidRDefault="00D27A09" w:rsidP="00495A0D">
      <w:pPr>
        <w:spacing w:after="0" w:line="360" w:lineRule="auto"/>
        <w:jc w:val="both"/>
        <w:rPr>
          <w:rFonts w:ascii="Times New Roman" w:hAnsi="Times New Roman"/>
          <w:color w:val="000000" w:themeColor="text1"/>
          <w:sz w:val="24"/>
          <w:szCs w:val="24"/>
        </w:rPr>
      </w:pPr>
    </w:p>
    <w:p w14:paraId="1ADF238C" w14:textId="77777777" w:rsidR="00D27A09" w:rsidRPr="00495A0D" w:rsidRDefault="00D27A09" w:rsidP="00495A0D">
      <w:pPr>
        <w:spacing w:after="0" w:line="360" w:lineRule="auto"/>
        <w:jc w:val="both"/>
        <w:rPr>
          <w:rFonts w:ascii="Times New Roman" w:hAnsi="Times New Roman"/>
          <w:color w:val="000000" w:themeColor="text1"/>
          <w:sz w:val="24"/>
          <w:szCs w:val="24"/>
        </w:rPr>
      </w:pPr>
    </w:p>
    <w:p w14:paraId="48F2D8B7" w14:textId="1597F463" w:rsidR="00ED1CB8" w:rsidRPr="00495A0D" w:rsidRDefault="00BE3935" w:rsidP="00495A0D">
      <w:pPr>
        <w:spacing w:line="360" w:lineRule="auto"/>
        <w:jc w:val="center"/>
        <w:rPr>
          <w:rFonts w:ascii="Times New Roman" w:hAnsi="Times New Roman"/>
          <w:b/>
          <w:color w:val="000000" w:themeColor="text1"/>
          <w:sz w:val="24"/>
        </w:rPr>
      </w:pPr>
      <w:r w:rsidRPr="00495A0D">
        <w:rPr>
          <w:rFonts w:ascii="Times New Roman" w:hAnsi="Times New Roman"/>
          <w:b/>
          <w:color w:val="000000" w:themeColor="text1"/>
          <w:sz w:val="24"/>
        </w:rPr>
        <w:lastRenderedPageBreak/>
        <w:t xml:space="preserve">Tabla </w:t>
      </w:r>
      <w:r w:rsidR="00ED1CB8" w:rsidRPr="00495A0D">
        <w:rPr>
          <w:rFonts w:ascii="Times New Roman" w:hAnsi="Times New Roman"/>
          <w:b/>
          <w:color w:val="000000" w:themeColor="text1"/>
          <w:sz w:val="24"/>
        </w:rPr>
        <w:t>2</w:t>
      </w:r>
      <w:r w:rsidR="00F500AD" w:rsidRPr="00495A0D">
        <w:rPr>
          <w:rFonts w:ascii="Times New Roman" w:hAnsi="Times New Roman"/>
          <w:color w:val="000000" w:themeColor="text1"/>
          <w:sz w:val="24"/>
        </w:rPr>
        <w:t>.</w:t>
      </w:r>
      <w:r w:rsidR="00ED1CB8" w:rsidRPr="00495A0D">
        <w:rPr>
          <w:rFonts w:ascii="Times New Roman" w:hAnsi="Times New Roman"/>
          <w:color w:val="000000" w:themeColor="text1"/>
          <w:sz w:val="24"/>
        </w:rPr>
        <w:t xml:space="preserve"> Riesgo cardiovascular de los profesionales de enfermería que laboran en UCI (n= 25)</w:t>
      </w:r>
    </w:p>
    <w:tbl>
      <w:tblPr>
        <w:tblStyle w:val="Listaclara"/>
        <w:tblW w:w="4917" w:type="pct"/>
        <w:jc w:val="center"/>
        <w:tblLook w:val="0620" w:firstRow="1" w:lastRow="0" w:firstColumn="0" w:lastColumn="0" w:noHBand="1" w:noVBand="1"/>
      </w:tblPr>
      <w:tblGrid>
        <w:gridCol w:w="3443"/>
        <w:gridCol w:w="1705"/>
        <w:gridCol w:w="1705"/>
        <w:gridCol w:w="1819"/>
      </w:tblGrid>
      <w:tr w:rsidR="00ED1CB8" w:rsidRPr="00447037" w14:paraId="5ADBC037" w14:textId="77777777" w:rsidTr="00D27A09">
        <w:trPr>
          <w:cnfStyle w:val="100000000000" w:firstRow="1" w:lastRow="0" w:firstColumn="0" w:lastColumn="0" w:oddVBand="0" w:evenVBand="0" w:oddHBand="0" w:evenHBand="0" w:firstRowFirstColumn="0" w:firstRowLastColumn="0" w:lastRowFirstColumn="0" w:lastRowLastColumn="0"/>
          <w:trHeight w:val="375"/>
          <w:jc w:val="center"/>
        </w:trPr>
        <w:tc>
          <w:tcPr>
            <w:tcW w:w="2001" w:type="pct"/>
          </w:tcPr>
          <w:p w14:paraId="2770CD02" w14:textId="018746D8" w:rsidR="00ED1CB8" w:rsidRPr="00495A0D" w:rsidRDefault="00ED1CB8" w:rsidP="005D70DE">
            <w:pPr>
              <w:rPr>
                <w:sz w:val="20"/>
                <w:szCs w:val="20"/>
              </w:rPr>
            </w:pPr>
            <w:r w:rsidRPr="00495A0D">
              <w:rPr>
                <w:rFonts w:ascii="Arial Unicode MS" w:eastAsia="Arial Unicode MS" w:hAnsi="Arial Unicode MS" w:cs="Arial Unicode MS"/>
                <w:color w:val="auto"/>
                <w:sz w:val="20"/>
                <w:szCs w:val="20"/>
              </w:rPr>
              <w:t xml:space="preserve">Nombre del </w:t>
            </w:r>
            <w:r w:rsidR="00F45D52">
              <w:rPr>
                <w:rFonts w:ascii="Arial Unicode MS" w:eastAsia="Arial Unicode MS" w:hAnsi="Arial Unicode MS" w:cs="Arial Unicode MS"/>
                <w:sz w:val="20"/>
                <w:szCs w:val="20"/>
              </w:rPr>
              <w:t>puntaje</w:t>
            </w:r>
          </w:p>
        </w:tc>
        <w:tc>
          <w:tcPr>
            <w:tcW w:w="999" w:type="pct"/>
          </w:tcPr>
          <w:p w14:paraId="2D759F1E" w14:textId="77777777" w:rsidR="00ED1CB8" w:rsidRPr="00495A0D" w:rsidRDefault="00ED1CB8" w:rsidP="005D70DE">
            <w:pPr>
              <w:rPr>
                <w:sz w:val="20"/>
                <w:szCs w:val="20"/>
              </w:rPr>
            </w:pPr>
          </w:p>
        </w:tc>
        <w:tc>
          <w:tcPr>
            <w:tcW w:w="999" w:type="pct"/>
          </w:tcPr>
          <w:p w14:paraId="14661020" w14:textId="77777777" w:rsidR="00ED1CB8" w:rsidRPr="00495A0D" w:rsidRDefault="00ED1CB8" w:rsidP="005D70DE">
            <w:pPr>
              <w:jc w:val="center"/>
              <w:rPr>
                <w:rFonts w:ascii="Arial Unicode MS" w:eastAsia="Arial Unicode MS" w:hAnsi="Arial Unicode MS" w:cs="Arial Unicode MS"/>
                <w:sz w:val="20"/>
                <w:szCs w:val="20"/>
              </w:rPr>
            </w:pPr>
            <w:r w:rsidRPr="00495A0D">
              <w:rPr>
                <w:rFonts w:ascii="Arial Unicode MS" w:eastAsia="Arial Unicode MS" w:hAnsi="Arial Unicode MS" w:cs="Arial Unicode MS"/>
                <w:color w:val="auto"/>
                <w:sz w:val="20"/>
                <w:szCs w:val="20"/>
              </w:rPr>
              <w:t>n</w:t>
            </w:r>
          </w:p>
        </w:tc>
        <w:tc>
          <w:tcPr>
            <w:tcW w:w="1001" w:type="pct"/>
          </w:tcPr>
          <w:p w14:paraId="2A856761" w14:textId="77777777" w:rsidR="00ED1CB8" w:rsidRPr="00495A0D" w:rsidRDefault="00ED1CB8" w:rsidP="005D70DE">
            <w:pPr>
              <w:jc w:val="center"/>
              <w:rPr>
                <w:rFonts w:ascii="Arial Unicode MS" w:eastAsia="Arial Unicode MS" w:hAnsi="Arial Unicode MS" w:cs="Arial Unicode MS"/>
                <w:sz w:val="20"/>
                <w:szCs w:val="20"/>
                <w:vertAlign w:val="superscript"/>
              </w:rPr>
            </w:pPr>
            <w:r w:rsidRPr="00495A0D">
              <w:rPr>
                <w:rFonts w:ascii="Arial Unicode MS" w:eastAsia="Arial Unicode MS" w:hAnsi="Arial Unicode MS" w:cs="Arial Unicode MS"/>
                <w:color w:val="auto"/>
                <w:sz w:val="20"/>
                <w:szCs w:val="20"/>
              </w:rPr>
              <w:t>Riesgo cardiovascular en (%)</w:t>
            </w:r>
            <w:r w:rsidRPr="00495A0D">
              <w:rPr>
                <w:rFonts w:ascii="Arial Unicode MS" w:eastAsia="Arial Unicode MS" w:hAnsi="Arial Unicode MS" w:cs="Arial Unicode MS"/>
                <w:color w:val="auto"/>
                <w:sz w:val="20"/>
                <w:szCs w:val="20"/>
                <w:vertAlign w:val="superscript"/>
              </w:rPr>
              <w:t>a</w:t>
            </w:r>
          </w:p>
        </w:tc>
      </w:tr>
      <w:tr w:rsidR="00ED1CB8" w:rsidRPr="00447037" w14:paraId="7DFA2E67" w14:textId="77777777" w:rsidTr="00D27A09">
        <w:trPr>
          <w:trHeight w:val="375"/>
          <w:jc w:val="center"/>
        </w:trPr>
        <w:tc>
          <w:tcPr>
            <w:tcW w:w="2001" w:type="pct"/>
          </w:tcPr>
          <w:p w14:paraId="3B69DEDD" w14:textId="77777777" w:rsidR="00ED1CB8" w:rsidRPr="00495A0D" w:rsidRDefault="00ED1CB8" w:rsidP="005D70DE">
            <w:pPr>
              <w:rPr>
                <w:rFonts w:ascii="Arial Unicode MS" w:eastAsia="Arial Unicode MS" w:hAnsi="Arial Unicode MS" w:cs="Arial Unicode MS"/>
                <w:b/>
                <w:color w:val="000000" w:themeColor="text1"/>
                <w:sz w:val="24"/>
                <w:szCs w:val="24"/>
              </w:rPr>
            </w:pPr>
            <w:r w:rsidRPr="00495A0D">
              <w:rPr>
                <w:rFonts w:ascii="Arial Unicode MS" w:eastAsia="Arial Unicode MS" w:hAnsi="Arial Unicode MS" w:cs="Arial Unicode MS"/>
                <w:b/>
                <w:color w:val="000000" w:themeColor="text1"/>
                <w:sz w:val="24"/>
                <w:szCs w:val="24"/>
              </w:rPr>
              <w:t>Framingham score</w:t>
            </w:r>
          </w:p>
          <w:p w14:paraId="679798CD" w14:textId="77777777" w:rsidR="00ED1CB8" w:rsidRPr="00495A0D" w:rsidRDefault="00ED1CB8" w:rsidP="005D70DE">
            <w:pPr>
              <w:rPr>
                <w:rFonts w:ascii="Arial Unicode MS" w:eastAsia="Arial Unicode MS" w:hAnsi="Arial Unicode MS" w:cs="Arial Unicode MS"/>
                <w:b/>
                <w:color w:val="000000" w:themeColor="text1"/>
                <w:sz w:val="24"/>
                <w:szCs w:val="24"/>
              </w:rPr>
            </w:pPr>
            <w:r w:rsidRPr="00495A0D">
              <w:rPr>
                <w:rFonts w:ascii="Arial Unicode MS" w:eastAsia="Arial Unicode MS" w:hAnsi="Arial Unicode MS" w:cs="Arial Unicode MS"/>
                <w:b/>
                <w:color w:val="000000" w:themeColor="text1"/>
                <w:sz w:val="24"/>
                <w:szCs w:val="24"/>
              </w:rPr>
              <w:t xml:space="preserve">    </w:t>
            </w:r>
          </w:p>
        </w:tc>
        <w:tc>
          <w:tcPr>
            <w:tcW w:w="999" w:type="pct"/>
          </w:tcPr>
          <w:p w14:paraId="3DCDEC7B" w14:textId="77777777" w:rsidR="00ED1CB8" w:rsidRPr="00495A0D" w:rsidRDefault="00ED1CB8" w:rsidP="005D70DE">
            <w:pPr>
              <w:rPr>
                <w:color w:val="000000" w:themeColor="text1"/>
                <w:sz w:val="24"/>
                <w:szCs w:val="24"/>
              </w:rPr>
            </w:pPr>
          </w:p>
        </w:tc>
        <w:tc>
          <w:tcPr>
            <w:tcW w:w="999" w:type="pct"/>
          </w:tcPr>
          <w:p w14:paraId="1FF5F5C4"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22</w:t>
            </w:r>
          </w:p>
          <w:p w14:paraId="39E213D4"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3</w:t>
            </w:r>
          </w:p>
        </w:tc>
        <w:tc>
          <w:tcPr>
            <w:tcW w:w="1001" w:type="pct"/>
          </w:tcPr>
          <w:p w14:paraId="311F8BA0"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0.1 – 5.0 %</w:t>
            </w:r>
          </w:p>
          <w:p w14:paraId="223C4A46"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5.1 – 10 %</w:t>
            </w:r>
          </w:p>
        </w:tc>
      </w:tr>
      <w:tr w:rsidR="00ED1CB8" w:rsidRPr="00447037" w14:paraId="12F4AD65" w14:textId="77777777" w:rsidTr="00D27A09">
        <w:trPr>
          <w:trHeight w:val="375"/>
          <w:jc w:val="center"/>
        </w:trPr>
        <w:tc>
          <w:tcPr>
            <w:tcW w:w="3000" w:type="pct"/>
            <w:gridSpan w:val="2"/>
          </w:tcPr>
          <w:p w14:paraId="01D3107F" w14:textId="77777777" w:rsidR="00ED1CB8" w:rsidRPr="00495A0D" w:rsidRDefault="00ED1CB8" w:rsidP="005D70DE">
            <w:pPr>
              <w:rPr>
                <w:color w:val="000000" w:themeColor="text1"/>
                <w:sz w:val="24"/>
                <w:szCs w:val="24"/>
              </w:rPr>
            </w:pPr>
            <w:r w:rsidRPr="00495A0D">
              <w:rPr>
                <w:rFonts w:ascii="Arial Unicode MS" w:eastAsia="Arial Unicode MS" w:hAnsi="Arial Unicode MS" w:cs="Arial Unicode MS"/>
                <w:b/>
                <w:color w:val="000000" w:themeColor="text1"/>
                <w:sz w:val="24"/>
                <w:szCs w:val="24"/>
              </w:rPr>
              <w:t>ASCVD score</w:t>
            </w:r>
          </w:p>
        </w:tc>
        <w:tc>
          <w:tcPr>
            <w:tcW w:w="999" w:type="pct"/>
          </w:tcPr>
          <w:p w14:paraId="192C7AFB"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20</w:t>
            </w:r>
          </w:p>
          <w:p w14:paraId="5A76B46B"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5</w:t>
            </w:r>
          </w:p>
        </w:tc>
        <w:tc>
          <w:tcPr>
            <w:tcW w:w="1001" w:type="pct"/>
          </w:tcPr>
          <w:p w14:paraId="16F4576C"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0.1 – 2.4 %</w:t>
            </w:r>
          </w:p>
          <w:p w14:paraId="36CA88F3"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2.5 – 5.0 %</w:t>
            </w:r>
          </w:p>
        </w:tc>
      </w:tr>
      <w:tr w:rsidR="00ED1CB8" w:rsidRPr="00447037" w14:paraId="5EC33276" w14:textId="77777777" w:rsidTr="00D27A09">
        <w:trPr>
          <w:trHeight w:val="375"/>
          <w:jc w:val="center"/>
        </w:trPr>
        <w:tc>
          <w:tcPr>
            <w:tcW w:w="3000" w:type="pct"/>
            <w:gridSpan w:val="2"/>
          </w:tcPr>
          <w:p w14:paraId="4FACAA5F" w14:textId="77777777" w:rsidR="00ED1CB8" w:rsidRPr="00495A0D" w:rsidRDefault="00ED1CB8" w:rsidP="005D70DE">
            <w:pPr>
              <w:rPr>
                <w:rFonts w:ascii="Arial Unicode MS" w:eastAsia="Arial Unicode MS" w:hAnsi="Arial Unicode MS" w:cs="Arial Unicode MS"/>
                <w:b/>
                <w:color w:val="000000" w:themeColor="text1"/>
                <w:sz w:val="24"/>
                <w:szCs w:val="24"/>
              </w:rPr>
            </w:pPr>
            <w:r w:rsidRPr="00495A0D">
              <w:rPr>
                <w:rFonts w:ascii="Arial Unicode MS" w:eastAsia="Arial Unicode MS" w:hAnsi="Arial Unicode MS" w:cs="Arial Unicode MS"/>
                <w:b/>
                <w:color w:val="000000" w:themeColor="text1"/>
                <w:sz w:val="24"/>
                <w:szCs w:val="24"/>
              </w:rPr>
              <w:t>OMS / ISH score</w:t>
            </w:r>
          </w:p>
        </w:tc>
        <w:tc>
          <w:tcPr>
            <w:tcW w:w="999" w:type="pct"/>
          </w:tcPr>
          <w:p w14:paraId="2E10DE92"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25</w:t>
            </w:r>
          </w:p>
        </w:tc>
        <w:tc>
          <w:tcPr>
            <w:tcW w:w="1001" w:type="pct"/>
          </w:tcPr>
          <w:p w14:paraId="58375BA2"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&lt; 10 %</w:t>
            </w:r>
          </w:p>
        </w:tc>
      </w:tr>
      <w:tr w:rsidR="00ED1CB8" w:rsidRPr="00447037" w14:paraId="66FCF596" w14:textId="77777777" w:rsidTr="00D27A09">
        <w:trPr>
          <w:trHeight w:val="262"/>
          <w:jc w:val="center"/>
        </w:trPr>
        <w:tc>
          <w:tcPr>
            <w:tcW w:w="2001" w:type="pct"/>
          </w:tcPr>
          <w:p w14:paraId="0173C631" w14:textId="77777777" w:rsidR="00ED1CB8" w:rsidRPr="00495A0D" w:rsidRDefault="00ED1CB8" w:rsidP="005D70DE">
            <w:pPr>
              <w:rPr>
                <w:rFonts w:ascii="Arial Unicode MS" w:eastAsia="Arial Unicode MS" w:hAnsi="Arial Unicode MS" w:cs="Arial Unicode MS"/>
                <w:b/>
                <w:color w:val="000000" w:themeColor="text1"/>
                <w:sz w:val="24"/>
                <w:szCs w:val="24"/>
              </w:rPr>
            </w:pPr>
            <w:r w:rsidRPr="00495A0D">
              <w:rPr>
                <w:rFonts w:ascii="Arial Unicode MS" w:eastAsia="Arial Unicode MS" w:hAnsi="Arial Unicode MS" w:cs="Arial Unicode MS"/>
                <w:b/>
                <w:color w:val="000000" w:themeColor="text1"/>
                <w:sz w:val="24"/>
                <w:szCs w:val="24"/>
              </w:rPr>
              <w:t>ASCVD score de toda la vida</w:t>
            </w:r>
          </w:p>
          <w:p w14:paraId="5186F9CD" w14:textId="77777777" w:rsidR="00ED1CB8" w:rsidRPr="00495A0D" w:rsidRDefault="00ED1CB8" w:rsidP="005D70DE">
            <w:pPr>
              <w:rPr>
                <w:rFonts w:ascii="Arial Unicode MS" w:eastAsia="Arial Unicode MS" w:hAnsi="Arial Unicode MS" w:cs="Arial Unicode MS"/>
                <w:color w:val="000000" w:themeColor="text1"/>
                <w:sz w:val="24"/>
                <w:szCs w:val="24"/>
              </w:rPr>
            </w:pPr>
          </w:p>
        </w:tc>
        <w:tc>
          <w:tcPr>
            <w:tcW w:w="999" w:type="pct"/>
          </w:tcPr>
          <w:p w14:paraId="422A0990" w14:textId="77777777" w:rsidR="00ED1CB8" w:rsidRPr="00495A0D" w:rsidRDefault="00ED1CB8" w:rsidP="005D70DE">
            <w:pPr>
              <w:rPr>
                <w:rFonts w:ascii="Arial Unicode MS" w:eastAsia="Arial Unicode MS" w:hAnsi="Arial Unicode MS" w:cs="Arial Unicode MS"/>
                <w:color w:val="000000" w:themeColor="text1"/>
                <w:sz w:val="24"/>
                <w:szCs w:val="24"/>
              </w:rPr>
            </w:pPr>
          </w:p>
        </w:tc>
        <w:tc>
          <w:tcPr>
            <w:tcW w:w="999" w:type="pct"/>
          </w:tcPr>
          <w:p w14:paraId="61BDA151"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p>
          <w:p w14:paraId="42E28F9F"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p>
          <w:p w14:paraId="08AC8F85"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p>
          <w:p w14:paraId="5F0AA31A"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5</w:t>
            </w:r>
          </w:p>
          <w:p w14:paraId="362008B8"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3</w:t>
            </w:r>
          </w:p>
          <w:p w14:paraId="05FB4062"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12</w:t>
            </w:r>
          </w:p>
          <w:p w14:paraId="12E1924C"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w:t>
            </w:r>
          </w:p>
          <w:p w14:paraId="72B624E7"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1</w:t>
            </w:r>
          </w:p>
          <w:p w14:paraId="50B2B411"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w:t>
            </w:r>
          </w:p>
        </w:tc>
        <w:tc>
          <w:tcPr>
            <w:tcW w:w="1001" w:type="pct"/>
          </w:tcPr>
          <w:p w14:paraId="72B2DDA5" w14:textId="77777777" w:rsidR="00ED1CB8" w:rsidRPr="00495A0D" w:rsidRDefault="00ED1CB8" w:rsidP="005D70DE">
            <w:pPr>
              <w:jc w:val="center"/>
              <w:rPr>
                <w:rFonts w:ascii="Arial Unicode MS" w:eastAsia="Arial Unicode MS" w:hAnsi="Arial Unicode MS" w:cs="Arial Unicode MS"/>
                <w:color w:val="000000" w:themeColor="text1"/>
                <w:sz w:val="24"/>
                <w:szCs w:val="24"/>
                <w:vertAlign w:val="superscript"/>
              </w:rPr>
            </w:pPr>
            <w:r w:rsidRPr="00495A0D">
              <w:rPr>
                <w:rFonts w:ascii="Arial Unicode MS" w:eastAsia="Arial Unicode MS" w:hAnsi="Arial Unicode MS" w:cs="Arial Unicode MS"/>
                <w:color w:val="000000" w:themeColor="text1"/>
                <w:sz w:val="24"/>
                <w:szCs w:val="24"/>
              </w:rPr>
              <w:t>Riesgo cardiovascular en (%)</w:t>
            </w:r>
            <w:r w:rsidRPr="00495A0D">
              <w:rPr>
                <w:rFonts w:ascii="Arial Unicode MS" w:eastAsia="Arial Unicode MS" w:hAnsi="Arial Unicode MS" w:cs="Arial Unicode MS"/>
                <w:color w:val="000000" w:themeColor="text1"/>
                <w:sz w:val="24"/>
                <w:szCs w:val="24"/>
                <w:vertAlign w:val="superscript"/>
              </w:rPr>
              <w:t>b</w:t>
            </w:r>
          </w:p>
          <w:p w14:paraId="52EDEB3E"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8 %</w:t>
            </w:r>
          </w:p>
          <w:p w14:paraId="0C667D5F"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27 %</w:t>
            </w:r>
          </w:p>
          <w:p w14:paraId="52E462CD"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39 %</w:t>
            </w:r>
          </w:p>
          <w:p w14:paraId="1EAF42A5"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46 %</w:t>
            </w:r>
          </w:p>
          <w:p w14:paraId="449C6432"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50 %</w:t>
            </w:r>
          </w:p>
          <w:p w14:paraId="3EBCAB1B" w14:textId="77777777" w:rsidR="00ED1CB8" w:rsidRPr="00495A0D" w:rsidRDefault="00ED1CB8" w:rsidP="005D70DE">
            <w:pPr>
              <w:jc w:val="center"/>
              <w:rPr>
                <w:rFonts w:ascii="Arial Unicode MS" w:eastAsia="Arial Unicode MS" w:hAnsi="Arial Unicode MS" w:cs="Arial Unicode MS"/>
                <w:color w:val="000000" w:themeColor="text1"/>
                <w:sz w:val="24"/>
                <w:szCs w:val="24"/>
              </w:rPr>
            </w:pPr>
            <w:r w:rsidRPr="00495A0D">
              <w:rPr>
                <w:rFonts w:ascii="Arial Unicode MS" w:eastAsia="Arial Unicode MS" w:hAnsi="Arial Unicode MS" w:cs="Arial Unicode MS"/>
                <w:color w:val="000000" w:themeColor="text1"/>
                <w:sz w:val="24"/>
                <w:szCs w:val="24"/>
              </w:rPr>
              <w:t>69 %</w:t>
            </w:r>
          </w:p>
        </w:tc>
      </w:tr>
    </w:tbl>
    <w:p w14:paraId="16603B71" w14:textId="06A5D0FE" w:rsidR="00BE3935" w:rsidRPr="00495A0D" w:rsidRDefault="00BE3935" w:rsidP="00495A0D">
      <w:pPr>
        <w:spacing w:after="0" w:line="360" w:lineRule="auto"/>
        <w:jc w:val="center"/>
        <w:rPr>
          <w:rFonts w:ascii="Times New Roman" w:hAnsi="Times New Roman"/>
          <w:i/>
          <w:color w:val="000000" w:themeColor="text1"/>
          <w:sz w:val="24"/>
          <w:szCs w:val="20"/>
        </w:rPr>
      </w:pPr>
      <w:r w:rsidRPr="00495A0D">
        <w:rPr>
          <w:rFonts w:ascii="Times New Roman" w:hAnsi="Times New Roman"/>
          <w:color w:val="000000" w:themeColor="text1"/>
          <w:sz w:val="24"/>
          <w:szCs w:val="20"/>
          <w:lang w:val="es-ES"/>
        </w:rPr>
        <w:t>Fuente: Base de datos del estudio riesgo cardiovascular en profesionales de enfermería que laboran en una Terapia Intensiva</w:t>
      </w:r>
    </w:p>
    <w:p w14:paraId="11665FF9" w14:textId="7910E088" w:rsidR="00ED1CB8" w:rsidRPr="00495A0D" w:rsidRDefault="00ED1CB8" w:rsidP="00495A0D">
      <w:pPr>
        <w:spacing w:after="0" w:line="360" w:lineRule="auto"/>
        <w:jc w:val="center"/>
        <w:rPr>
          <w:rFonts w:ascii="Times New Roman" w:hAnsi="Times New Roman"/>
          <w:color w:val="000000" w:themeColor="text1"/>
          <w:sz w:val="24"/>
          <w:szCs w:val="20"/>
          <w:lang w:val="es-ES"/>
        </w:rPr>
      </w:pPr>
      <w:r w:rsidRPr="00495A0D">
        <w:rPr>
          <w:rFonts w:ascii="Times New Roman" w:hAnsi="Times New Roman"/>
          <w:i/>
          <w:color w:val="000000" w:themeColor="text1"/>
          <w:sz w:val="24"/>
          <w:szCs w:val="20"/>
        </w:rPr>
        <w:t xml:space="preserve">Nota: </w:t>
      </w:r>
      <w:r w:rsidRPr="00495A0D">
        <w:rPr>
          <w:rFonts w:ascii="Times New Roman" w:hAnsi="Times New Roman"/>
          <w:color w:val="000000" w:themeColor="text1"/>
          <w:sz w:val="24"/>
          <w:szCs w:val="20"/>
        </w:rPr>
        <w:t xml:space="preserve">n= </w:t>
      </w:r>
      <w:r w:rsidR="00BE3935" w:rsidRPr="00495A0D">
        <w:rPr>
          <w:rFonts w:ascii="Times New Roman" w:hAnsi="Times New Roman"/>
          <w:color w:val="000000" w:themeColor="text1"/>
          <w:sz w:val="24"/>
          <w:szCs w:val="20"/>
        </w:rPr>
        <w:t>n</w:t>
      </w:r>
      <w:r w:rsidR="00BE3935" w:rsidRPr="00495A0D">
        <w:rPr>
          <w:rFonts w:ascii="Times New Roman" w:hAnsi="Times New Roman"/>
          <w:color w:val="000000" w:themeColor="text1"/>
          <w:sz w:val="24"/>
          <w:szCs w:val="20"/>
          <w:lang w:val="es-ES"/>
        </w:rPr>
        <w:t xml:space="preserve">úmero </w:t>
      </w:r>
      <w:r w:rsidRPr="00495A0D">
        <w:rPr>
          <w:rFonts w:ascii="Times New Roman" w:hAnsi="Times New Roman"/>
          <w:color w:val="000000" w:themeColor="text1"/>
          <w:sz w:val="24"/>
          <w:szCs w:val="20"/>
          <w:lang w:val="es-ES"/>
        </w:rPr>
        <w:t>de profesionales de enfermería.</w:t>
      </w:r>
    </w:p>
    <w:p w14:paraId="03CF2A00" w14:textId="51F40A6D" w:rsidR="00F500AD" w:rsidRPr="00495A0D" w:rsidRDefault="00ED1CB8" w:rsidP="00495A0D">
      <w:pPr>
        <w:spacing w:line="360" w:lineRule="auto"/>
        <w:jc w:val="center"/>
        <w:rPr>
          <w:rFonts w:ascii="Times New Roman" w:hAnsi="Times New Roman"/>
          <w:color w:val="000000" w:themeColor="text1"/>
          <w:sz w:val="24"/>
          <w:szCs w:val="20"/>
          <w:lang w:val="es-ES"/>
        </w:rPr>
      </w:pPr>
      <w:r w:rsidRPr="00495A0D">
        <w:rPr>
          <w:rFonts w:ascii="Times New Roman" w:hAnsi="Times New Roman"/>
          <w:color w:val="000000" w:themeColor="text1"/>
          <w:sz w:val="24"/>
          <w:szCs w:val="20"/>
          <w:vertAlign w:val="superscript"/>
          <w:lang w:val="es-ES"/>
        </w:rPr>
        <w:t>a</w:t>
      </w:r>
      <w:r w:rsidR="00BE3935" w:rsidRPr="00495A0D">
        <w:rPr>
          <w:rFonts w:ascii="Times New Roman" w:hAnsi="Times New Roman"/>
          <w:color w:val="000000" w:themeColor="text1"/>
          <w:sz w:val="24"/>
          <w:szCs w:val="20"/>
          <w:vertAlign w:val="superscript"/>
          <w:lang w:val="es-ES"/>
        </w:rPr>
        <w:t xml:space="preserve"> </w:t>
      </w:r>
      <w:r w:rsidRPr="00495A0D">
        <w:rPr>
          <w:rFonts w:ascii="Times New Roman" w:hAnsi="Times New Roman"/>
          <w:color w:val="000000" w:themeColor="text1"/>
          <w:sz w:val="24"/>
          <w:szCs w:val="20"/>
          <w:lang w:val="es-ES"/>
        </w:rPr>
        <w:t>Riesgo cardiovascular en (%)</w:t>
      </w:r>
      <w:r w:rsidRPr="00495A0D">
        <w:rPr>
          <w:rFonts w:ascii="Times New Roman" w:hAnsi="Times New Roman"/>
          <w:color w:val="000000" w:themeColor="text1"/>
          <w:sz w:val="24"/>
          <w:szCs w:val="20"/>
          <w:vertAlign w:val="superscript"/>
          <w:lang w:val="es-ES"/>
        </w:rPr>
        <w:t>a</w:t>
      </w:r>
      <w:r w:rsidRPr="00495A0D">
        <w:rPr>
          <w:rFonts w:ascii="Times New Roman" w:hAnsi="Times New Roman"/>
          <w:color w:val="000000" w:themeColor="text1"/>
          <w:sz w:val="24"/>
          <w:szCs w:val="20"/>
          <w:lang w:val="es-ES"/>
        </w:rPr>
        <w:t xml:space="preserve"> probabilidad de padecer o morir a causa de infarto agudo al miocardio, angina inestable </w:t>
      </w:r>
      <w:r w:rsidR="00BE3935" w:rsidRPr="00495A0D">
        <w:rPr>
          <w:rFonts w:ascii="Times New Roman" w:hAnsi="Times New Roman"/>
          <w:color w:val="000000" w:themeColor="text1"/>
          <w:sz w:val="24"/>
          <w:szCs w:val="20"/>
          <w:lang w:val="es-ES"/>
        </w:rPr>
        <w:t xml:space="preserve">o </w:t>
      </w:r>
      <w:r w:rsidRPr="00495A0D">
        <w:rPr>
          <w:rFonts w:ascii="Times New Roman" w:hAnsi="Times New Roman"/>
          <w:color w:val="000000" w:themeColor="text1"/>
          <w:sz w:val="24"/>
          <w:szCs w:val="20"/>
          <w:lang w:val="es-ES"/>
        </w:rPr>
        <w:t>accidente vascular cerebral a 10 años</w:t>
      </w:r>
      <w:r w:rsidR="00BE3935" w:rsidRPr="00495A0D">
        <w:rPr>
          <w:rFonts w:ascii="Times New Roman" w:hAnsi="Times New Roman"/>
          <w:color w:val="000000" w:themeColor="text1"/>
          <w:sz w:val="24"/>
          <w:szCs w:val="20"/>
          <w:lang w:val="es-ES"/>
        </w:rPr>
        <w:t>,</w:t>
      </w:r>
      <w:r w:rsidRPr="00495A0D">
        <w:rPr>
          <w:rFonts w:ascii="Times New Roman" w:hAnsi="Times New Roman"/>
          <w:color w:val="000000" w:themeColor="text1"/>
          <w:sz w:val="24"/>
          <w:szCs w:val="20"/>
          <w:lang w:val="es-ES"/>
        </w:rPr>
        <w:t xml:space="preserve"> utilizando perfil de lípidos como biomarcador sérico. </w:t>
      </w:r>
      <w:r w:rsidR="00BE3935" w:rsidRPr="00495A0D">
        <w:rPr>
          <w:rFonts w:ascii="Times New Roman" w:hAnsi="Times New Roman"/>
          <w:color w:val="000000" w:themeColor="text1"/>
          <w:sz w:val="24"/>
          <w:szCs w:val="20"/>
          <w:lang w:val="es-ES"/>
        </w:rPr>
        <w:br/>
      </w:r>
      <w:r w:rsidRPr="00495A0D">
        <w:rPr>
          <w:rFonts w:ascii="Times New Roman" w:hAnsi="Times New Roman"/>
          <w:color w:val="000000" w:themeColor="text1"/>
          <w:sz w:val="24"/>
          <w:szCs w:val="20"/>
          <w:vertAlign w:val="superscript"/>
          <w:lang w:val="es-ES"/>
        </w:rPr>
        <w:t>b</w:t>
      </w:r>
      <w:r w:rsidR="00BE3935" w:rsidRPr="00495A0D">
        <w:rPr>
          <w:rFonts w:ascii="Times New Roman" w:hAnsi="Times New Roman"/>
          <w:color w:val="000000" w:themeColor="text1"/>
          <w:sz w:val="24"/>
          <w:szCs w:val="20"/>
          <w:vertAlign w:val="superscript"/>
          <w:lang w:val="es-ES"/>
        </w:rPr>
        <w:t xml:space="preserve"> </w:t>
      </w:r>
      <w:r w:rsidRPr="00495A0D">
        <w:rPr>
          <w:rFonts w:ascii="Times New Roman" w:hAnsi="Times New Roman"/>
          <w:color w:val="000000" w:themeColor="text1"/>
          <w:sz w:val="24"/>
          <w:szCs w:val="20"/>
          <w:lang w:val="es-ES"/>
        </w:rPr>
        <w:t>Riesgo cardiovascular en (%)</w:t>
      </w:r>
      <w:r w:rsidRPr="00495A0D">
        <w:rPr>
          <w:rFonts w:ascii="Times New Roman" w:hAnsi="Times New Roman"/>
          <w:color w:val="000000" w:themeColor="text1"/>
          <w:sz w:val="24"/>
          <w:szCs w:val="20"/>
          <w:vertAlign w:val="superscript"/>
          <w:lang w:val="es-ES"/>
        </w:rPr>
        <w:t>b</w:t>
      </w:r>
      <w:r w:rsidRPr="00495A0D">
        <w:rPr>
          <w:rFonts w:ascii="Times New Roman" w:hAnsi="Times New Roman"/>
          <w:color w:val="000000" w:themeColor="text1"/>
          <w:sz w:val="24"/>
          <w:szCs w:val="20"/>
          <w:lang w:val="es-ES"/>
        </w:rPr>
        <w:t xml:space="preserve"> probabilidad de padecer o morir a causa de infarto agudo al miocardio, angina inestable </w:t>
      </w:r>
      <w:r w:rsidR="00BE3935" w:rsidRPr="00495A0D">
        <w:rPr>
          <w:rFonts w:ascii="Times New Roman" w:hAnsi="Times New Roman"/>
          <w:color w:val="000000" w:themeColor="text1"/>
          <w:sz w:val="24"/>
          <w:szCs w:val="20"/>
          <w:lang w:val="es-ES"/>
        </w:rPr>
        <w:t xml:space="preserve">o </w:t>
      </w:r>
      <w:r w:rsidRPr="00495A0D">
        <w:rPr>
          <w:rFonts w:ascii="Times New Roman" w:hAnsi="Times New Roman"/>
          <w:color w:val="000000" w:themeColor="text1"/>
          <w:sz w:val="24"/>
          <w:szCs w:val="20"/>
          <w:lang w:val="es-ES"/>
        </w:rPr>
        <w:t>accidente vascular cerebral para toda la vida del sujeto utilizando perfil de lípidos como biomarcador sérico.</w:t>
      </w:r>
    </w:p>
    <w:p w14:paraId="6D6F1528" w14:textId="77777777" w:rsidR="00D27A09" w:rsidRDefault="00D27A09" w:rsidP="00495A0D">
      <w:pPr>
        <w:spacing w:after="0" w:line="360" w:lineRule="auto"/>
        <w:ind w:firstLine="708"/>
        <w:jc w:val="both"/>
        <w:rPr>
          <w:rFonts w:ascii="Times New Roman" w:hAnsi="Times New Roman"/>
          <w:color w:val="000000" w:themeColor="text1"/>
          <w:sz w:val="24"/>
          <w:szCs w:val="24"/>
        </w:rPr>
      </w:pPr>
    </w:p>
    <w:p w14:paraId="3E1D61D4" w14:textId="7D638194" w:rsidR="00713456" w:rsidRPr="00495A0D" w:rsidRDefault="00713456"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lastRenderedPageBreak/>
        <w:t>Respecto a la prevalencia de antecedentes familiares de enfermedad coronaria e ictus, 20</w:t>
      </w:r>
      <w:r w:rsidR="00466390"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 (</w:t>
      </w:r>
      <w:r w:rsidR="00407588" w:rsidRPr="00495A0D">
        <w:rPr>
          <w:rFonts w:ascii="Times New Roman" w:hAnsi="Times New Roman"/>
          <w:color w:val="000000" w:themeColor="text1"/>
          <w:sz w:val="24"/>
          <w:szCs w:val="24"/>
        </w:rPr>
        <w:t>cinco</w:t>
      </w:r>
      <w:r w:rsidRPr="00495A0D">
        <w:rPr>
          <w:rFonts w:ascii="Times New Roman" w:hAnsi="Times New Roman"/>
          <w:color w:val="000000" w:themeColor="text1"/>
          <w:sz w:val="24"/>
          <w:szCs w:val="24"/>
        </w:rPr>
        <w:t>) de los profesionales de enfermería refirió tener antecedentes de infarto al miocardio en un familiar de primer grado y solo 8</w:t>
      </w:r>
      <w:r w:rsidR="00466390"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 (</w:t>
      </w:r>
      <w:r w:rsidR="00407588" w:rsidRPr="00495A0D">
        <w:rPr>
          <w:rFonts w:ascii="Times New Roman" w:hAnsi="Times New Roman"/>
          <w:color w:val="000000" w:themeColor="text1"/>
          <w:sz w:val="24"/>
          <w:szCs w:val="24"/>
        </w:rPr>
        <w:t>dos</w:t>
      </w:r>
      <w:r w:rsidRPr="00495A0D">
        <w:rPr>
          <w:rFonts w:ascii="Times New Roman" w:hAnsi="Times New Roman"/>
          <w:color w:val="000000" w:themeColor="text1"/>
          <w:sz w:val="24"/>
          <w:szCs w:val="24"/>
        </w:rPr>
        <w:t>) refirió tener antecedentes familiares para ictus.</w:t>
      </w:r>
    </w:p>
    <w:p w14:paraId="1BE1D088" w14:textId="7DB39FB7" w:rsidR="00F525A5" w:rsidRPr="00495A0D" w:rsidRDefault="00713456"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Con relación al índice </w:t>
      </w:r>
      <w:r w:rsidR="009F4916" w:rsidRPr="00495A0D">
        <w:rPr>
          <w:rFonts w:ascii="Times New Roman" w:hAnsi="Times New Roman"/>
          <w:color w:val="000000" w:themeColor="text1"/>
          <w:sz w:val="24"/>
          <w:szCs w:val="24"/>
        </w:rPr>
        <w:t>tobillo-</w:t>
      </w:r>
      <w:r w:rsidRPr="00495A0D">
        <w:rPr>
          <w:rFonts w:ascii="Times New Roman" w:hAnsi="Times New Roman"/>
          <w:color w:val="000000" w:themeColor="text1"/>
          <w:sz w:val="24"/>
          <w:szCs w:val="24"/>
        </w:rPr>
        <w:t>brazo</w:t>
      </w:r>
      <w:r w:rsidR="00407588"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w:t>
      </w:r>
      <w:r w:rsidR="00407588" w:rsidRPr="00495A0D">
        <w:rPr>
          <w:rFonts w:ascii="Times New Roman" w:hAnsi="Times New Roman"/>
          <w:color w:val="000000" w:themeColor="text1"/>
          <w:sz w:val="24"/>
          <w:szCs w:val="24"/>
        </w:rPr>
        <w:t xml:space="preserve">siete </w:t>
      </w:r>
      <w:r w:rsidRPr="00495A0D">
        <w:rPr>
          <w:rFonts w:ascii="Times New Roman" w:hAnsi="Times New Roman"/>
          <w:color w:val="000000" w:themeColor="text1"/>
          <w:sz w:val="24"/>
          <w:szCs w:val="24"/>
        </w:rPr>
        <w:t>profesionales presentaron un</w:t>
      </w:r>
      <w:r w:rsidR="00407588" w:rsidRPr="00495A0D">
        <w:rPr>
          <w:rFonts w:ascii="Times New Roman" w:hAnsi="Times New Roman"/>
          <w:color w:val="000000" w:themeColor="text1"/>
          <w:sz w:val="24"/>
          <w:szCs w:val="24"/>
        </w:rPr>
        <w:t>o</w:t>
      </w:r>
      <w:r w:rsidRPr="00495A0D">
        <w:rPr>
          <w:rFonts w:ascii="Times New Roman" w:hAnsi="Times New Roman"/>
          <w:color w:val="000000" w:themeColor="text1"/>
          <w:sz w:val="24"/>
          <w:szCs w:val="24"/>
        </w:rPr>
        <w:t xml:space="preserve"> menor a 0.9 calificado como enfermedad arterial periférica, a pesar de no referir ninguna sintomatología en las extremidades (</w:t>
      </w:r>
      <w:r w:rsidR="00C449DA">
        <w:rPr>
          <w:rFonts w:ascii="Times New Roman" w:hAnsi="Times New Roman"/>
          <w:color w:val="000000" w:themeColor="text1"/>
          <w:sz w:val="24"/>
          <w:szCs w:val="24"/>
        </w:rPr>
        <w:t>F</w:t>
      </w:r>
      <w:r w:rsidR="00F45D52" w:rsidRPr="00495A0D">
        <w:rPr>
          <w:rFonts w:ascii="Times New Roman" w:hAnsi="Times New Roman"/>
          <w:color w:val="000000" w:themeColor="text1"/>
          <w:sz w:val="24"/>
          <w:szCs w:val="24"/>
        </w:rPr>
        <w:t xml:space="preserve">igura </w:t>
      </w:r>
      <w:r w:rsidRPr="00495A0D">
        <w:rPr>
          <w:rFonts w:ascii="Times New Roman" w:hAnsi="Times New Roman"/>
          <w:color w:val="000000" w:themeColor="text1"/>
          <w:sz w:val="24"/>
          <w:szCs w:val="24"/>
        </w:rPr>
        <w:t>1).</w:t>
      </w:r>
    </w:p>
    <w:p w14:paraId="1710B8AD" w14:textId="00BB1E15" w:rsidR="00ED1CB8" w:rsidRPr="00495A0D" w:rsidRDefault="00BC2376"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La totalidad</w:t>
      </w:r>
      <w:r w:rsidR="00713456" w:rsidRPr="00495A0D">
        <w:rPr>
          <w:rFonts w:ascii="Times New Roman" w:hAnsi="Times New Roman"/>
          <w:color w:val="000000" w:themeColor="text1"/>
          <w:sz w:val="24"/>
          <w:szCs w:val="24"/>
        </w:rPr>
        <w:t xml:space="preserve"> (25) de los profesionales de enfermería no </w:t>
      </w:r>
      <w:r w:rsidRPr="00495A0D">
        <w:rPr>
          <w:rFonts w:ascii="Times New Roman" w:hAnsi="Times New Roman"/>
          <w:color w:val="000000" w:themeColor="text1"/>
          <w:sz w:val="24"/>
          <w:szCs w:val="24"/>
        </w:rPr>
        <w:t xml:space="preserve">presentó </w:t>
      </w:r>
      <w:r w:rsidR="00713456" w:rsidRPr="00495A0D">
        <w:rPr>
          <w:rFonts w:ascii="Times New Roman" w:hAnsi="Times New Roman"/>
          <w:color w:val="000000" w:themeColor="text1"/>
          <w:sz w:val="24"/>
          <w:szCs w:val="24"/>
        </w:rPr>
        <w:t>problemas de hipertensión</w:t>
      </w:r>
      <w:r w:rsidRPr="00495A0D">
        <w:rPr>
          <w:rFonts w:ascii="Times New Roman" w:hAnsi="Times New Roman"/>
          <w:color w:val="000000" w:themeColor="text1"/>
          <w:sz w:val="24"/>
          <w:szCs w:val="24"/>
        </w:rPr>
        <w:t xml:space="preserve">. Sin </w:t>
      </w:r>
      <w:r w:rsidR="00713456" w:rsidRPr="00495A0D">
        <w:rPr>
          <w:rFonts w:ascii="Times New Roman" w:hAnsi="Times New Roman"/>
          <w:color w:val="000000" w:themeColor="text1"/>
          <w:sz w:val="24"/>
          <w:szCs w:val="24"/>
        </w:rPr>
        <w:t>embargo, es importante resaltar que 8 % (</w:t>
      </w:r>
      <w:r w:rsidRPr="00495A0D">
        <w:rPr>
          <w:rFonts w:ascii="Times New Roman" w:hAnsi="Times New Roman"/>
          <w:color w:val="000000" w:themeColor="text1"/>
          <w:sz w:val="24"/>
          <w:szCs w:val="24"/>
        </w:rPr>
        <w:t>dos</w:t>
      </w:r>
      <w:r w:rsidR="00713456" w:rsidRPr="00495A0D">
        <w:rPr>
          <w:rFonts w:ascii="Times New Roman" w:hAnsi="Times New Roman"/>
          <w:color w:val="000000" w:themeColor="text1"/>
          <w:sz w:val="24"/>
          <w:szCs w:val="24"/>
        </w:rPr>
        <w:t>) de ellos se encontraba en el grupo de prehipertensos (120-139 mmhg/80-89mmhg).</w:t>
      </w:r>
    </w:p>
    <w:p w14:paraId="15BF852E" w14:textId="2C53645D" w:rsidR="00A2710C" w:rsidRPr="00495A0D" w:rsidRDefault="00BC2376"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Por otro lado, </w:t>
      </w:r>
      <w:r w:rsidR="00A2710C" w:rsidRPr="00495A0D">
        <w:rPr>
          <w:rFonts w:ascii="Times New Roman" w:hAnsi="Times New Roman"/>
          <w:color w:val="000000" w:themeColor="text1"/>
          <w:sz w:val="24"/>
          <w:szCs w:val="24"/>
        </w:rPr>
        <w:t>96 %</w:t>
      </w:r>
      <w:r w:rsidR="00407134" w:rsidRPr="00495A0D">
        <w:rPr>
          <w:rFonts w:ascii="Times New Roman" w:hAnsi="Times New Roman"/>
          <w:color w:val="000000" w:themeColor="text1"/>
          <w:sz w:val="24"/>
          <w:szCs w:val="24"/>
        </w:rPr>
        <w:t xml:space="preserve"> (24</w:t>
      </w:r>
      <w:r w:rsidR="00111FD9" w:rsidRPr="00495A0D">
        <w:rPr>
          <w:rFonts w:ascii="Times New Roman" w:hAnsi="Times New Roman"/>
          <w:color w:val="000000" w:themeColor="text1"/>
          <w:sz w:val="24"/>
          <w:szCs w:val="24"/>
        </w:rPr>
        <w:t>)</w:t>
      </w:r>
      <w:r w:rsidR="00A2710C" w:rsidRPr="00495A0D">
        <w:rPr>
          <w:rFonts w:ascii="Times New Roman" w:hAnsi="Times New Roman"/>
          <w:color w:val="000000" w:themeColor="text1"/>
          <w:sz w:val="24"/>
          <w:szCs w:val="24"/>
        </w:rPr>
        <w:t xml:space="preserve"> de los participantes desconoce la ingesta de sal permisible en 24 horas señalada por la OMS (menor de 5</w:t>
      </w:r>
      <w:r w:rsidRPr="00495A0D">
        <w:rPr>
          <w:rFonts w:ascii="Times New Roman" w:hAnsi="Times New Roman"/>
          <w:color w:val="000000" w:themeColor="text1"/>
          <w:sz w:val="24"/>
          <w:szCs w:val="24"/>
        </w:rPr>
        <w:t xml:space="preserve"> g/</w:t>
      </w:r>
      <w:r w:rsidR="00A2710C" w:rsidRPr="00495A0D">
        <w:rPr>
          <w:rFonts w:ascii="Times New Roman" w:hAnsi="Times New Roman"/>
          <w:color w:val="000000" w:themeColor="text1"/>
          <w:sz w:val="24"/>
          <w:szCs w:val="24"/>
        </w:rPr>
        <w:t>día) y 24</w:t>
      </w:r>
      <w:r w:rsidRPr="00495A0D">
        <w:rPr>
          <w:rFonts w:ascii="Times New Roman" w:hAnsi="Times New Roman"/>
          <w:color w:val="000000" w:themeColor="text1"/>
          <w:sz w:val="24"/>
          <w:szCs w:val="24"/>
        </w:rPr>
        <w:t xml:space="preserve"> </w:t>
      </w:r>
      <w:r w:rsidR="00A2710C" w:rsidRPr="00495A0D">
        <w:rPr>
          <w:rFonts w:ascii="Times New Roman" w:hAnsi="Times New Roman"/>
          <w:color w:val="000000" w:themeColor="text1"/>
          <w:sz w:val="24"/>
          <w:szCs w:val="24"/>
        </w:rPr>
        <w:t xml:space="preserve">% </w:t>
      </w:r>
      <w:r w:rsidR="00407134"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seis</w:t>
      </w:r>
      <w:r w:rsidR="00262D45" w:rsidRPr="00495A0D">
        <w:rPr>
          <w:rFonts w:ascii="Times New Roman" w:hAnsi="Times New Roman"/>
          <w:color w:val="000000" w:themeColor="text1"/>
          <w:sz w:val="24"/>
          <w:szCs w:val="24"/>
        </w:rPr>
        <w:t xml:space="preserve">) </w:t>
      </w:r>
      <w:r w:rsidR="00A2710C" w:rsidRPr="00495A0D">
        <w:rPr>
          <w:rFonts w:ascii="Times New Roman" w:hAnsi="Times New Roman"/>
          <w:color w:val="000000" w:themeColor="text1"/>
          <w:sz w:val="24"/>
          <w:szCs w:val="24"/>
        </w:rPr>
        <w:t>consume</w:t>
      </w:r>
      <w:r w:rsidRPr="00495A0D">
        <w:rPr>
          <w:rFonts w:ascii="Times New Roman" w:hAnsi="Times New Roman"/>
          <w:color w:val="000000" w:themeColor="text1"/>
          <w:sz w:val="24"/>
          <w:szCs w:val="24"/>
        </w:rPr>
        <w:t>,</w:t>
      </w:r>
      <w:r w:rsidR="00A2710C" w:rsidRPr="00495A0D">
        <w:rPr>
          <w:rFonts w:ascii="Times New Roman" w:hAnsi="Times New Roman"/>
          <w:color w:val="000000" w:themeColor="text1"/>
          <w:sz w:val="24"/>
          <w:szCs w:val="24"/>
        </w:rPr>
        <w:t xml:space="preserve"> a menudo</w:t>
      </w:r>
      <w:r w:rsidRPr="00495A0D">
        <w:rPr>
          <w:rFonts w:ascii="Times New Roman" w:hAnsi="Times New Roman"/>
          <w:color w:val="000000" w:themeColor="text1"/>
          <w:sz w:val="24"/>
          <w:szCs w:val="24"/>
        </w:rPr>
        <w:t>,</w:t>
      </w:r>
      <w:r w:rsidR="00A2710C" w:rsidRPr="00495A0D">
        <w:rPr>
          <w:rFonts w:ascii="Times New Roman" w:hAnsi="Times New Roman"/>
          <w:color w:val="000000" w:themeColor="text1"/>
          <w:sz w:val="24"/>
          <w:szCs w:val="24"/>
        </w:rPr>
        <w:t xml:space="preserve"> alimentos procesados altos en </w:t>
      </w:r>
      <w:r w:rsidR="00EF78C3" w:rsidRPr="00495A0D">
        <w:rPr>
          <w:rFonts w:ascii="Times New Roman" w:hAnsi="Times New Roman"/>
          <w:color w:val="000000" w:themeColor="text1"/>
          <w:sz w:val="24"/>
          <w:szCs w:val="24"/>
        </w:rPr>
        <w:t xml:space="preserve">contenido de </w:t>
      </w:r>
      <w:r w:rsidR="00A2710C" w:rsidRPr="00495A0D">
        <w:rPr>
          <w:rFonts w:ascii="Times New Roman" w:hAnsi="Times New Roman"/>
          <w:color w:val="000000" w:themeColor="text1"/>
          <w:sz w:val="24"/>
          <w:szCs w:val="24"/>
        </w:rPr>
        <w:t>sodio.</w:t>
      </w:r>
    </w:p>
    <w:p w14:paraId="0EBFB7B0" w14:textId="1DF5659E" w:rsidR="008258BC" w:rsidRPr="00495A0D" w:rsidRDefault="008258BC"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En cuanto </w:t>
      </w:r>
      <w:r w:rsidR="009504BD" w:rsidRPr="00495A0D">
        <w:rPr>
          <w:rFonts w:ascii="Times New Roman" w:hAnsi="Times New Roman"/>
          <w:color w:val="000000" w:themeColor="text1"/>
          <w:sz w:val="24"/>
          <w:szCs w:val="24"/>
        </w:rPr>
        <w:t xml:space="preserve">al </w:t>
      </w:r>
      <w:r w:rsidRPr="00495A0D">
        <w:rPr>
          <w:rFonts w:ascii="Times New Roman" w:hAnsi="Times New Roman"/>
          <w:color w:val="000000" w:themeColor="text1"/>
          <w:sz w:val="24"/>
          <w:szCs w:val="24"/>
        </w:rPr>
        <w:t>prod</w:t>
      </w:r>
      <w:r w:rsidR="006D71FD" w:rsidRPr="00495A0D">
        <w:rPr>
          <w:rFonts w:ascii="Times New Roman" w:hAnsi="Times New Roman"/>
          <w:color w:val="000000" w:themeColor="text1"/>
          <w:sz w:val="24"/>
          <w:szCs w:val="24"/>
        </w:rPr>
        <w:t>ucto de acumulación de lípidos LAP</w:t>
      </w:r>
      <w:r w:rsidR="009504BD" w:rsidRPr="00495A0D">
        <w:rPr>
          <w:rFonts w:ascii="Times New Roman" w:hAnsi="Times New Roman"/>
          <w:color w:val="000000" w:themeColor="text1"/>
          <w:sz w:val="24"/>
          <w:szCs w:val="24"/>
        </w:rPr>
        <w:t>,</w:t>
      </w:r>
      <w:r w:rsidR="006D71FD" w:rsidRPr="00495A0D">
        <w:rPr>
          <w:rFonts w:ascii="Times New Roman" w:hAnsi="Times New Roman"/>
          <w:color w:val="000000" w:themeColor="text1"/>
          <w:sz w:val="24"/>
          <w:szCs w:val="24"/>
        </w:rPr>
        <w:t xml:space="preserve"> la cifra</w:t>
      </w:r>
      <w:r w:rsidRPr="00495A0D">
        <w:rPr>
          <w:rFonts w:ascii="Times New Roman" w:hAnsi="Times New Roman"/>
          <w:color w:val="000000" w:themeColor="text1"/>
          <w:sz w:val="24"/>
          <w:szCs w:val="24"/>
        </w:rPr>
        <w:t xml:space="preserve"> en prom</w:t>
      </w:r>
      <w:r w:rsidR="006D71FD" w:rsidRPr="00495A0D">
        <w:rPr>
          <w:rFonts w:ascii="Times New Roman" w:hAnsi="Times New Roman"/>
          <w:color w:val="000000" w:themeColor="text1"/>
          <w:sz w:val="24"/>
          <w:szCs w:val="24"/>
        </w:rPr>
        <w:t>edio de</w:t>
      </w:r>
      <w:r w:rsidRPr="00495A0D">
        <w:rPr>
          <w:rFonts w:ascii="Times New Roman" w:hAnsi="Times New Roman"/>
          <w:color w:val="000000" w:themeColor="text1"/>
          <w:sz w:val="24"/>
          <w:szCs w:val="24"/>
        </w:rPr>
        <w:t xml:space="preserve"> las enfermeras fue de 69.9</w:t>
      </w:r>
      <w:r w:rsidR="00896AC3" w:rsidRPr="00495A0D">
        <w:rPr>
          <w:rFonts w:ascii="Times New Roman" w:hAnsi="Times New Roman"/>
          <w:color w:val="000000" w:themeColor="text1"/>
          <w:sz w:val="24"/>
          <w:szCs w:val="24"/>
        </w:rPr>
        <w:t xml:space="preserve"> centímetros por mmol/L</w:t>
      </w:r>
      <w:r w:rsidR="006728CA" w:rsidRPr="00495A0D">
        <w:rPr>
          <w:rFonts w:ascii="Times New Roman" w:hAnsi="Times New Roman"/>
          <w:color w:val="000000" w:themeColor="text1"/>
          <w:sz w:val="24"/>
          <w:szCs w:val="24"/>
        </w:rPr>
        <w:t>;</w:t>
      </w:r>
      <w:r w:rsidR="00F77D28" w:rsidRPr="00495A0D">
        <w:rPr>
          <w:rFonts w:ascii="Times New Roman" w:hAnsi="Times New Roman"/>
          <w:color w:val="000000" w:themeColor="text1"/>
          <w:sz w:val="24"/>
          <w:szCs w:val="24"/>
        </w:rPr>
        <w:t xml:space="preserve"> presentándose cifras de riesgo </w:t>
      </w:r>
      <w:r w:rsidR="000733F3" w:rsidRPr="00495A0D">
        <w:rPr>
          <w:rFonts w:ascii="Times New Roman" w:hAnsi="Times New Roman"/>
          <w:color w:val="000000" w:themeColor="text1"/>
          <w:sz w:val="24"/>
          <w:szCs w:val="24"/>
        </w:rPr>
        <w:t xml:space="preserve">coronario </w:t>
      </w:r>
      <w:r w:rsidR="00F77D28" w:rsidRPr="00495A0D">
        <w:rPr>
          <w:rFonts w:ascii="Times New Roman" w:hAnsi="Times New Roman"/>
          <w:color w:val="000000" w:themeColor="text1"/>
          <w:sz w:val="24"/>
          <w:szCs w:val="24"/>
        </w:rPr>
        <w:t>en 60</w:t>
      </w:r>
      <w:r w:rsidR="008477F5" w:rsidRPr="00495A0D">
        <w:rPr>
          <w:rFonts w:ascii="Times New Roman" w:hAnsi="Times New Roman"/>
          <w:color w:val="000000" w:themeColor="text1"/>
          <w:sz w:val="24"/>
          <w:szCs w:val="24"/>
        </w:rPr>
        <w:t xml:space="preserve"> </w:t>
      </w:r>
      <w:r w:rsidR="00F77D28" w:rsidRPr="00495A0D">
        <w:rPr>
          <w:rFonts w:ascii="Times New Roman" w:hAnsi="Times New Roman"/>
          <w:color w:val="000000" w:themeColor="text1"/>
          <w:sz w:val="24"/>
          <w:szCs w:val="24"/>
        </w:rPr>
        <w:t xml:space="preserve">% </w:t>
      </w:r>
      <w:r w:rsidR="00407134" w:rsidRPr="00495A0D">
        <w:rPr>
          <w:rFonts w:ascii="Times New Roman" w:hAnsi="Times New Roman"/>
          <w:color w:val="000000" w:themeColor="text1"/>
          <w:sz w:val="24"/>
          <w:szCs w:val="24"/>
        </w:rPr>
        <w:t>(15</w:t>
      </w:r>
      <w:r w:rsidR="000733F3" w:rsidRPr="00495A0D">
        <w:rPr>
          <w:rFonts w:ascii="Times New Roman" w:hAnsi="Times New Roman"/>
          <w:color w:val="000000" w:themeColor="text1"/>
          <w:sz w:val="24"/>
          <w:szCs w:val="24"/>
        </w:rPr>
        <w:t xml:space="preserve">) </w:t>
      </w:r>
      <w:r w:rsidR="00F77D28" w:rsidRPr="00495A0D">
        <w:rPr>
          <w:rFonts w:ascii="Times New Roman" w:hAnsi="Times New Roman"/>
          <w:color w:val="000000" w:themeColor="text1"/>
          <w:sz w:val="24"/>
          <w:szCs w:val="24"/>
        </w:rPr>
        <w:t>de la población</w:t>
      </w:r>
      <w:r w:rsidR="00861C44" w:rsidRPr="00495A0D">
        <w:rPr>
          <w:rFonts w:ascii="Times New Roman" w:hAnsi="Times New Roman"/>
          <w:color w:val="000000" w:themeColor="text1"/>
          <w:sz w:val="24"/>
          <w:szCs w:val="24"/>
        </w:rPr>
        <w:t xml:space="preserve"> (</w:t>
      </w:r>
      <w:r w:rsidR="00355C05">
        <w:rPr>
          <w:rFonts w:ascii="Times New Roman" w:hAnsi="Times New Roman"/>
          <w:color w:val="000000" w:themeColor="text1"/>
          <w:sz w:val="24"/>
          <w:szCs w:val="24"/>
        </w:rPr>
        <w:t>F</w:t>
      </w:r>
      <w:r w:rsidR="008477F5" w:rsidRPr="00495A0D">
        <w:rPr>
          <w:rFonts w:ascii="Times New Roman" w:hAnsi="Times New Roman"/>
          <w:color w:val="000000" w:themeColor="text1"/>
          <w:sz w:val="24"/>
          <w:szCs w:val="24"/>
        </w:rPr>
        <w:t xml:space="preserve">igura </w:t>
      </w:r>
      <w:r w:rsidR="00861C44" w:rsidRPr="00495A0D">
        <w:rPr>
          <w:rFonts w:ascii="Times New Roman" w:hAnsi="Times New Roman"/>
          <w:color w:val="000000" w:themeColor="text1"/>
          <w:sz w:val="24"/>
          <w:szCs w:val="24"/>
        </w:rPr>
        <w:t>2).</w:t>
      </w:r>
    </w:p>
    <w:p w14:paraId="6BF69BC0" w14:textId="1AD04CB9" w:rsidR="008258BC" w:rsidRDefault="002340D2"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Respecto</w:t>
      </w:r>
      <w:r w:rsidR="00822AAD" w:rsidRPr="00495A0D">
        <w:rPr>
          <w:rFonts w:ascii="Times New Roman" w:hAnsi="Times New Roman"/>
          <w:color w:val="000000" w:themeColor="text1"/>
          <w:sz w:val="24"/>
          <w:szCs w:val="24"/>
        </w:rPr>
        <w:t xml:space="preserve"> al perfil de lípidos utilizado como biomarcador sérico</w:t>
      </w:r>
      <w:r w:rsidR="008477F5" w:rsidRPr="00495A0D">
        <w:rPr>
          <w:rFonts w:ascii="Times New Roman" w:hAnsi="Times New Roman"/>
          <w:color w:val="000000" w:themeColor="text1"/>
          <w:sz w:val="24"/>
          <w:szCs w:val="24"/>
        </w:rPr>
        <w:t>,</w:t>
      </w:r>
      <w:r w:rsidR="00822AAD" w:rsidRPr="00495A0D">
        <w:rPr>
          <w:rFonts w:ascii="Times New Roman" w:hAnsi="Times New Roman"/>
          <w:color w:val="000000" w:themeColor="text1"/>
          <w:sz w:val="24"/>
          <w:szCs w:val="24"/>
        </w:rPr>
        <w:t xml:space="preserve"> se observó que 24</w:t>
      </w:r>
      <w:r w:rsidR="008477F5" w:rsidRPr="00495A0D">
        <w:rPr>
          <w:rFonts w:ascii="Times New Roman" w:hAnsi="Times New Roman"/>
          <w:color w:val="000000" w:themeColor="text1"/>
          <w:sz w:val="24"/>
          <w:szCs w:val="24"/>
        </w:rPr>
        <w:t xml:space="preserve"> </w:t>
      </w:r>
      <w:r w:rsidR="00822AAD" w:rsidRPr="00495A0D">
        <w:rPr>
          <w:rFonts w:ascii="Times New Roman" w:hAnsi="Times New Roman"/>
          <w:color w:val="000000" w:themeColor="text1"/>
          <w:sz w:val="24"/>
          <w:szCs w:val="24"/>
        </w:rPr>
        <w:t xml:space="preserve">% </w:t>
      </w:r>
      <w:r w:rsidR="00407134" w:rsidRPr="00495A0D">
        <w:rPr>
          <w:rFonts w:ascii="Times New Roman" w:hAnsi="Times New Roman"/>
          <w:color w:val="000000" w:themeColor="text1"/>
          <w:sz w:val="24"/>
          <w:szCs w:val="24"/>
        </w:rPr>
        <w:t>(</w:t>
      </w:r>
      <w:r w:rsidR="008477F5" w:rsidRPr="00495A0D">
        <w:rPr>
          <w:rFonts w:ascii="Times New Roman" w:hAnsi="Times New Roman"/>
          <w:color w:val="000000" w:themeColor="text1"/>
          <w:sz w:val="24"/>
          <w:szCs w:val="24"/>
        </w:rPr>
        <w:t>seis</w:t>
      </w:r>
      <w:r w:rsidR="00EC0C7B" w:rsidRPr="00495A0D">
        <w:rPr>
          <w:rFonts w:ascii="Times New Roman" w:hAnsi="Times New Roman"/>
          <w:color w:val="000000" w:themeColor="text1"/>
          <w:sz w:val="24"/>
          <w:szCs w:val="24"/>
        </w:rPr>
        <w:t xml:space="preserve">) </w:t>
      </w:r>
      <w:r w:rsidR="00822AAD" w:rsidRPr="00495A0D">
        <w:rPr>
          <w:rFonts w:ascii="Times New Roman" w:hAnsi="Times New Roman"/>
          <w:color w:val="000000" w:themeColor="text1"/>
          <w:sz w:val="24"/>
          <w:szCs w:val="24"/>
        </w:rPr>
        <w:t xml:space="preserve">mostró incremento en las cifras de </w:t>
      </w:r>
      <w:r w:rsidR="00813E99" w:rsidRPr="00495A0D">
        <w:rPr>
          <w:rFonts w:ascii="Times New Roman" w:hAnsi="Times New Roman"/>
          <w:color w:val="000000" w:themeColor="text1"/>
          <w:sz w:val="24"/>
          <w:szCs w:val="24"/>
        </w:rPr>
        <w:t xml:space="preserve">colesterol total; </w:t>
      </w:r>
      <w:r w:rsidR="00822AAD" w:rsidRPr="00495A0D">
        <w:rPr>
          <w:rFonts w:ascii="Times New Roman" w:hAnsi="Times New Roman"/>
          <w:color w:val="000000" w:themeColor="text1"/>
          <w:sz w:val="24"/>
          <w:szCs w:val="24"/>
        </w:rPr>
        <w:t>56</w:t>
      </w:r>
      <w:r w:rsidR="008477F5" w:rsidRPr="00495A0D">
        <w:rPr>
          <w:rFonts w:ascii="Times New Roman" w:hAnsi="Times New Roman"/>
          <w:color w:val="000000" w:themeColor="text1"/>
          <w:sz w:val="24"/>
          <w:szCs w:val="24"/>
        </w:rPr>
        <w:t xml:space="preserve"> </w:t>
      </w:r>
      <w:r w:rsidR="00822AAD" w:rsidRPr="00495A0D">
        <w:rPr>
          <w:rFonts w:ascii="Times New Roman" w:hAnsi="Times New Roman"/>
          <w:color w:val="000000" w:themeColor="text1"/>
          <w:sz w:val="24"/>
          <w:szCs w:val="24"/>
        </w:rPr>
        <w:t xml:space="preserve">% </w:t>
      </w:r>
      <w:r w:rsidR="00407134" w:rsidRPr="00495A0D">
        <w:rPr>
          <w:rFonts w:ascii="Times New Roman" w:hAnsi="Times New Roman"/>
          <w:color w:val="000000" w:themeColor="text1"/>
          <w:sz w:val="24"/>
          <w:szCs w:val="24"/>
        </w:rPr>
        <w:t>(14</w:t>
      </w:r>
      <w:r w:rsidR="001E64ED" w:rsidRPr="00495A0D">
        <w:rPr>
          <w:rFonts w:ascii="Times New Roman" w:hAnsi="Times New Roman"/>
          <w:color w:val="000000" w:themeColor="text1"/>
          <w:sz w:val="24"/>
          <w:szCs w:val="24"/>
        </w:rPr>
        <w:t xml:space="preserve">) </w:t>
      </w:r>
      <w:r w:rsidR="00822AAD" w:rsidRPr="00495A0D">
        <w:rPr>
          <w:rFonts w:ascii="Times New Roman" w:hAnsi="Times New Roman"/>
          <w:color w:val="000000" w:themeColor="text1"/>
          <w:sz w:val="24"/>
          <w:szCs w:val="24"/>
        </w:rPr>
        <w:t xml:space="preserve">de la </w:t>
      </w:r>
      <w:r w:rsidR="008D7CBB" w:rsidRPr="00495A0D">
        <w:rPr>
          <w:rFonts w:ascii="Times New Roman" w:hAnsi="Times New Roman"/>
          <w:color w:val="000000" w:themeColor="text1"/>
          <w:sz w:val="24"/>
          <w:szCs w:val="24"/>
        </w:rPr>
        <w:t>población mostró</w:t>
      </w:r>
      <w:r w:rsidR="00822AAD" w:rsidRPr="00495A0D">
        <w:rPr>
          <w:rFonts w:ascii="Times New Roman" w:hAnsi="Times New Roman"/>
          <w:color w:val="000000" w:themeColor="text1"/>
          <w:sz w:val="24"/>
          <w:szCs w:val="24"/>
        </w:rPr>
        <w:t xml:space="preserve"> una disminución en el colesterol HDL y 36</w:t>
      </w:r>
      <w:r w:rsidR="00F45D52" w:rsidRPr="00495A0D">
        <w:rPr>
          <w:rFonts w:ascii="Times New Roman" w:hAnsi="Times New Roman"/>
          <w:color w:val="000000" w:themeColor="text1"/>
          <w:sz w:val="24"/>
          <w:szCs w:val="24"/>
        </w:rPr>
        <w:t xml:space="preserve"> </w:t>
      </w:r>
      <w:r w:rsidR="00822AAD" w:rsidRPr="00495A0D">
        <w:rPr>
          <w:rFonts w:ascii="Times New Roman" w:hAnsi="Times New Roman"/>
          <w:color w:val="000000" w:themeColor="text1"/>
          <w:sz w:val="24"/>
          <w:szCs w:val="24"/>
        </w:rPr>
        <w:t>%</w:t>
      </w:r>
      <w:r w:rsidR="00407134" w:rsidRPr="00495A0D">
        <w:rPr>
          <w:rFonts w:ascii="Times New Roman" w:hAnsi="Times New Roman"/>
          <w:color w:val="000000" w:themeColor="text1"/>
          <w:sz w:val="24"/>
          <w:szCs w:val="24"/>
        </w:rPr>
        <w:t xml:space="preserve"> (</w:t>
      </w:r>
      <w:r w:rsidR="008477F5" w:rsidRPr="00495A0D">
        <w:rPr>
          <w:rFonts w:ascii="Times New Roman" w:hAnsi="Times New Roman"/>
          <w:color w:val="000000" w:themeColor="text1"/>
          <w:sz w:val="24"/>
          <w:szCs w:val="24"/>
        </w:rPr>
        <w:t>nueve</w:t>
      </w:r>
      <w:r w:rsidR="00AA7E90" w:rsidRPr="00495A0D">
        <w:rPr>
          <w:rFonts w:ascii="Times New Roman" w:hAnsi="Times New Roman"/>
          <w:color w:val="000000" w:themeColor="text1"/>
          <w:sz w:val="24"/>
          <w:szCs w:val="24"/>
        </w:rPr>
        <w:t>)</w:t>
      </w:r>
      <w:r w:rsidR="00822AAD" w:rsidRPr="00495A0D">
        <w:rPr>
          <w:rFonts w:ascii="Times New Roman" w:hAnsi="Times New Roman"/>
          <w:color w:val="000000" w:themeColor="text1"/>
          <w:sz w:val="24"/>
          <w:szCs w:val="24"/>
        </w:rPr>
        <w:t xml:space="preserve"> </w:t>
      </w:r>
      <w:r w:rsidR="008477F5" w:rsidRPr="00495A0D">
        <w:rPr>
          <w:rFonts w:ascii="Times New Roman" w:hAnsi="Times New Roman"/>
          <w:color w:val="000000" w:themeColor="text1"/>
          <w:sz w:val="24"/>
          <w:szCs w:val="24"/>
        </w:rPr>
        <w:t xml:space="preserve">presentó </w:t>
      </w:r>
      <w:r w:rsidR="00822AAD" w:rsidRPr="00495A0D">
        <w:rPr>
          <w:rFonts w:ascii="Times New Roman" w:hAnsi="Times New Roman"/>
          <w:color w:val="000000" w:themeColor="text1"/>
          <w:sz w:val="24"/>
          <w:szCs w:val="24"/>
        </w:rPr>
        <w:t>niveles sé</w:t>
      </w:r>
      <w:r w:rsidR="00813E99" w:rsidRPr="00495A0D">
        <w:rPr>
          <w:rFonts w:ascii="Times New Roman" w:hAnsi="Times New Roman"/>
          <w:color w:val="000000" w:themeColor="text1"/>
          <w:sz w:val="24"/>
          <w:szCs w:val="24"/>
        </w:rPr>
        <w:t>ricos de riesgo en triglicéridos</w:t>
      </w:r>
      <w:r w:rsidR="00822AAD" w:rsidRPr="00495A0D">
        <w:rPr>
          <w:rFonts w:ascii="Times New Roman" w:hAnsi="Times New Roman"/>
          <w:color w:val="000000" w:themeColor="text1"/>
          <w:sz w:val="24"/>
          <w:szCs w:val="24"/>
        </w:rPr>
        <w:t>.</w:t>
      </w:r>
    </w:p>
    <w:p w14:paraId="441C0BD4" w14:textId="02FEADD2" w:rsidR="00B07455" w:rsidRDefault="00B07455" w:rsidP="00495A0D">
      <w:pPr>
        <w:spacing w:after="0" w:line="360" w:lineRule="auto"/>
        <w:ind w:firstLine="708"/>
        <w:jc w:val="both"/>
        <w:rPr>
          <w:rFonts w:ascii="Times New Roman" w:hAnsi="Times New Roman"/>
          <w:color w:val="000000" w:themeColor="text1"/>
          <w:sz w:val="24"/>
          <w:szCs w:val="24"/>
        </w:rPr>
      </w:pPr>
    </w:p>
    <w:p w14:paraId="7F5EF0AE" w14:textId="78444789" w:rsidR="00B07455" w:rsidRDefault="00B07455" w:rsidP="00495A0D">
      <w:pPr>
        <w:spacing w:after="0" w:line="360" w:lineRule="auto"/>
        <w:ind w:firstLine="708"/>
        <w:jc w:val="both"/>
        <w:rPr>
          <w:rFonts w:ascii="Times New Roman" w:hAnsi="Times New Roman"/>
          <w:color w:val="000000" w:themeColor="text1"/>
          <w:sz w:val="24"/>
          <w:szCs w:val="24"/>
        </w:rPr>
      </w:pPr>
    </w:p>
    <w:p w14:paraId="6E793B24" w14:textId="3BDED554" w:rsidR="00B07455" w:rsidRDefault="00B07455" w:rsidP="00495A0D">
      <w:pPr>
        <w:spacing w:after="0" w:line="360" w:lineRule="auto"/>
        <w:ind w:firstLine="708"/>
        <w:jc w:val="both"/>
        <w:rPr>
          <w:rFonts w:ascii="Times New Roman" w:hAnsi="Times New Roman"/>
          <w:color w:val="000000" w:themeColor="text1"/>
          <w:sz w:val="24"/>
          <w:szCs w:val="24"/>
        </w:rPr>
      </w:pPr>
    </w:p>
    <w:p w14:paraId="6EAADE17" w14:textId="598B8C40" w:rsidR="00B07455" w:rsidRDefault="00B07455" w:rsidP="00495A0D">
      <w:pPr>
        <w:spacing w:after="0" w:line="360" w:lineRule="auto"/>
        <w:ind w:firstLine="708"/>
        <w:jc w:val="both"/>
        <w:rPr>
          <w:rFonts w:ascii="Times New Roman" w:hAnsi="Times New Roman"/>
          <w:color w:val="000000" w:themeColor="text1"/>
          <w:sz w:val="24"/>
          <w:szCs w:val="24"/>
        </w:rPr>
      </w:pPr>
    </w:p>
    <w:p w14:paraId="599062AB" w14:textId="132617C9" w:rsidR="00D27A09" w:rsidRDefault="00D27A09" w:rsidP="00495A0D">
      <w:pPr>
        <w:spacing w:after="0" w:line="360" w:lineRule="auto"/>
        <w:ind w:firstLine="708"/>
        <w:jc w:val="both"/>
        <w:rPr>
          <w:rFonts w:ascii="Times New Roman" w:hAnsi="Times New Roman"/>
          <w:color w:val="000000" w:themeColor="text1"/>
          <w:sz w:val="24"/>
          <w:szCs w:val="24"/>
        </w:rPr>
      </w:pPr>
    </w:p>
    <w:p w14:paraId="376B2F72" w14:textId="2607EF73" w:rsidR="00D27A09" w:rsidRDefault="00D27A09" w:rsidP="00495A0D">
      <w:pPr>
        <w:spacing w:after="0" w:line="360" w:lineRule="auto"/>
        <w:ind w:firstLine="708"/>
        <w:jc w:val="both"/>
        <w:rPr>
          <w:rFonts w:ascii="Times New Roman" w:hAnsi="Times New Roman"/>
          <w:color w:val="000000" w:themeColor="text1"/>
          <w:sz w:val="24"/>
          <w:szCs w:val="24"/>
        </w:rPr>
      </w:pPr>
    </w:p>
    <w:p w14:paraId="1979C9C0" w14:textId="703D7C5A" w:rsidR="00D27A09" w:rsidRDefault="00D27A09" w:rsidP="00495A0D">
      <w:pPr>
        <w:spacing w:after="0" w:line="360" w:lineRule="auto"/>
        <w:ind w:firstLine="708"/>
        <w:jc w:val="both"/>
        <w:rPr>
          <w:rFonts w:ascii="Times New Roman" w:hAnsi="Times New Roman"/>
          <w:color w:val="000000" w:themeColor="text1"/>
          <w:sz w:val="24"/>
          <w:szCs w:val="24"/>
        </w:rPr>
      </w:pPr>
    </w:p>
    <w:p w14:paraId="01D86BFB" w14:textId="66B32338" w:rsidR="00D27A09" w:rsidRDefault="00D27A09" w:rsidP="00495A0D">
      <w:pPr>
        <w:spacing w:after="0" w:line="360" w:lineRule="auto"/>
        <w:ind w:firstLine="708"/>
        <w:jc w:val="both"/>
        <w:rPr>
          <w:rFonts w:ascii="Times New Roman" w:hAnsi="Times New Roman"/>
          <w:color w:val="000000" w:themeColor="text1"/>
          <w:sz w:val="24"/>
          <w:szCs w:val="24"/>
        </w:rPr>
      </w:pPr>
    </w:p>
    <w:p w14:paraId="015B0D8A" w14:textId="77777777" w:rsidR="00D27A09" w:rsidRDefault="00D27A09" w:rsidP="00495A0D">
      <w:pPr>
        <w:spacing w:after="0" w:line="360" w:lineRule="auto"/>
        <w:ind w:firstLine="708"/>
        <w:jc w:val="both"/>
        <w:rPr>
          <w:rFonts w:ascii="Times New Roman" w:hAnsi="Times New Roman"/>
          <w:color w:val="000000" w:themeColor="text1"/>
          <w:sz w:val="24"/>
          <w:szCs w:val="24"/>
        </w:rPr>
      </w:pPr>
    </w:p>
    <w:p w14:paraId="75604F02" w14:textId="5BE7646D" w:rsidR="007734A5" w:rsidRPr="007734A5" w:rsidRDefault="007734A5" w:rsidP="008F7BDC">
      <w:pPr>
        <w:spacing w:after="0" w:line="360" w:lineRule="auto"/>
        <w:jc w:val="center"/>
        <w:rPr>
          <w:rFonts w:ascii="Times New Roman" w:hAnsi="Times New Roman"/>
          <w:color w:val="000000" w:themeColor="text1"/>
          <w:sz w:val="24"/>
          <w:szCs w:val="24"/>
        </w:rPr>
      </w:pPr>
      <w:r>
        <w:rPr>
          <w:rFonts w:ascii="Times New Roman" w:hAnsi="Times New Roman"/>
          <w:b/>
          <w:color w:val="000000" w:themeColor="text1"/>
          <w:sz w:val="24"/>
          <w:szCs w:val="24"/>
        </w:rPr>
        <w:lastRenderedPageBreak/>
        <w:t xml:space="preserve">Figura 1. </w:t>
      </w:r>
      <w:r>
        <w:rPr>
          <w:rFonts w:ascii="Times New Roman" w:hAnsi="Times New Roman"/>
          <w:color w:val="000000" w:themeColor="text1"/>
          <w:sz w:val="24"/>
          <w:szCs w:val="24"/>
        </w:rPr>
        <w:t>Clasificación de los profesionales de enfermería basada en índice tobillo – brazo (n= 25).</w:t>
      </w:r>
    </w:p>
    <w:p w14:paraId="6CCF3176" w14:textId="77777777" w:rsidR="007734A5" w:rsidRPr="00447037" w:rsidRDefault="007734A5" w:rsidP="00D44C9B">
      <w:pPr>
        <w:spacing w:after="0" w:line="360" w:lineRule="auto"/>
        <w:jc w:val="both"/>
        <w:rPr>
          <w:rFonts w:ascii="Arial" w:hAnsi="Arial" w:cs="Arial"/>
          <w:color w:val="000000" w:themeColor="text1"/>
          <w:sz w:val="24"/>
          <w:szCs w:val="24"/>
        </w:rPr>
      </w:pPr>
    </w:p>
    <w:p w14:paraId="1DC061C7" w14:textId="40CCF7BF" w:rsidR="00F525A5" w:rsidRDefault="00155DC1" w:rsidP="00D24753">
      <w:pPr>
        <w:spacing w:after="0"/>
        <w:jc w:val="both"/>
        <w:rPr>
          <w:rFonts w:ascii="Arial" w:hAnsi="Arial" w:cs="Arial"/>
          <w:color w:val="000000" w:themeColor="text1"/>
          <w:sz w:val="24"/>
          <w:szCs w:val="24"/>
        </w:rPr>
      </w:pPr>
      <w:r>
        <w:rPr>
          <w:noProof/>
          <w:lang w:eastAsia="es-MX"/>
        </w:rPr>
        <w:drawing>
          <wp:inline distT="0" distB="0" distL="0" distR="0" wp14:anchorId="1E38C150" wp14:editId="6BF212ED">
            <wp:extent cx="5381625" cy="5867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5867400"/>
                    </a:xfrm>
                    <a:prstGeom prst="rect">
                      <a:avLst/>
                    </a:prstGeom>
                    <a:noFill/>
                    <a:ln>
                      <a:noFill/>
                    </a:ln>
                  </pic:spPr>
                </pic:pic>
              </a:graphicData>
            </a:graphic>
          </wp:inline>
        </w:drawing>
      </w:r>
      <w:r w:rsidR="00F525A5" w:rsidRPr="00447037">
        <w:rPr>
          <w:rFonts w:ascii="Arial" w:hAnsi="Arial" w:cs="Arial"/>
          <w:color w:val="000000" w:themeColor="text1"/>
          <w:sz w:val="24"/>
          <w:szCs w:val="24"/>
        </w:rPr>
        <w:t xml:space="preserve"> </w:t>
      </w:r>
    </w:p>
    <w:p w14:paraId="7E885D5A" w14:textId="00DD173B" w:rsidR="008F7BDC" w:rsidRDefault="008F7BDC" w:rsidP="008F7BDC">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Fuente: Cifra obtenida por medición directa con baumanometro y doopler vascular bidireccional de 8 MHz.</w:t>
      </w:r>
    </w:p>
    <w:p w14:paraId="3CD0EB14" w14:textId="77777777" w:rsidR="008F7BDC" w:rsidRPr="008F7BDC" w:rsidRDefault="008F7BDC" w:rsidP="008F7BDC">
      <w:pPr>
        <w:spacing w:after="0"/>
        <w:jc w:val="center"/>
        <w:rPr>
          <w:rFonts w:ascii="Times New Roman" w:hAnsi="Times New Roman"/>
          <w:color w:val="000000" w:themeColor="text1"/>
          <w:sz w:val="24"/>
          <w:szCs w:val="24"/>
        </w:rPr>
      </w:pPr>
    </w:p>
    <w:p w14:paraId="60B8C01A" w14:textId="18EF197B" w:rsidR="00AF381C" w:rsidRDefault="00AF381C" w:rsidP="00D24753">
      <w:pPr>
        <w:spacing w:after="0"/>
        <w:jc w:val="both"/>
        <w:rPr>
          <w:rFonts w:ascii="Arial" w:hAnsi="Arial" w:cs="Arial"/>
          <w:color w:val="000000" w:themeColor="text1"/>
          <w:sz w:val="24"/>
          <w:szCs w:val="24"/>
        </w:rPr>
      </w:pPr>
    </w:p>
    <w:p w14:paraId="27B143C0" w14:textId="5680DBD7" w:rsidR="00355C05" w:rsidRDefault="00355C05" w:rsidP="00D24753">
      <w:pPr>
        <w:spacing w:after="0"/>
        <w:jc w:val="both"/>
        <w:rPr>
          <w:rFonts w:ascii="Arial" w:hAnsi="Arial" w:cs="Arial"/>
          <w:color w:val="000000" w:themeColor="text1"/>
          <w:sz w:val="24"/>
          <w:szCs w:val="24"/>
        </w:rPr>
      </w:pPr>
    </w:p>
    <w:p w14:paraId="287E9EB3" w14:textId="1C9AF978" w:rsidR="00355C05" w:rsidRDefault="00355C05" w:rsidP="00D24753">
      <w:pPr>
        <w:spacing w:after="0"/>
        <w:jc w:val="both"/>
        <w:rPr>
          <w:rFonts w:ascii="Arial" w:hAnsi="Arial" w:cs="Arial"/>
          <w:color w:val="000000" w:themeColor="text1"/>
          <w:sz w:val="24"/>
          <w:szCs w:val="24"/>
        </w:rPr>
      </w:pPr>
    </w:p>
    <w:p w14:paraId="00612C2A" w14:textId="0325BDB9" w:rsidR="00355C05" w:rsidRPr="009D4D83" w:rsidRDefault="009D4D83" w:rsidP="0069143F">
      <w:pPr>
        <w:spacing w:after="0"/>
        <w:jc w:val="center"/>
        <w:rPr>
          <w:rFonts w:ascii="Times New Roman" w:hAnsi="Times New Roman"/>
          <w:color w:val="000000" w:themeColor="text1"/>
          <w:sz w:val="24"/>
          <w:szCs w:val="24"/>
        </w:rPr>
      </w:pPr>
      <w:r>
        <w:rPr>
          <w:rFonts w:ascii="Times New Roman" w:hAnsi="Times New Roman"/>
          <w:b/>
          <w:color w:val="000000" w:themeColor="text1"/>
          <w:sz w:val="24"/>
          <w:szCs w:val="24"/>
        </w:rPr>
        <w:lastRenderedPageBreak/>
        <w:t xml:space="preserve">Figura 2.  </w:t>
      </w:r>
      <w:r w:rsidR="0069143F">
        <w:rPr>
          <w:rFonts w:ascii="Times New Roman" w:hAnsi="Times New Roman"/>
          <w:color w:val="000000" w:themeColor="text1"/>
          <w:sz w:val="24"/>
          <w:szCs w:val="24"/>
        </w:rPr>
        <w:t>Cifras de producto de acumulación de lípidos LAP en los profesionales de enfermería (n= 25).</w:t>
      </w:r>
    </w:p>
    <w:p w14:paraId="22DDD534" w14:textId="3348E43D" w:rsidR="00355C05" w:rsidRDefault="00355C05" w:rsidP="00D24753">
      <w:pPr>
        <w:spacing w:after="0"/>
        <w:jc w:val="both"/>
        <w:rPr>
          <w:rFonts w:ascii="Arial" w:hAnsi="Arial" w:cs="Arial"/>
          <w:color w:val="000000" w:themeColor="text1"/>
          <w:sz w:val="24"/>
          <w:szCs w:val="24"/>
        </w:rPr>
      </w:pPr>
    </w:p>
    <w:p w14:paraId="7DED1C36" w14:textId="467D7B18" w:rsidR="00AF381C" w:rsidRPr="00447037" w:rsidRDefault="00AC5F32" w:rsidP="00D24753">
      <w:pPr>
        <w:spacing w:after="0"/>
        <w:jc w:val="both"/>
        <w:rPr>
          <w:rFonts w:ascii="Arial" w:hAnsi="Arial" w:cs="Arial"/>
          <w:color w:val="000000" w:themeColor="text1"/>
          <w:sz w:val="24"/>
          <w:szCs w:val="24"/>
        </w:rPr>
      </w:pPr>
      <w:r>
        <w:rPr>
          <w:noProof/>
          <w:lang w:eastAsia="es-MX"/>
        </w:rPr>
        <w:drawing>
          <wp:inline distT="0" distB="0" distL="0" distR="0" wp14:anchorId="63F27F3B" wp14:editId="08DDF7F1">
            <wp:extent cx="5391150" cy="5962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5962650"/>
                    </a:xfrm>
                    <a:prstGeom prst="rect">
                      <a:avLst/>
                    </a:prstGeom>
                    <a:noFill/>
                    <a:ln>
                      <a:noFill/>
                    </a:ln>
                  </pic:spPr>
                </pic:pic>
              </a:graphicData>
            </a:graphic>
          </wp:inline>
        </w:drawing>
      </w:r>
      <w:r w:rsidR="00AF381C" w:rsidRPr="00447037">
        <w:rPr>
          <w:rFonts w:ascii="Arial" w:hAnsi="Arial" w:cs="Arial"/>
          <w:color w:val="000000" w:themeColor="text1"/>
          <w:sz w:val="24"/>
          <w:szCs w:val="24"/>
        </w:rPr>
        <w:t xml:space="preserve"> </w:t>
      </w:r>
    </w:p>
    <w:p w14:paraId="12D7FCD1" w14:textId="6CAD3A97" w:rsidR="00B40042" w:rsidRPr="00486932" w:rsidRDefault="00486932" w:rsidP="00486932">
      <w:pPr>
        <w:spacing w:after="0" w:line="360" w:lineRule="auto"/>
        <w:ind w:firstLine="708"/>
        <w:jc w:val="center"/>
        <w:rPr>
          <w:rFonts w:ascii="Times New Roman" w:hAnsi="Times New Roman"/>
          <w:color w:val="000000" w:themeColor="text1"/>
          <w:sz w:val="24"/>
          <w:szCs w:val="24"/>
        </w:rPr>
      </w:pPr>
      <w:r>
        <w:rPr>
          <w:rFonts w:ascii="Times New Roman" w:hAnsi="Times New Roman"/>
          <w:color w:val="000000" w:themeColor="text1"/>
          <w:sz w:val="24"/>
          <w:szCs w:val="24"/>
        </w:rPr>
        <w:t>Fuente: Cifra calculada a partir de la circunferencia abdominal en cms y triglicéridos séricos en ayuno</w:t>
      </w:r>
      <w:r w:rsidR="00C77069">
        <w:rPr>
          <w:rFonts w:ascii="Times New Roman" w:hAnsi="Times New Roman"/>
          <w:color w:val="000000" w:themeColor="text1"/>
          <w:sz w:val="24"/>
          <w:szCs w:val="24"/>
        </w:rPr>
        <w:t>.</w:t>
      </w:r>
    </w:p>
    <w:p w14:paraId="6124293B" w14:textId="77777777" w:rsidR="00486932" w:rsidRDefault="00486932" w:rsidP="00B40042">
      <w:pPr>
        <w:spacing w:after="0" w:line="360" w:lineRule="auto"/>
        <w:ind w:firstLine="708"/>
        <w:jc w:val="both"/>
        <w:rPr>
          <w:rFonts w:ascii="Times New Roman" w:hAnsi="Times New Roman"/>
          <w:color w:val="000000" w:themeColor="text1"/>
          <w:sz w:val="24"/>
          <w:szCs w:val="24"/>
        </w:rPr>
      </w:pPr>
    </w:p>
    <w:p w14:paraId="3E1D9118" w14:textId="77777777" w:rsidR="00486932" w:rsidRDefault="00486932" w:rsidP="00B40042">
      <w:pPr>
        <w:spacing w:after="0" w:line="360" w:lineRule="auto"/>
        <w:ind w:firstLine="708"/>
        <w:jc w:val="both"/>
        <w:rPr>
          <w:rFonts w:ascii="Times New Roman" w:hAnsi="Times New Roman"/>
          <w:color w:val="000000" w:themeColor="text1"/>
          <w:sz w:val="24"/>
          <w:szCs w:val="24"/>
        </w:rPr>
      </w:pPr>
    </w:p>
    <w:p w14:paraId="7492B58B" w14:textId="434EB90A" w:rsidR="00B40042" w:rsidRPr="00495A0D" w:rsidRDefault="00B40042" w:rsidP="00B40042">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lastRenderedPageBreak/>
        <w:t>El valor promedio de la glicemia basal en ayuno de las enfermeras fue de 93.6mg/dl, presentándose valores de glicemia basal alta (100-125 mg/dl) en 28 % (siete) de la población estudiada e hiperglicemia (&gt; 126 mg/dl) en 4 % (uno).</w:t>
      </w:r>
    </w:p>
    <w:p w14:paraId="3B4B9D7E" w14:textId="77777777" w:rsidR="00B40042" w:rsidRPr="00495A0D" w:rsidRDefault="00B40042" w:rsidP="00B40042">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Respecto a la actividad física, 64 % (16) de los profesionales de enfermería tiene problemas de sedentarismo, con un tiempo promedio de inactividad de 218.4 minutos- 23.6 minutos de actividad física al día.</w:t>
      </w:r>
    </w:p>
    <w:p w14:paraId="5EE5B853" w14:textId="7FE817E8" w:rsidR="00B40042" w:rsidRPr="00495A0D" w:rsidRDefault="00B40042" w:rsidP="00B40042">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En cuanto al IMC, se encontró un predominio de sobrepeso en hombres y obesidad en mujeres (</w:t>
      </w:r>
      <w:r w:rsidR="00AA70F3">
        <w:rPr>
          <w:rFonts w:ascii="Times New Roman" w:hAnsi="Times New Roman"/>
          <w:color w:val="000000" w:themeColor="text1"/>
          <w:sz w:val="24"/>
          <w:szCs w:val="24"/>
        </w:rPr>
        <w:t>F</w:t>
      </w:r>
      <w:r w:rsidRPr="00495A0D">
        <w:rPr>
          <w:rFonts w:ascii="Times New Roman" w:hAnsi="Times New Roman"/>
          <w:color w:val="000000" w:themeColor="text1"/>
          <w:sz w:val="24"/>
          <w:szCs w:val="24"/>
        </w:rPr>
        <w:t>igura 3).</w:t>
      </w:r>
    </w:p>
    <w:p w14:paraId="48844210" w14:textId="7AF15FA4" w:rsidR="00B40042" w:rsidRDefault="00B40042" w:rsidP="00355C05">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El perímetro abdominal promedio de las mujeres fue de 94.5 cm, mientras que en los hombres fue de 100.4 cm.</w:t>
      </w:r>
    </w:p>
    <w:p w14:paraId="1768FC4C" w14:textId="030A9860" w:rsidR="00822AAD" w:rsidRPr="00495A0D" w:rsidRDefault="00822AAD"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El índice cintura</w:t>
      </w:r>
      <w:r w:rsidR="00CF5BF7"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altura de los profesionales de enfermería fue en promedio de 0.6</w:t>
      </w:r>
      <w:r w:rsidR="00CF5BF7"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presentando valores superior</w:t>
      </w:r>
      <w:r w:rsidR="008D7CBB" w:rsidRPr="00495A0D">
        <w:rPr>
          <w:rFonts w:ascii="Times New Roman" w:hAnsi="Times New Roman"/>
          <w:color w:val="000000" w:themeColor="text1"/>
          <w:sz w:val="24"/>
          <w:szCs w:val="24"/>
        </w:rPr>
        <w:t>es a 0.5 en 84</w:t>
      </w:r>
      <w:r w:rsidR="00CF5BF7" w:rsidRPr="00495A0D">
        <w:rPr>
          <w:rFonts w:ascii="Times New Roman" w:hAnsi="Times New Roman"/>
          <w:color w:val="000000" w:themeColor="text1"/>
          <w:sz w:val="24"/>
          <w:szCs w:val="24"/>
        </w:rPr>
        <w:t xml:space="preserve"> </w:t>
      </w:r>
      <w:r w:rsidR="008D7CBB" w:rsidRPr="00495A0D">
        <w:rPr>
          <w:rFonts w:ascii="Times New Roman" w:hAnsi="Times New Roman"/>
          <w:color w:val="000000" w:themeColor="text1"/>
          <w:sz w:val="24"/>
          <w:szCs w:val="24"/>
        </w:rPr>
        <w:t>%</w:t>
      </w:r>
      <w:r w:rsidR="00407134" w:rsidRPr="00495A0D">
        <w:rPr>
          <w:rFonts w:ascii="Times New Roman" w:hAnsi="Times New Roman"/>
          <w:color w:val="000000" w:themeColor="text1"/>
          <w:sz w:val="24"/>
          <w:szCs w:val="24"/>
        </w:rPr>
        <w:t xml:space="preserve"> (21</w:t>
      </w:r>
      <w:r w:rsidR="0056001B" w:rsidRPr="00495A0D">
        <w:rPr>
          <w:rFonts w:ascii="Times New Roman" w:hAnsi="Times New Roman"/>
          <w:color w:val="000000" w:themeColor="text1"/>
          <w:sz w:val="24"/>
          <w:szCs w:val="24"/>
        </w:rPr>
        <w:t>)</w:t>
      </w:r>
      <w:r w:rsidR="008D7CBB" w:rsidRPr="00495A0D">
        <w:rPr>
          <w:rFonts w:ascii="Times New Roman" w:hAnsi="Times New Roman"/>
          <w:color w:val="000000" w:themeColor="text1"/>
          <w:sz w:val="24"/>
          <w:szCs w:val="24"/>
        </w:rPr>
        <w:t xml:space="preserve"> de los profesionales evaluados</w:t>
      </w:r>
      <w:r w:rsidRPr="00495A0D">
        <w:rPr>
          <w:rFonts w:ascii="Times New Roman" w:hAnsi="Times New Roman"/>
          <w:color w:val="000000" w:themeColor="text1"/>
          <w:sz w:val="24"/>
          <w:szCs w:val="24"/>
        </w:rPr>
        <w:t>.</w:t>
      </w:r>
    </w:p>
    <w:p w14:paraId="31A3A5C9" w14:textId="799051AE" w:rsidR="004035AE" w:rsidRPr="00495A0D" w:rsidRDefault="00CF5BF7"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Asimismo, </w:t>
      </w:r>
      <w:r w:rsidR="000F0E6B" w:rsidRPr="00495A0D">
        <w:rPr>
          <w:rFonts w:ascii="Times New Roman" w:hAnsi="Times New Roman"/>
          <w:color w:val="000000" w:themeColor="text1"/>
          <w:sz w:val="24"/>
          <w:szCs w:val="24"/>
        </w:rPr>
        <w:t>28</w:t>
      </w:r>
      <w:r w:rsidRPr="00495A0D">
        <w:rPr>
          <w:rFonts w:ascii="Times New Roman" w:hAnsi="Times New Roman"/>
          <w:color w:val="000000" w:themeColor="text1"/>
          <w:sz w:val="24"/>
          <w:szCs w:val="24"/>
        </w:rPr>
        <w:t xml:space="preserve"> </w:t>
      </w:r>
      <w:r w:rsidR="000F0E6B" w:rsidRPr="00495A0D">
        <w:rPr>
          <w:rFonts w:ascii="Times New Roman" w:hAnsi="Times New Roman"/>
          <w:color w:val="000000" w:themeColor="text1"/>
          <w:sz w:val="24"/>
          <w:szCs w:val="24"/>
        </w:rPr>
        <w:t xml:space="preserve">% </w:t>
      </w:r>
      <w:r w:rsidR="00407134"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siete</w:t>
      </w:r>
      <w:r w:rsidR="0056001B" w:rsidRPr="00495A0D">
        <w:rPr>
          <w:rFonts w:ascii="Times New Roman" w:hAnsi="Times New Roman"/>
          <w:color w:val="000000" w:themeColor="text1"/>
          <w:sz w:val="24"/>
          <w:szCs w:val="24"/>
        </w:rPr>
        <w:t xml:space="preserve">) </w:t>
      </w:r>
      <w:r w:rsidR="000F0E6B" w:rsidRPr="00495A0D">
        <w:rPr>
          <w:rFonts w:ascii="Times New Roman" w:hAnsi="Times New Roman"/>
          <w:color w:val="000000" w:themeColor="text1"/>
          <w:sz w:val="24"/>
          <w:szCs w:val="24"/>
        </w:rPr>
        <w:t>de los profesionales de enfermería evaluados</w:t>
      </w:r>
      <w:r w:rsidR="00822AAD"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 xml:space="preserve">presentó </w:t>
      </w:r>
      <w:r w:rsidR="00990BE9" w:rsidRPr="00495A0D">
        <w:rPr>
          <w:rFonts w:ascii="Times New Roman" w:hAnsi="Times New Roman"/>
          <w:color w:val="000000" w:themeColor="text1"/>
          <w:sz w:val="24"/>
          <w:szCs w:val="24"/>
        </w:rPr>
        <w:t>síndrome metabólico</w:t>
      </w:r>
      <w:r w:rsidR="000F0E6B" w:rsidRPr="00495A0D">
        <w:rPr>
          <w:rFonts w:ascii="Times New Roman" w:hAnsi="Times New Roman"/>
          <w:color w:val="000000" w:themeColor="text1"/>
          <w:sz w:val="24"/>
          <w:szCs w:val="24"/>
        </w:rPr>
        <w:t>.</w:t>
      </w:r>
      <w:r w:rsidR="00822AAD" w:rsidRPr="00495A0D">
        <w:rPr>
          <w:rFonts w:ascii="Times New Roman" w:hAnsi="Times New Roman"/>
          <w:color w:val="000000" w:themeColor="text1"/>
          <w:sz w:val="24"/>
          <w:szCs w:val="24"/>
        </w:rPr>
        <w:t xml:space="preserve"> </w:t>
      </w:r>
    </w:p>
    <w:p w14:paraId="600811E4" w14:textId="34450150" w:rsidR="00AA2FE6" w:rsidRPr="00495A0D" w:rsidRDefault="00AA2FE6" w:rsidP="00495A0D">
      <w:pPr>
        <w:spacing w:after="0" w:line="360" w:lineRule="auto"/>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En cuanto a la edad vascular, la media de la población fue de 36.7 años; 32</w:t>
      </w:r>
      <w:r w:rsidR="00CF5BF7"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w:t>
      </w:r>
      <w:r w:rsidR="00407134" w:rsidRPr="00495A0D">
        <w:rPr>
          <w:rFonts w:ascii="Times New Roman" w:hAnsi="Times New Roman"/>
          <w:color w:val="000000" w:themeColor="text1"/>
          <w:sz w:val="24"/>
          <w:szCs w:val="24"/>
        </w:rPr>
        <w:t>(</w:t>
      </w:r>
      <w:r w:rsidR="00CF5BF7" w:rsidRPr="00495A0D">
        <w:rPr>
          <w:rFonts w:ascii="Times New Roman" w:hAnsi="Times New Roman"/>
          <w:color w:val="000000" w:themeColor="text1"/>
          <w:sz w:val="24"/>
          <w:szCs w:val="24"/>
        </w:rPr>
        <w:t>ocho</w:t>
      </w:r>
      <w:r w:rsidR="00064AD6"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 xml:space="preserve">de las enfermeras </w:t>
      </w:r>
      <w:r w:rsidR="00F45D52" w:rsidRPr="00495A0D">
        <w:rPr>
          <w:rFonts w:ascii="Times New Roman" w:hAnsi="Times New Roman"/>
          <w:color w:val="000000" w:themeColor="text1"/>
          <w:sz w:val="24"/>
          <w:szCs w:val="24"/>
        </w:rPr>
        <w:t xml:space="preserve">presentó </w:t>
      </w:r>
      <w:r w:rsidRPr="00495A0D">
        <w:rPr>
          <w:rFonts w:ascii="Times New Roman" w:hAnsi="Times New Roman"/>
          <w:color w:val="000000" w:themeColor="text1"/>
          <w:sz w:val="24"/>
          <w:szCs w:val="24"/>
        </w:rPr>
        <w:t>una edad vascular mayor que su edad cronológica.</w:t>
      </w:r>
    </w:p>
    <w:p w14:paraId="757A8B6A" w14:textId="6912A446" w:rsidR="00AA2FE6" w:rsidRDefault="00CF5BF7"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En </w:t>
      </w:r>
      <w:r w:rsidR="003B5B11" w:rsidRPr="00495A0D">
        <w:rPr>
          <w:rFonts w:ascii="Times New Roman" w:hAnsi="Times New Roman"/>
          <w:color w:val="000000" w:themeColor="text1"/>
          <w:sz w:val="24"/>
          <w:szCs w:val="24"/>
        </w:rPr>
        <w:t xml:space="preserve">relación </w:t>
      </w:r>
      <w:r w:rsidRPr="00495A0D">
        <w:rPr>
          <w:rFonts w:ascii="Times New Roman" w:hAnsi="Times New Roman"/>
          <w:color w:val="000000" w:themeColor="text1"/>
          <w:sz w:val="24"/>
          <w:szCs w:val="24"/>
        </w:rPr>
        <w:t xml:space="preserve">con el </w:t>
      </w:r>
      <w:r w:rsidR="00AA2FE6" w:rsidRPr="00495A0D">
        <w:rPr>
          <w:rFonts w:ascii="Times New Roman" w:hAnsi="Times New Roman"/>
          <w:color w:val="000000" w:themeColor="text1"/>
          <w:sz w:val="24"/>
          <w:szCs w:val="24"/>
        </w:rPr>
        <w:t>tabaquismo</w:t>
      </w:r>
      <w:r w:rsidRPr="00495A0D">
        <w:rPr>
          <w:rFonts w:ascii="Times New Roman" w:hAnsi="Times New Roman"/>
          <w:color w:val="000000" w:themeColor="text1"/>
          <w:sz w:val="24"/>
          <w:szCs w:val="24"/>
        </w:rPr>
        <w:t>,</w:t>
      </w:r>
      <w:r w:rsidR="00AA2FE6" w:rsidRPr="00495A0D">
        <w:rPr>
          <w:rFonts w:ascii="Times New Roman" w:hAnsi="Times New Roman"/>
          <w:color w:val="000000" w:themeColor="text1"/>
          <w:sz w:val="24"/>
          <w:szCs w:val="24"/>
        </w:rPr>
        <w:t xml:space="preserve"> 28</w:t>
      </w:r>
      <w:r w:rsidRPr="00495A0D">
        <w:rPr>
          <w:rFonts w:ascii="Times New Roman" w:hAnsi="Times New Roman"/>
          <w:color w:val="000000" w:themeColor="text1"/>
          <w:sz w:val="24"/>
          <w:szCs w:val="24"/>
        </w:rPr>
        <w:t xml:space="preserve"> </w:t>
      </w:r>
      <w:r w:rsidR="00AA2FE6" w:rsidRPr="00495A0D">
        <w:rPr>
          <w:rFonts w:ascii="Times New Roman" w:hAnsi="Times New Roman"/>
          <w:color w:val="000000" w:themeColor="text1"/>
          <w:sz w:val="24"/>
          <w:szCs w:val="24"/>
        </w:rPr>
        <w:t xml:space="preserve">% </w:t>
      </w:r>
      <w:r w:rsidR="00664FB9"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siete</w:t>
      </w:r>
      <w:r w:rsidR="008C1E6E" w:rsidRPr="00495A0D">
        <w:rPr>
          <w:rFonts w:ascii="Times New Roman" w:hAnsi="Times New Roman"/>
          <w:color w:val="000000" w:themeColor="text1"/>
          <w:sz w:val="24"/>
          <w:szCs w:val="24"/>
        </w:rPr>
        <w:t xml:space="preserve">) </w:t>
      </w:r>
      <w:r w:rsidR="00AA2FE6" w:rsidRPr="00495A0D">
        <w:rPr>
          <w:rFonts w:ascii="Times New Roman" w:hAnsi="Times New Roman"/>
          <w:color w:val="000000" w:themeColor="text1"/>
          <w:sz w:val="24"/>
          <w:szCs w:val="24"/>
        </w:rPr>
        <w:t>de los profesionales de enfermería son fumadores</w:t>
      </w:r>
      <w:r w:rsidRPr="00495A0D">
        <w:rPr>
          <w:rFonts w:ascii="Times New Roman" w:hAnsi="Times New Roman"/>
          <w:color w:val="000000" w:themeColor="text1"/>
          <w:sz w:val="24"/>
          <w:szCs w:val="24"/>
        </w:rPr>
        <w:t xml:space="preserve">. Este </w:t>
      </w:r>
      <w:r w:rsidR="00AA2FE6" w:rsidRPr="00495A0D">
        <w:rPr>
          <w:rFonts w:ascii="Times New Roman" w:hAnsi="Times New Roman"/>
          <w:color w:val="000000" w:themeColor="text1"/>
          <w:sz w:val="24"/>
          <w:szCs w:val="24"/>
        </w:rPr>
        <w:t>hábito tiene mayor predominio en mujeres en comparación con los hombres; la edad promedio de inicio de este hábito fue a los 17 años.</w:t>
      </w:r>
    </w:p>
    <w:p w14:paraId="099CB772" w14:textId="77777777" w:rsidR="00AA70F3" w:rsidRPr="00495A0D" w:rsidRDefault="00AA70F3" w:rsidP="00AA70F3">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En cuanto al nivel de estrés —calculado mediante la escala de Holmes y Rahe—, encontramos que 40 % (10) de las enfermeras asignadas a la UCI presentó niveles de estrés alto, lo que se traduce en 80 % de riesgo de pérdida de salud en los dos años subsecuentes a causa de estrés. Los acontecimientos vitales de mayor puntaje entre los profesionales de enfermería fueron los cambios en el estado de salud de algún miembro de la familia, 76 % (19); cambios en el hábito de dormir, 68 % (17); cambios en la situación económica, 56 % (14); cambios en los hábitos alimentarios, 48 % (12); mala relación con el cónyuge, 36 % (nueve) y cambio de responsabilidad en el trabajo, 28 % (siete).</w:t>
      </w:r>
    </w:p>
    <w:p w14:paraId="0E35A573" w14:textId="77777777" w:rsidR="00AA70F3" w:rsidRPr="00447037" w:rsidRDefault="00AA70F3" w:rsidP="00AA70F3">
      <w:pPr>
        <w:spacing w:after="0" w:line="360" w:lineRule="auto"/>
        <w:ind w:firstLine="708"/>
        <w:jc w:val="both"/>
        <w:rPr>
          <w:rFonts w:ascii="Arial" w:hAnsi="Arial" w:cs="Arial"/>
          <w:color w:val="000000" w:themeColor="text1"/>
          <w:sz w:val="24"/>
          <w:szCs w:val="24"/>
        </w:rPr>
      </w:pPr>
      <w:r w:rsidRPr="00495A0D">
        <w:rPr>
          <w:rFonts w:ascii="Times New Roman" w:hAnsi="Times New Roman"/>
          <w:color w:val="000000" w:themeColor="text1"/>
          <w:sz w:val="24"/>
          <w:szCs w:val="24"/>
        </w:rPr>
        <w:t>Respecto al turno de asignación, 48 % (12) de las enfermeras labora en el turno nocturno, 28 % (siete) en el turno matutino y 24 % (seis) en turno vespertino.</w:t>
      </w:r>
      <w:r w:rsidRPr="00447037">
        <w:rPr>
          <w:rFonts w:ascii="Arial" w:hAnsi="Arial" w:cs="Arial"/>
          <w:color w:val="000000" w:themeColor="text1"/>
          <w:sz w:val="24"/>
          <w:szCs w:val="24"/>
        </w:rPr>
        <w:t xml:space="preserve"> </w:t>
      </w:r>
    </w:p>
    <w:p w14:paraId="3B18E161" w14:textId="77777777" w:rsidR="00AA70F3" w:rsidRPr="00447037" w:rsidRDefault="00AA70F3" w:rsidP="00AA70F3">
      <w:pPr>
        <w:spacing w:after="0"/>
        <w:jc w:val="both"/>
        <w:rPr>
          <w:rFonts w:ascii="Arial" w:hAnsi="Arial" w:cs="Arial"/>
          <w:color w:val="000000" w:themeColor="text1"/>
          <w:sz w:val="24"/>
          <w:szCs w:val="24"/>
        </w:rPr>
      </w:pPr>
    </w:p>
    <w:p w14:paraId="0B34F4B7" w14:textId="22F2302A" w:rsidR="00AA70F3" w:rsidRPr="00237C51" w:rsidRDefault="00237C51" w:rsidP="00237C51">
      <w:pPr>
        <w:spacing w:after="0" w:line="360" w:lineRule="auto"/>
        <w:jc w:val="center"/>
        <w:rPr>
          <w:rFonts w:ascii="Times New Roman" w:hAnsi="Times New Roman"/>
          <w:color w:val="000000" w:themeColor="text1"/>
          <w:sz w:val="24"/>
          <w:szCs w:val="24"/>
        </w:rPr>
      </w:pPr>
      <w:r>
        <w:rPr>
          <w:rFonts w:ascii="Times New Roman" w:hAnsi="Times New Roman"/>
          <w:b/>
          <w:color w:val="000000" w:themeColor="text1"/>
          <w:sz w:val="24"/>
          <w:szCs w:val="24"/>
        </w:rPr>
        <w:lastRenderedPageBreak/>
        <w:t xml:space="preserve">Figura 3.  </w:t>
      </w:r>
      <w:r>
        <w:rPr>
          <w:rFonts w:ascii="Times New Roman" w:hAnsi="Times New Roman"/>
          <w:color w:val="000000" w:themeColor="text1"/>
          <w:sz w:val="24"/>
          <w:szCs w:val="24"/>
        </w:rPr>
        <w:t>Clasificación de los profesionales de enfermería basado en índice de masa corporal (n= 25).</w:t>
      </w:r>
    </w:p>
    <w:p w14:paraId="4A69C6BD" w14:textId="7215F9B8" w:rsidR="00EF7818" w:rsidRDefault="00EF7818" w:rsidP="00D24753">
      <w:pPr>
        <w:spacing w:after="0"/>
        <w:jc w:val="both"/>
        <w:rPr>
          <w:rFonts w:ascii="Arial" w:hAnsi="Arial" w:cs="Arial"/>
          <w:color w:val="000000" w:themeColor="text1"/>
          <w:sz w:val="24"/>
          <w:szCs w:val="24"/>
        </w:rPr>
      </w:pPr>
    </w:p>
    <w:p w14:paraId="4B59B9AA" w14:textId="491E48C4" w:rsidR="00EF7818" w:rsidRPr="00447037" w:rsidRDefault="00AE48B6" w:rsidP="00D24753">
      <w:pPr>
        <w:spacing w:after="0"/>
        <w:jc w:val="both"/>
        <w:rPr>
          <w:rFonts w:ascii="Arial" w:hAnsi="Arial" w:cs="Arial"/>
          <w:color w:val="000000" w:themeColor="text1"/>
          <w:sz w:val="24"/>
          <w:szCs w:val="24"/>
        </w:rPr>
      </w:pPr>
      <w:r>
        <w:rPr>
          <w:noProof/>
          <w:lang w:eastAsia="es-MX"/>
        </w:rPr>
        <w:drawing>
          <wp:inline distT="0" distB="0" distL="0" distR="0" wp14:anchorId="702661DF" wp14:editId="6253EFAA">
            <wp:extent cx="5381625" cy="62293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1625" cy="6229350"/>
                    </a:xfrm>
                    <a:prstGeom prst="rect">
                      <a:avLst/>
                    </a:prstGeom>
                    <a:noFill/>
                    <a:ln>
                      <a:noFill/>
                    </a:ln>
                  </pic:spPr>
                </pic:pic>
              </a:graphicData>
            </a:graphic>
          </wp:inline>
        </w:drawing>
      </w:r>
      <w:r w:rsidR="006860FB" w:rsidRPr="00447037">
        <w:rPr>
          <w:rFonts w:ascii="Arial" w:hAnsi="Arial" w:cs="Arial"/>
          <w:color w:val="000000" w:themeColor="text1"/>
          <w:sz w:val="24"/>
          <w:szCs w:val="24"/>
        </w:rPr>
        <w:t xml:space="preserve"> </w:t>
      </w:r>
    </w:p>
    <w:p w14:paraId="2F77B8AB" w14:textId="66C968FF" w:rsidR="00E26FAB" w:rsidRPr="00E26FAB" w:rsidRDefault="00E26FAB" w:rsidP="00E26FAB">
      <w:pPr>
        <w:spacing w:after="0"/>
        <w:jc w:val="center"/>
        <w:rPr>
          <w:rFonts w:ascii="Times New Roman" w:hAnsi="Times New Roman"/>
          <w:color w:val="000000" w:themeColor="text1"/>
          <w:sz w:val="24"/>
          <w:szCs w:val="28"/>
          <w:lang w:val="es-ES" w:eastAsia="es-ES"/>
        </w:rPr>
      </w:pPr>
      <w:r>
        <w:rPr>
          <w:rFonts w:ascii="Times New Roman" w:hAnsi="Times New Roman"/>
          <w:color w:val="000000" w:themeColor="text1"/>
          <w:sz w:val="24"/>
          <w:szCs w:val="28"/>
          <w:lang w:val="es-ES" w:eastAsia="es-ES"/>
        </w:rPr>
        <w:t>Fuente: Índice calculado mediante fórmula de Quetelet tomando en consideración peso y talla.</w:t>
      </w:r>
    </w:p>
    <w:p w14:paraId="1DF63C2C" w14:textId="77777777" w:rsidR="00E26FAB" w:rsidRDefault="00E26FAB" w:rsidP="00D24753">
      <w:pPr>
        <w:spacing w:after="0"/>
        <w:jc w:val="both"/>
        <w:rPr>
          <w:rFonts w:cs="Calibri"/>
          <w:b/>
          <w:color w:val="000000" w:themeColor="text1"/>
          <w:sz w:val="28"/>
          <w:szCs w:val="28"/>
          <w:lang w:val="es-ES" w:eastAsia="es-ES"/>
        </w:rPr>
      </w:pPr>
    </w:p>
    <w:p w14:paraId="548A3AD7" w14:textId="77777777" w:rsidR="00E26FAB" w:rsidRDefault="00E26FAB" w:rsidP="00D24753">
      <w:pPr>
        <w:spacing w:after="0"/>
        <w:jc w:val="both"/>
        <w:rPr>
          <w:rFonts w:cs="Calibri"/>
          <w:b/>
          <w:color w:val="000000" w:themeColor="text1"/>
          <w:sz w:val="28"/>
          <w:szCs w:val="28"/>
          <w:lang w:val="es-ES" w:eastAsia="es-ES"/>
        </w:rPr>
      </w:pPr>
    </w:p>
    <w:p w14:paraId="67DBFCBF" w14:textId="75E45B29" w:rsidR="001731E1" w:rsidRPr="00162A70" w:rsidRDefault="00D02775" w:rsidP="00D24753">
      <w:pPr>
        <w:spacing w:after="0"/>
        <w:jc w:val="both"/>
        <w:rPr>
          <w:rFonts w:cs="Calibri"/>
          <w:b/>
          <w:color w:val="000000" w:themeColor="text1"/>
          <w:sz w:val="28"/>
          <w:szCs w:val="28"/>
          <w:lang w:val="es-ES" w:eastAsia="es-ES"/>
        </w:rPr>
      </w:pPr>
      <w:r w:rsidRPr="00162A70">
        <w:rPr>
          <w:rFonts w:cs="Calibri"/>
          <w:b/>
          <w:color w:val="000000" w:themeColor="text1"/>
          <w:sz w:val="28"/>
          <w:szCs w:val="28"/>
          <w:lang w:val="es-ES" w:eastAsia="es-ES"/>
        </w:rPr>
        <w:lastRenderedPageBreak/>
        <w:t>Discusión</w:t>
      </w:r>
    </w:p>
    <w:p w14:paraId="51F06595" w14:textId="24D11750" w:rsidR="001230C4" w:rsidRPr="00495A0D" w:rsidRDefault="001230C4"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Actualmente</w:t>
      </w:r>
      <w:r w:rsidR="00F84503"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existe una amplia variedad de tabl</w:t>
      </w:r>
      <w:r w:rsidR="006D5C11" w:rsidRPr="00495A0D">
        <w:rPr>
          <w:rFonts w:ascii="Times New Roman" w:hAnsi="Times New Roman"/>
          <w:color w:val="000000" w:themeColor="text1"/>
          <w:sz w:val="24"/>
          <w:szCs w:val="24"/>
        </w:rPr>
        <w:t>as para la</w:t>
      </w:r>
      <w:r w:rsidR="00E15162" w:rsidRPr="00495A0D">
        <w:rPr>
          <w:rFonts w:ascii="Times New Roman" w:hAnsi="Times New Roman"/>
          <w:color w:val="000000" w:themeColor="text1"/>
          <w:sz w:val="24"/>
          <w:szCs w:val="24"/>
        </w:rPr>
        <w:t xml:space="preserve"> estimación </w:t>
      </w:r>
      <w:r w:rsidR="006D5C11" w:rsidRPr="00495A0D">
        <w:rPr>
          <w:rFonts w:ascii="Times New Roman" w:hAnsi="Times New Roman"/>
          <w:color w:val="000000" w:themeColor="text1"/>
          <w:sz w:val="24"/>
          <w:szCs w:val="24"/>
        </w:rPr>
        <w:t xml:space="preserve">del riesgo </w:t>
      </w:r>
      <w:r w:rsidR="00E15162" w:rsidRPr="00495A0D">
        <w:rPr>
          <w:rFonts w:ascii="Times New Roman" w:hAnsi="Times New Roman"/>
          <w:color w:val="000000" w:themeColor="text1"/>
          <w:sz w:val="24"/>
          <w:szCs w:val="24"/>
        </w:rPr>
        <w:t>cardiovascular</w:t>
      </w:r>
      <w:r w:rsidR="00F84503" w:rsidRPr="00495A0D">
        <w:rPr>
          <w:rFonts w:ascii="Times New Roman" w:hAnsi="Times New Roman"/>
          <w:color w:val="000000" w:themeColor="text1"/>
          <w:sz w:val="24"/>
          <w:szCs w:val="24"/>
        </w:rPr>
        <w:t>,</w:t>
      </w:r>
      <w:r w:rsidR="00E15162" w:rsidRPr="00495A0D">
        <w:rPr>
          <w:rFonts w:ascii="Times New Roman" w:hAnsi="Times New Roman"/>
          <w:color w:val="000000" w:themeColor="text1"/>
          <w:sz w:val="24"/>
          <w:szCs w:val="24"/>
        </w:rPr>
        <w:t xml:space="preserve"> tales como </w:t>
      </w:r>
      <w:r w:rsidR="00325F64" w:rsidRPr="00495A0D">
        <w:rPr>
          <w:rFonts w:ascii="Times New Roman" w:hAnsi="Times New Roman"/>
          <w:color w:val="000000" w:themeColor="text1"/>
          <w:sz w:val="24"/>
          <w:szCs w:val="24"/>
        </w:rPr>
        <w:t xml:space="preserve">SCORE, </w:t>
      </w:r>
      <w:r w:rsidR="0096281D" w:rsidRPr="00495A0D">
        <w:rPr>
          <w:rFonts w:ascii="Times New Roman" w:hAnsi="Times New Roman"/>
          <w:color w:val="000000" w:themeColor="text1"/>
          <w:sz w:val="24"/>
          <w:szCs w:val="24"/>
        </w:rPr>
        <w:t>Q-RISK1</w:t>
      </w:r>
      <w:r w:rsidR="00E15162" w:rsidRPr="00495A0D">
        <w:rPr>
          <w:rFonts w:ascii="Times New Roman" w:hAnsi="Times New Roman"/>
          <w:color w:val="000000" w:themeColor="text1"/>
          <w:sz w:val="24"/>
          <w:szCs w:val="24"/>
        </w:rPr>
        <w:t xml:space="preserve">, ASSIGN, entre otras </w:t>
      </w:r>
      <w:r w:rsidR="001A4D72" w:rsidRPr="00495A0D">
        <w:rPr>
          <w:rFonts w:ascii="Times New Roman" w:hAnsi="Times New Roman"/>
          <w:color w:val="000000" w:themeColor="text1"/>
          <w:sz w:val="24"/>
          <w:szCs w:val="24"/>
        </w:rPr>
        <w:t>(Hippisley</w:t>
      </w:r>
      <w:r w:rsidR="005519C9" w:rsidRPr="00495A0D">
        <w:rPr>
          <w:rFonts w:ascii="Times New Roman" w:hAnsi="Times New Roman"/>
          <w:color w:val="000000" w:themeColor="text1"/>
          <w:sz w:val="24"/>
          <w:szCs w:val="24"/>
        </w:rPr>
        <w:t xml:space="preserve"> </w:t>
      </w:r>
      <w:r w:rsidR="005519C9" w:rsidRPr="00495A0D">
        <w:rPr>
          <w:rFonts w:ascii="Times New Roman" w:hAnsi="Times New Roman"/>
          <w:i/>
          <w:color w:val="000000" w:themeColor="text1"/>
          <w:sz w:val="24"/>
          <w:szCs w:val="24"/>
        </w:rPr>
        <w:t>et</w:t>
      </w:r>
      <w:r w:rsidR="00F84503" w:rsidRPr="00495A0D">
        <w:rPr>
          <w:rFonts w:ascii="Times New Roman" w:hAnsi="Times New Roman"/>
          <w:i/>
          <w:color w:val="000000" w:themeColor="text1"/>
          <w:sz w:val="24"/>
          <w:szCs w:val="24"/>
        </w:rPr>
        <w:t xml:space="preserve"> </w:t>
      </w:r>
      <w:r w:rsidR="005519C9" w:rsidRPr="00495A0D">
        <w:rPr>
          <w:rFonts w:ascii="Times New Roman" w:hAnsi="Times New Roman"/>
          <w:i/>
          <w:color w:val="000000" w:themeColor="text1"/>
          <w:sz w:val="24"/>
          <w:szCs w:val="24"/>
        </w:rPr>
        <w:t>al</w:t>
      </w:r>
      <w:r w:rsidR="00F84503" w:rsidRPr="00495A0D">
        <w:rPr>
          <w:rFonts w:ascii="Times New Roman" w:hAnsi="Times New Roman"/>
          <w:i/>
          <w:color w:val="000000" w:themeColor="text1"/>
          <w:sz w:val="24"/>
          <w:szCs w:val="24"/>
        </w:rPr>
        <w:t>.</w:t>
      </w:r>
      <w:r w:rsidR="001A4D72" w:rsidRPr="00495A0D">
        <w:rPr>
          <w:rFonts w:ascii="Times New Roman" w:hAnsi="Times New Roman"/>
          <w:color w:val="000000" w:themeColor="text1"/>
          <w:sz w:val="24"/>
          <w:szCs w:val="24"/>
        </w:rPr>
        <w:t>, 2008)</w:t>
      </w:r>
      <w:r w:rsidR="00F84503" w:rsidRPr="00495A0D">
        <w:rPr>
          <w:rFonts w:ascii="Times New Roman" w:hAnsi="Times New Roman"/>
          <w:color w:val="000000" w:themeColor="text1"/>
          <w:sz w:val="24"/>
          <w:szCs w:val="24"/>
        </w:rPr>
        <w:t>.</w:t>
      </w:r>
      <w:r w:rsidR="001A4D72" w:rsidRPr="00495A0D">
        <w:rPr>
          <w:rFonts w:ascii="Times New Roman" w:hAnsi="Times New Roman"/>
          <w:color w:val="000000" w:themeColor="text1"/>
          <w:sz w:val="24"/>
          <w:szCs w:val="24"/>
        </w:rPr>
        <w:t xml:space="preserve"> </w:t>
      </w:r>
      <w:r w:rsidR="00F84503" w:rsidRPr="00495A0D">
        <w:rPr>
          <w:rFonts w:ascii="Times New Roman" w:hAnsi="Times New Roman"/>
          <w:color w:val="000000" w:themeColor="text1"/>
          <w:sz w:val="24"/>
          <w:szCs w:val="24"/>
        </w:rPr>
        <w:t xml:space="preserve">Sin </w:t>
      </w:r>
      <w:r w:rsidR="00B24C01" w:rsidRPr="00495A0D">
        <w:rPr>
          <w:rFonts w:ascii="Times New Roman" w:hAnsi="Times New Roman"/>
          <w:color w:val="000000" w:themeColor="text1"/>
          <w:sz w:val="24"/>
          <w:szCs w:val="24"/>
        </w:rPr>
        <w:t>embargo</w:t>
      </w:r>
      <w:r w:rsidR="00F84503" w:rsidRPr="00495A0D">
        <w:rPr>
          <w:rFonts w:ascii="Times New Roman" w:hAnsi="Times New Roman"/>
          <w:color w:val="000000" w:themeColor="text1"/>
          <w:sz w:val="24"/>
          <w:szCs w:val="24"/>
        </w:rPr>
        <w:t>,</w:t>
      </w:r>
      <w:r w:rsidR="00B24C01" w:rsidRPr="00495A0D">
        <w:rPr>
          <w:rFonts w:ascii="Times New Roman" w:hAnsi="Times New Roman"/>
          <w:color w:val="000000" w:themeColor="text1"/>
          <w:sz w:val="24"/>
          <w:szCs w:val="24"/>
        </w:rPr>
        <w:t xml:space="preserve"> se </w:t>
      </w:r>
      <w:r w:rsidR="00E15162" w:rsidRPr="00495A0D">
        <w:rPr>
          <w:rFonts w:ascii="Times New Roman" w:hAnsi="Times New Roman"/>
          <w:color w:val="000000" w:themeColor="text1"/>
          <w:sz w:val="24"/>
          <w:szCs w:val="24"/>
        </w:rPr>
        <w:t xml:space="preserve">eligió el </w:t>
      </w:r>
      <w:r w:rsidR="00764072" w:rsidRPr="00495A0D">
        <w:rPr>
          <w:rFonts w:ascii="Times New Roman" w:hAnsi="Times New Roman"/>
          <w:color w:val="000000" w:themeColor="text1"/>
          <w:sz w:val="24"/>
          <w:szCs w:val="24"/>
        </w:rPr>
        <w:t xml:space="preserve">puntaje </w:t>
      </w:r>
      <w:r w:rsidR="00E15162" w:rsidRPr="00495A0D">
        <w:rPr>
          <w:rFonts w:ascii="Times New Roman" w:hAnsi="Times New Roman"/>
          <w:color w:val="000000" w:themeColor="text1"/>
          <w:sz w:val="24"/>
          <w:szCs w:val="24"/>
        </w:rPr>
        <w:t xml:space="preserve">de Framingham por ser la tabla de mayor uso a nivel mundial y la </w:t>
      </w:r>
      <w:r w:rsidR="000B2BA7" w:rsidRPr="00495A0D">
        <w:rPr>
          <w:rFonts w:ascii="Times New Roman" w:hAnsi="Times New Roman"/>
          <w:color w:val="000000" w:themeColor="text1"/>
          <w:sz w:val="24"/>
          <w:szCs w:val="24"/>
        </w:rPr>
        <w:t>más</w:t>
      </w:r>
      <w:r w:rsidR="00E15162" w:rsidRPr="00495A0D">
        <w:rPr>
          <w:rFonts w:ascii="Times New Roman" w:hAnsi="Times New Roman"/>
          <w:color w:val="000000" w:themeColor="text1"/>
          <w:sz w:val="24"/>
          <w:szCs w:val="24"/>
        </w:rPr>
        <w:t xml:space="preserve"> utilizada en estudios latinoamericanos</w:t>
      </w:r>
      <w:r w:rsidR="000B2BA7" w:rsidRPr="00495A0D">
        <w:rPr>
          <w:rFonts w:ascii="Times New Roman" w:hAnsi="Times New Roman"/>
          <w:color w:val="000000" w:themeColor="text1"/>
          <w:sz w:val="24"/>
          <w:szCs w:val="24"/>
        </w:rPr>
        <w:t xml:space="preserve"> </w:t>
      </w:r>
      <w:r w:rsidR="004C2155" w:rsidRPr="00495A0D">
        <w:rPr>
          <w:rFonts w:ascii="Times New Roman" w:hAnsi="Times New Roman"/>
          <w:color w:val="000000" w:themeColor="text1"/>
          <w:sz w:val="24"/>
          <w:szCs w:val="24"/>
        </w:rPr>
        <w:t>(Calderón,</w:t>
      </w:r>
      <w:r w:rsidR="004551D9" w:rsidRPr="00495A0D">
        <w:rPr>
          <w:rFonts w:ascii="Times New Roman" w:hAnsi="Times New Roman"/>
          <w:color w:val="000000" w:themeColor="text1"/>
          <w:sz w:val="24"/>
          <w:szCs w:val="24"/>
        </w:rPr>
        <w:t xml:space="preserve"> Aranguren, Gerónimo y Castañea, </w:t>
      </w:r>
      <w:r w:rsidR="004C2155" w:rsidRPr="00495A0D">
        <w:rPr>
          <w:rFonts w:ascii="Times New Roman" w:hAnsi="Times New Roman"/>
          <w:color w:val="000000" w:themeColor="text1"/>
          <w:sz w:val="24"/>
          <w:szCs w:val="24"/>
        </w:rPr>
        <w:t xml:space="preserve"> 2012</w:t>
      </w:r>
      <w:r w:rsidR="00F84503" w:rsidRPr="00495A0D">
        <w:rPr>
          <w:rFonts w:ascii="Times New Roman" w:hAnsi="Times New Roman"/>
          <w:color w:val="000000" w:themeColor="text1"/>
          <w:sz w:val="24"/>
          <w:szCs w:val="24"/>
        </w:rPr>
        <w:t xml:space="preserve">; </w:t>
      </w:r>
      <w:r w:rsidR="004F3A36" w:rsidRPr="00495A0D">
        <w:rPr>
          <w:rFonts w:ascii="Times New Roman" w:hAnsi="Times New Roman"/>
          <w:color w:val="000000" w:themeColor="text1"/>
          <w:sz w:val="24"/>
          <w:szCs w:val="24"/>
        </w:rPr>
        <w:t>Giraldo</w:t>
      </w:r>
      <w:r w:rsidR="007C5A50" w:rsidRPr="00495A0D">
        <w:rPr>
          <w:rFonts w:ascii="Times New Roman" w:hAnsi="Times New Roman"/>
          <w:color w:val="000000" w:themeColor="text1"/>
          <w:sz w:val="24"/>
          <w:szCs w:val="24"/>
        </w:rPr>
        <w:t>, Martínez y Granada</w:t>
      </w:r>
      <w:r w:rsidR="004F3A36" w:rsidRPr="00495A0D">
        <w:rPr>
          <w:rFonts w:ascii="Times New Roman" w:hAnsi="Times New Roman"/>
          <w:color w:val="000000" w:themeColor="text1"/>
          <w:sz w:val="24"/>
          <w:szCs w:val="24"/>
        </w:rPr>
        <w:t>, 2011</w:t>
      </w:r>
      <w:r w:rsidR="00F84503" w:rsidRPr="00495A0D">
        <w:rPr>
          <w:rFonts w:ascii="Times New Roman" w:hAnsi="Times New Roman"/>
          <w:color w:val="000000" w:themeColor="text1"/>
          <w:sz w:val="24"/>
          <w:szCs w:val="24"/>
        </w:rPr>
        <w:t xml:space="preserve">), </w:t>
      </w:r>
      <w:r w:rsidR="000B2BA7" w:rsidRPr="00495A0D">
        <w:rPr>
          <w:rFonts w:ascii="Times New Roman" w:hAnsi="Times New Roman"/>
          <w:color w:val="000000" w:themeColor="text1"/>
          <w:sz w:val="24"/>
          <w:szCs w:val="24"/>
        </w:rPr>
        <w:t>siendo un referente para</w:t>
      </w:r>
      <w:r w:rsidR="00C26B05" w:rsidRPr="00495A0D">
        <w:rPr>
          <w:rFonts w:ascii="Times New Roman" w:hAnsi="Times New Roman"/>
          <w:color w:val="000000" w:themeColor="text1"/>
          <w:sz w:val="24"/>
          <w:szCs w:val="24"/>
        </w:rPr>
        <w:t xml:space="preserve"> </w:t>
      </w:r>
      <w:r w:rsidR="000A615B" w:rsidRPr="00495A0D">
        <w:rPr>
          <w:rFonts w:ascii="Times New Roman" w:hAnsi="Times New Roman"/>
          <w:color w:val="000000" w:themeColor="text1"/>
          <w:sz w:val="24"/>
          <w:szCs w:val="24"/>
        </w:rPr>
        <w:t>otras tablas</w:t>
      </w:r>
      <w:r w:rsidR="0096281D" w:rsidRPr="00495A0D">
        <w:rPr>
          <w:rFonts w:ascii="Times New Roman" w:hAnsi="Times New Roman"/>
          <w:color w:val="000000" w:themeColor="text1"/>
          <w:sz w:val="24"/>
          <w:szCs w:val="24"/>
        </w:rPr>
        <w:t xml:space="preserve"> de estimación</w:t>
      </w:r>
      <w:r w:rsidR="00A57695" w:rsidRPr="00495A0D">
        <w:rPr>
          <w:rFonts w:ascii="Times New Roman" w:hAnsi="Times New Roman"/>
          <w:color w:val="000000" w:themeColor="text1"/>
          <w:sz w:val="24"/>
          <w:szCs w:val="24"/>
        </w:rPr>
        <w:t xml:space="preserve"> como</w:t>
      </w:r>
      <w:r w:rsidR="00E15162" w:rsidRPr="00495A0D">
        <w:rPr>
          <w:rFonts w:ascii="Times New Roman" w:hAnsi="Times New Roman"/>
          <w:color w:val="000000" w:themeColor="text1"/>
          <w:sz w:val="24"/>
          <w:szCs w:val="24"/>
        </w:rPr>
        <w:t xml:space="preserve"> ASCVD </w:t>
      </w:r>
      <w:r w:rsidR="00F84503" w:rsidRPr="00495A0D">
        <w:rPr>
          <w:rFonts w:ascii="Times New Roman" w:hAnsi="Times New Roman"/>
          <w:color w:val="000000" w:themeColor="text1"/>
          <w:sz w:val="24"/>
          <w:szCs w:val="24"/>
        </w:rPr>
        <w:t xml:space="preserve">Score </w:t>
      </w:r>
      <w:r w:rsidR="00E15162" w:rsidRPr="00495A0D">
        <w:rPr>
          <w:rFonts w:ascii="Times New Roman" w:hAnsi="Times New Roman"/>
          <w:color w:val="000000" w:themeColor="text1"/>
          <w:sz w:val="24"/>
          <w:szCs w:val="24"/>
        </w:rPr>
        <w:t>y la tabla OMS/ISH</w:t>
      </w:r>
      <w:r w:rsidR="00F84503" w:rsidRPr="00495A0D">
        <w:rPr>
          <w:rFonts w:ascii="Times New Roman" w:hAnsi="Times New Roman"/>
          <w:color w:val="000000" w:themeColor="text1"/>
          <w:sz w:val="24"/>
          <w:szCs w:val="24"/>
        </w:rPr>
        <w:t>,</w:t>
      </w:r>
      <w:r w:rsidR="00E15162" w:rsidRPr="00495A0D">
        <w:rPr>
          <w:rFonts w:ascii="Times New Roman" w:hAnsi="Times New Roman"/>
          <w:color w:val="000000" w:themeColor="text1"/>
          <w:sz w:val="24"/>
          <w:szCs w:val="24"/>
        </w:rPr>
        <w:t xml:space="preserve"> validada para la región de</w:t>
      </w:r>
      <w:r w:rsidR="00764072" w:rsidRPr="00495A0D">
        <w:rPr>
          <w:rFonts w:ascii="Times New Roman" w:hAnsi="Times New Roman"/>
          <w:color w:val="000000" w:themeColor="text1"/>
          <w:sz w:val="24"/>
          <w:szCs w:val="24"/>
        </w:rPr>
        <w:t xml:space="preserve"> la subcategoría B de</w:t>
      </w:r>
      <w:r w:rsidR="00E15162" w:rsidRPr="00495A0D">
        <w:rPr>
          <w:rFonts w:ascii="Times New Roman" w:hAnsi="Times New Roman"/>
          <w:color w:val="000000" w:themeColor="text1"/>
          <w:sz w:val="24"/>
          <w:szCs w:val="24"/>
        </w:rPr>
        <w:t xml:space="preserve"> las Américas</w:t>
      </w:r>
      <w:r w:rsidR="00764072" w:rsidRPr="00495A0D">
        <w:rPr>
          <w:rFonts w:ascii="Times New Roman" w:hAnsi="Times New Roman"/>
          <w:color w:val="000000" w:themeColor="text1"/>
          <w:sz w:val="24"/>
          <w:szCs w:val="24"/>
        </w:rPr>
        <w:t>,</w:t>
      </w:r>
      <w:r w:rsidR="00E15162" w:rsidRPr="00495A0D">
        <w:rPr>
          <w:rFonts w:ascii="Times New Roman" w:hAnsi="Times New Roman"/>
          <w:color w:val="000000" w:themeColor="text1"/>
          <w:sz w:val="24"/>
          <w:szCs w:val="24"/>
        </w:rPr>
        <w:t xml:space="preserve"> en la cual se encuentra México</w:t>
      </w:r>
      <w:r w:rsidR="002F74C4" w:rsidRPr="00495A0D">
        <w:rPr>
          <w:rFonts w:ascii="Times New Roman" w:hAnsi="Times New Roman"/>
          <w:color w:val="000000" w:themeColor="text1"/>
          <w:sz w:val="24"/>
          <w:szCs w:val="24"/>
        </w:rPr>
        <w:t xml:space="preserve"> (OMS, 2008).</w:t>
      </w:r>
      <w:r w:rsidR="00321508" w:rsidRPr="00495A0D">
        <w:rPr>
          <w:rFonts w:ascii="Times New Roman" w:hAnsi="Times New Roman"/>
          <w:color w:val="000000" w:themeColor="text1"/>
          <w:sz w:val="24"/>
          <w:szCs w:val="24"/>
        </w:rPr>
        <w:t xml:space="preserve"> </w:t>
      </w:r>
    </w:p>
    <w:p w14:paraId="0E75F992" w14:textId="16974978" w:rsidR="00405B37" w:rsidRPr="00495A0D" w:rsidRDefault="00CD6BA9"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Al aplicar el puntaje de </w:t>
      </w:r>
      <w:r w:rsidR="00571267" w:rsidRPr="00495A0D">
        <w:rPr>
          <w:rFonts w:ascii="Times New Roman" w:hAnsi="Times New Roman"/>
          <w:color w:val="000000" w:themeColor="text1"/>
          <w:sz w:val="24"/>
          <w:szCs w:val="24"/>
        </w:rPr>
        <w:t xml:space="preserve">Framingham en </w:t>
      </w:r>
      <w:r w:rsidR="00F45D52" w:rsidRPr="00495A0D">
        <w:rPr>
          <w:rFonts w:ascii="Times New Roman" w:hAnsi="Times New Roman"/>
          <w:color w:val="000000" w:themeColor="text1"/>
          <w:sz w:val="24"/>
          <w:szCs w:val="24"/>
        </w:rPr>
        <w:t xml:space="preserve">este </w:t>
      </w:r>
      <w:r w:rsidR="00571267" w:rsidRPr="00495A0D">
        <w:rPr>
          <w:rFonts w:ascii="Times New Roman" w:hAnsi="Times New Roman"/>
          <w:color w:val="000000" w:themeColor="text1"/>
          <w:sz w:val="24"/>
          <w:szCs w:val="24"/>
        </w:rPr>
        <w:t xml:space="preserve">estudio, se pudo observar que los profesionales de </w:t>
      </w:r>
      <w:r w:rsidR="002F1E5E" w:rsidRPr="00495A0D">
        <w:rPr>
          <w:rFonts w:ascii="Times New Roman" w:hAnsi="Times New Roman"/>
          <w:color w:val="000000" w:themeColor="text1"/>
          <w:sz w:val="24"/>
          <w:szCs w:val="24"/>
        </w:rPr>
        <w:t>enfermería</w:t>
      </w:r>
      <w:r w:rsidR="00571267" w:rsidRPr="00495A0D">
        <w:rPr>
          <w:rFonts w:ascii="Times New Roman" w:hAnsi="Times New Roman"/>
          <w:color w:val="000000" w:themeColor="text1"/>
          <w:sz w:val="24"/>
          <w:szCs w:val="24"/>
        </w:rPr>
        <w:t xml:space="preserve"> asignados a la </w:t>
      </w:r>
      <w:r w:rsidR="00C73CE8" w:rsidRPr="00495A0D">
        <w:rPr>
          <w:rFonts w:ascii="Times New Roman" w:hAnsi="Times New Roman"/>
          <w:color w:val="000000" w:themeColor="text1"/>
          <w:sz w:val="24"/>
          <w:szCs w:val="24"/>
        </w:rPr>
        <w:t>UCI</w:t>
      </w:r>
      <w:r w:rsidR="00571267" w:rsidRPr="00495A0D">
        <w:rPr>
          <w:rFonts w:ascii="Times New Roman" w:hAnsi="Times New Roman"/>
          <w:color w:val="000000" w:themeColor="text1"/>
          <w:sz w:val="24"/>
          <w:szCs w:val="24"/>
        </w:rPr>
        <w:t xml:space="preserve"> presentaron</w:t>
      </w:r>
      <w:r w:rsidRPr="00495A0D">
        <w:rPr>
          <w:rFonts w:ascii="Times New Roman" w:hAnsi="Times New Roman"/>
          <w:color w:val="000000" w:themeColor="text1"/>
          <w:sz w:val="24"/>
          <w:szCs w:val="24"/>
        </w:rPr>
        <w:t xml:space="preserve"> un riesgo cardiovascular bajo, </w:t>
      </w:r>
      <w:r w:rsidR="00571267" w:rsidRPr="00495A0D">
        <w:rPr>
          <w:rFonts w:ascii="Times New Roman" w:hAnsi="Times New Roman"/>
          <w:color w:val="000000" w:themeColor="text1"/>
          <w:sz w:val="24"/>
          <w:szCs w:val="24"/>
        </w:rPr>
        <w:t xml:space="preserve">siendo </w:t>
      </w:r>
      <w:r w:rsidRPr="00495A0D">
        <w:rPr>
          <w:rFonts w:ascii="Times New Roman" w:hAnsi="Times New Roman"/>
          <w:color w:val="000000" w:themeColor="text1"/>
          <w:sz w:val="24"/>
          <w:szCs w:val="24"/>
        </w:rPr>
        <w:t>los re</w:t>
      </w:r>
      <w:r w:rsidR="00571267" w:rsidRPr="00495A0D">
        <w:rPr>
          <w:rFonts w:ascii="Times New Roman" w:hAnsi="Times New Roman"/>
          <w:color w:val="000000" w:themeColor="text1"/>
          <w:sz w:val="24"/>
          <w:szCs w:val="24"/>
        </w:rPr>
        <w:t xml:space="preserve">sultados de </w:t>
      </w:r>
      <w:r w:rsidR="00F45D52" w:rsidRPr="00495A0D">
        <w:rPr>
          <w:rFonts w:ascii="Times New Roman" w:hAnsi="Times New Roman"/>
          <w:color w:val="000000" w:themeColor="text1"/>
          <w:sz w:val="24"/>
          <w:szCs w:val="24"/>
        </w:rPr>
        <w:t xml:space="preserve">este </w:t>
      </w:r>
      <w:r w:rsidR="00571267" w:rsidRPr="00495A0D">
        <w:rPr>
          <w:rFonts w:ascii="Times New Roman" w:hAnsi="Times New Roman"/>
          <w:color w:val="000000" w:themeColor="text1"/>
          <w:sz w:val="24"/>
          <w:szCs w:val="24"/>
        </w:rPr>
        <w:t xml:space="preserve">estudio </w:t>
      </w:r>
      <w:r w:rsidRPr="00495A0D">
        <w:rPr>
          <w:rFonts w:ascii="Times New Roman" w:hAnsi="Times New Roman"/>
          <w:color w:val="000000" w:themeColor="text1"/>
          <w:sz w:val="24"/>
          <w:szCs w:val="24"/>
        </w:rPr>
        <w:t>similares a los encontrados por Sifuentes</w:t>
      </w:r>
      <w:r w:rsidR="009770D8" w:rsidRPr="00495A0D">
        <w:rPr>
          <w:rFonts w:ascii="Times New Roman" w:hAnsi="Times New Roman"/>
          <w:color w:val="000000" w:themeColor="text1"/>
          <w:sz w:val="24"/>
          <w:szCs w:val="24"/>
        </w:rPr>
        <w:t>, Sosa, Pérez y Parra</w:t>
      </w:r>
      <w:r w:rsidR="00DA3317" w:rsidRPr="00495A0D">
        <w:rPr>
          <w:rFonts w:ascii="Times New Roman" w:hAnsi="Times New Roman"/>
          <w:color w:val="000000" w:themeColor="text1"/>
          <w:sz w:val="24"/>
          <w:szCs w:val="24"/>
          <w:vertAlign w:val="superscript"/>
        </w:rPr>
        <w:t xml:space="preserve"> </w:t>
      </w:r>
      <w:r w:rsidR="00B0702A" w:rsidRPr="00495A0D">
        <w:rPr>
          <w:rFonts w:ascii="Times New Roman" w:hAnsi="Times New Roman"/>
          <w:color w:val="000000" w:themeColor="text1"/>
          <w:sz w:val="24"/>
          <w:szCs w:val="24"/>
        </w:rPr>
        <w:t>(201</w:t>
      </w:r>
      <w:r w:rsidR="00D52662" w:rsidRPr="00495A0D">
        <w:rPr>
          <w:rFonts w:ascii="Times New Roman" w:hAnsi="Times New Roman"/>
          <w:color w:val="000000" w:themeColor="text1"/>
          <w:sz w:val="24"/>
          <w:szCs w:val="24"/>
        </w:rPr>
        <w:t>1</w:t>
      </w:r>
      <w:r w:rsidR="00B0702A" w:rsidRPr="00495A0D">
        <w:rPr>
          <w:rFonts w:ascii="Times New Roman" w:hAnsi="Times New Roman"/>
          <w:color w:val="000000" w:themeColor="text1"/>
          <w:sz w:val="24"/>
          <w:szCs w:val="24"/>
        </w:rPr>
        <w:t>)</w:t>
      </w:r>
      <w:r w:rsidR="007209DB"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w:t>
      </w:r>
      <w:r w:rsidR="007209DB" w:rsidRPr="00495A0D">
        <w:rPr>
          <w:rFonts w:ascii="Times New Roman" w:hAnsi="Times New Roman"/>
          <w:color w:val="000000" w:themeColor="text1"/>
          <w:sz w:val="24"/>
          <w:szCs w:val="24"/>
        </w:rPr>
        <w:t>quien</w:t>
      </w:r>
      <w:r w:rsidR="009770D8" w:rsidRPr="00495A0D">
        <w:rPr>
          <w:rFonts w:ascii="Times New Roman" w:hAnsi="Times New Roman"/>
          <w:color w:val="000000" w:themeColor="text1"/>
          <w:sz w:val="24"/>
          <w:szCs w:val="24"/>
        </w:rPr>
        <w:t>es</w:t>
      </w:r>
      <w:r w:rsidR="008861C8" w:rsidRPr="00495A0D">
        <w:rPr>
          <w:rFonts w:ascii="Times New Roman" w:hAnsi="Times New Roman"/>
          <w:color w:val="000000" w:themeColor="text1"/>
          <w:sz w:val="24"/>
          <w:szCs w:val="24"/>
        </w:rPr>
        <w:t xml:space="preserve"> </w:t>
      </w:r>
      <w:r w:rsidR="009770D8" w:rsidRPr="00495A0D">
        <w:rPr>
          <w:rFonts w:ascii="Times New Roman" w:hAnsi="Times New Roman"/>
          <w:color w:val="000000" w:themeColor="text1"/>
          <w:sz w:val="24"/>
          <w:szCs w:val="24"/>
        </w:rPr>
        <w:t xml:space="preserve">encontraron </w:t>
      </w:r>
      <w:r w:rsidR="008861C8" w:rsidRPr="00495A0D">
        <w:rPr>
          <w:rFonts w:ascii="Times New Roman" w:hAnsi="Times New Roman"/>
          <w:color w:val="000000" w:themeColor="text1"/>
          <w:sz w:val="24"/>
          <w:szCs w:val="24"/>
        </w:rPr>
        <w:t>un riesgo c</w:t>
      </w:r>
      <w:r w:rsidR="00571267" w:rsidRPr="00495A0D">
        <w:rPr>
          <w:rFonts w:ascii="Times New Roman" w:hAnsi="Times New Roman"/>
          <w:color w:val="000000" w:themeColor="text1"/>
          <w:sz w:val="24"/>
          <w:szCs w:val="24"/>
        </w:rPr>
        <w:t xml:space="preserve">ardiovascular bajo en </w:t>
      </w:r>
      <w:r w:rsidR="008861C8" w:rsidRPr="00495A0D">
        <w:rPr>
          <w:rFonts w:ascii="Times New Roman" w:hAnsi="Times New Roman"/>
          <w:color w:val="000000" w:themeColor="text1"/>
          <w:sz w:val="24"/>
          <w:szCs w:val="24"/>
        </w:rPr>
        <w:t>un grupo de e</w:t>
      </w:r>
      <w:r w:rsidR="00571267" w:rsidRPr="00495A0D">
        <w:rPr>
          <w:rFonts w:ascii="Times New Roman" w:hAnsi="Times New Roman"/>
          <w:color w:val="000000" w:themeColor="text1"/>
          <w:sz w:val="24"/>
          <w:szCs w:val="24"/>
        </w:rPr>
        <w:t xml:space="preserve">nfermeras asignadas a un área </w:t>
      </w:r>
      <w:r w:rsidR="002F1E5E" w:rsidRPr="00495A0D">
        <w:rPr>
          <w:rFonts w:ascii="Times New Roman" w:hAnsi="Times New Roman"/>
          <w:color w:val="000000" w:themeColor="text1"/>
          <w:sz w:val="24"/>
          <w:szCs w:val="24"/>
        </w:rPr>
        <w:t>quirúrgica</w:t>
      </w:r>
      <w:r w:rsidR="007209DB" w:rsidRPr="00495A0D">
        <w:rPr>
          <w:rFonts w:ascii="Times New Roman" w:hAnsi="Times New Roman"/>
          <w:color w:val="000000" w:themeColor="text1"/>
          <w:sz w:val="24"/>
          <w:szCs w:val="24"/>
        </w:rPr>
        <w:t xml:space="preserve">, hallando </w:t>
      </w:r>
      <w:r w:rsidR="008861C8" w:rsidRPr="00495A0D">
        <w:rPr>
          <w:rFonts w:ascii="Times New Roman" w:hAnsi="Times New Roman"/>
          <w:color w:val="000000" w:themeColor="text1"/>
          <w:sz w:val="24"/>
          <w:szCs w:val="24"/>
        </w:rPr>
        <w:t>como principales factores de riesgo coro</w:t>
      </w:r>
      <w:r w:rsidR="00E50EF1" w:rsidRPr="00495A0D">
        <w:rPr>
          <w:rFonts w:ascii="Times New Roman" w:hAnsi="Times New Roman"/>
          <w:color w:val="000000" w:themeColor="text1"/>
          <w:sz w:val="24"/>
          <w:szCs w:val="24"/>
        </w:rPr>
        <w:t>nario la</w:t>
      </w:r>
      <w:r w:rsidR="008861C8" w:rsidRPr="00495A0D">
        <w:rPr>
          <w:rFonts w:ascii="Times New Roman" w:hAnsi="Times New Roman"/>
          <w:color w:val="000000" w:themeColor="text1"/>
          <w:sz w:val="24"/>
          <w:szCs w:val="24"/>
        </w:rPr>
        <w:t xml:space="preserve"> dismin</w:t>
      </w:r>
      <w:r w:rsidR="00571267" w:rsidRPr="00495A0D">
        <w:rPr>
          <w:rFonts w:ascii="Times New Roman" w:hAnsi="Times New Roman"/>
          <w:color w:val="000000" w:themeColor="text1"/>
          <w:sz w:val="24"/>
          <w:szCs w:val="24"/>
        </w:rPr>
        <w:t xml:space="preserve">ución del colesterol HDL , tabaquismo </w:t>
      </w:r>
      <w:r w:rsidR="008861C8" w:rsidRPr="00495A0D">
        <w:rPr>
          <w:rFonts w:ascii="Times New Roman" w:hAnsi="Times New Roman"/>
          <w:color w:val="000000" w:themeColor="text1"/>
          <w:sz w:val="24"/>
          <w:szCs w:val="24"/>
        </w:rPr>
        <w:t>e hipertensión arterial</w:t>
      </w:r>
      <w:r w:rsidR="00B41261" w:rsidRPr="00495A0D">
        <w:rPr>
          <w:rFonts w:ascii="Times New Roman" w:hAnsi="Times New Roman"/>
          <w:color w:val="000000" w:themeColor="text1"/>
          <w:sz w:val="24"/>
          <w:szCs w:val="24"/>
        </w:rPr>
        <w:t>.</w:t>
      </w:r>
    </w:p>
    <w:p w14:paraId="4DCCA44D" w14:textId="11DCB9FC" w:rsidR="00B97E75" w:rsidRPr="00495A0D" w:rsidRDefault="00405B37"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S</w:t>
      </w:r>
      <w:r w:rsidR="00E50EF1" w:rsidRPr="00495A0D">
        <w:rPr>
          <w:rFonts w:ascii="Times New Roman" w:hAnsi="Times New Roman"/>
          <w:color w:val="000000" w:themeColor="text1"/>
          <w:sz w:val="24"/>
          <w:szCs w:val="24"/>
        </w:rPr>
        <w:t xml:space="preserve">in </w:t>
      </w:r>
      <w:r w:rsidR="006D2851" w:rsidRPr="00495A0D">
        <w:rPr>
          <w:rFonts w:ascii="Times New Roman" w:hAnsi="Times New Roman"/>
          <w:color w:val="000000" w:themeColor="text1"/>
          <w:sz w:val="24"/>
          <w:szCs w:val="24"/>
        </w:rPr>
        <w:t>embargo,</w:t>
      </w:r>
      <w:r w:rsidR="00E50EF1" w:rsidRPr="00495A0D">
        <w:rPr>
          <w:rFonts w:ascii="Times New Roman" w:hAnsi="Times New Roman"/>
          <w:color w:val="000000" w:themeColor="text1"/>
          <w:sz w:val="24"/>
          <w:szCs w:val="24"/>
        </w:rPr>
        <w:t xml:space="preserve"> </w:t>
      </w:r>
      <w:r w:rsidR="00F45D52" w:rsidRPr="00495A0D">
        <w:rPr>
          <w:rFonts w:ascii="Times New Roman" w:hAnsi="Times New Roman"/>
          <w:color w:val="000000" w:themeColor="text1"/>
          <w:sz w:val="24"/>
          <w:szCs w:val="24"/>
        </w:rPr>
        <w:t xml:space="preserve">este </w:t>
      </w:r>
      <w:r w:rsidR="00E50EF1" w:rsidRPr="00495A0D">
        <w:rPr>
          <w:rFonts w:ascii="Times New Roman" w:hAnsi="Times New Roman"/>
          <w:color w:val="000000" w:themeColor="text1"/>
          <w:sz w:val="24"/>
          <w:szCs w:val="24"/>
        </w:rPr>
        <w:t xml:space="preserve">estudio </w:t>
      </w:r>
      <w:r w:rsidR="007209DB" w:rsidRPr="00495A0D">
        <w:rPr>
          <w:rFonts w:ascii="Times New Roman" w:hAnsi="Times New Roman"/>
          <w:color w:val="000000" w:themeColor="text1"/>
          <w:sz w:val="24"/>
          <w:szCs w:val="24"/>
        </w:rPr>
        <w:t>—</w:t>
      </w:r>
      <w:r w:rsidR="00E50EF1" w:rsidRPr="00495A0D">
        <w:rPr>
          <w:rFonts w:ascii="Times New Roman" w:hAnsi="Times New Roman"/>
          <w:color w:val="000000" w:themeColor="text1"/>
          <w:sz w:val="24"/>
          <w:szCs w:val="24"/>
        </w:rPr>
        <w:t>a difer</w:t>
      </w:r>
      <w:r w:rsidRPr="00495A0D">
        <w:rPr>
          <w:rFonts w:ascii="Times New Roman" w:hAnsi="Times New Roman"/>
          <w:color w:val="000000" w:themeColor="text1"/>
          <w:sz w:val="24"/>
          <w:szCs w:val="24"/>
        </w:rPr>
        <w:t>encia del de Sifuentes</w:t>
      </w:r>
      <w:r w:rsidR="009770D8" w:rsidRPr="00495A0D">
        <w:rPr>
          <w:rFonts w:ascii="Times New Roman" w:hAnsi="Times New Roman"/>
          <w:color w:val="000000" w:themeColor="text1"/>
          <w:sz w:val="24"/>
          <w:szCs w:val="24"/>
        </w:rPr>
        <w:t xml:space="preserve"> </w:t>
      </w:r>
      <w:r w:rsidR="009770D8" w:rsidRPr="00495A0D">
        <w:rPr>
          <w:rFonts w:ascii="Times New Roman" w:hAnsi="Times New Roman"/>
          <w:i/>
          <w:color w:val="000000" w:themeColor="text1"/>
          <w:sz w:val="24"/>
          <w:szCs w:val="24"/>
        </w:rPr>
        <w:t>et al.</w:t>
      </w:r>
      <w:r w:rsidR="00EF0F7E" w:rsidRPr="00495A0D">
        <w:rPr>
          <w:rFonts w:ascii="Times New Roman" w:hAnsi="Times New Roman"/>
          <w:color w:val="000000" w:themeColor="text1"/>
          <w:sz w:val="24"/>
          <w:szCs w:val="24"/>
        </w:rPr>
        <w:t xml:space="preserve"> (2011)</w:t>
      </w:r>
      <w:r w:rsidRPr="00495A0D">
        <w:rPr>
          <w:rFonts w:ascii="Times New Roman" w:hAnsi="Times New Roman"/>
          <w:color w:val="000000" w:themeColor="text1"/>
          <w:sz w:val="24"/>
          <w:szCs w:val="24"/>
        </w:rPr>
        <w:t xml:space="preserve"> </w:t>
      </w:r>
      <w:r w:rsidR="007209DB" w:rsidRPr="00495A0D">
        <w:rPr>
          <w:rFonts w:ascii="Times New Roman" w:hAnsi="Times New Roman"/>
          <w:color w:val="000000" w:themeColor="text1"/>
          <w:sz w:val="24"/>
          <w:szCs w:val="24"/>
        </w:rPr>
        <w:t xml:space="preserve">o </w:t>
      </w:r>
      <w:r w:rsidR="00E50EF1" w:rsidRPr="00495A0D">
        <w:rPr>
          <w:rFonts w:ascii="Times New Roman" w:hAnsi="Times New Roman"/>
          <w:color w:val="000000" w:themeColor="text1"/>
          <w:sz w:val="24"/>
          <w:szCs w:val="24"/>
        </w:rPr>
        <w:t>Calderón</w:t>
      </w:r>
      <w:r w:rsidR="00EF0F7E" w:rsidRPr="00495A0D">
        <w:rPr>
          <w:rFonts w:ascii="Times New Roman" w:hAnsi="Times New Roman"/>
          <w:color w:val="000000" w:themeColor="text1"/>
          <w:sz w:val="24"/>
          <w:szCs w:val="24"/>
        </w:rPr>
        <w:t xml:space="preserve"> </w:t>
      </w:r>
      <w:r w:rsidR="00C15563" w:rsidRPr="00495A0D">
        <w:rPr>
          <w:rFonts w:ascii="Times New Roman" w:hAnsi="Times New Roman"/>
          <w:i/>
          <w:color w:val="000000" w:themeColor="text1"/>
          <w:sz w:val="24"/>
          <w:szCs w:val="24"/>
        </w:rPr>
        <w:t>et al.</w:t>
      </w:r>
      <w:r w:rsidR="00C15563" w:rsidRPr="00495A0D">
        <w:rPr>
          <w:rFonts w:ascii="Times New Roman" w:hAnsi="Times New Roman"/>
          <w:color w:val="000000" w:themeColor="text1"/>
          <w:sz w:val="24"/>
          <w:szCs w:val="24"/>
        </w:rPr>
        <w:t xml:space="preserve"> </w:t>
      </w:r>
      <w:r w:rsidR="00EF0F7E" w:rsidRPr="00495A0D">
        <w:rPr>
          <w:rFonts w:ascii="Times New Roman" w:hAnsi="Times New Roman"/>
          <w:color w:val="000000" w:themeColor="text1"/>
          <w:sz w:val="24"/>
          <w:szCs w:val="24"/>
        </w:rPr>
        <w:t>(2012)</w:t>
      </w:r>
      <w:r w:rsidR="007209DB" w:rsidRPr="00495A0D">
        <w:rPr>
          <w:rFonts w:ascii="Times New Roman" w:hAnsi="Times New Roman"/>
          <w:color w:val="000000" w:themeColor="text1"/>
          <w:sz w:val="24"/>
          <w:szCs w:val="24"/>
        </w:rPr>
        <w:t>—</w:t>
      </w:r>
      <w:r w:rsidR="00CE0B5A" w:rsidRPr="00495A0D">
        <w:rPr>
          <w:rFonts w:ascii="Times New Roman" w:hAnsi="Times New Roman"/>
          <w:color w:val="000000" w:themeColor="text1"/>
          <w:sz w:val="24"/>
          <w:szCs w:val="24"/>
          <w:vertAlign w:val="superscript"/>
        </w:rPr>
        <w:t xml:space="preserve"> </w:t>
      </w:r>
      <w:r w:rsidR="007209DB" w:rsidRPr="00495A0D">
        <w:rPr>
          <w:rFonts w:ascii="Times New Roman" w:hAnsi="Times New Roman"/>
          <w:color w:val="000000" w:themeColor="text1"/>
          <w:sz w:val="24"/>
          <w:szCs w:val="24"/>
        </w:rPr>
        <w:t xml:space="preserve">empleó </w:t>
      </w:r>
      <w:r w:rsidRPr="00495A0D">
        <w:rPr>
          <w:rFonts w:ascii="Times New Roman" w:hAnsi="Times New Roman"/>
          <w:color w:val="000000" w:themeColor="text1"/>
          <w:sz w:val="24"/>
          <w:szCs w:val="24"/>
        </w:rPr>
        <w:t xml:space="preserve">tres tablas diferentes </w:t>
      </w:r>
      <w:r w:rsidR="005211C1" w:rsidRPr="00495A0D">
        <w:rPr>
          <w:rFonts w:ascii="Times New Roman" w:hAnsi="Times New Roman"/>
          <w:color w:val="000000" w:themeColor="text1"/>
          <w:sz w:val="24"/>
          <w:szCs w:val="24"/>
        </w:rPr>
        <w:t xml:space="preserve">en la estimación del riesgo </w:t>
      </w:r>
      <w:r w:rsidR="006D2851" w:rsidRPr="00495A0D">
        <w:rPr>
          <w:rFonts w:ascii="Times New Roman" w:hAnsi="Times New Roman"/>
          <w:color w:val="000000" w:themeColor="text1"/>
          <w:sz w:val="24"/>
          <w:szCs w:val="24"/>
        </w:rPr>
        <w:t>cardiovascular que</w:t>
      </w:r>
      <w:r w:rsidRPr="00495A0D">
        <w:rPr>
          <w:rFonts w:ascii="Times New Roman" w:hAnsi="Times New Roman"/>
          <w:color w:val="000000" w:themeColor="text1"/>
          <w:sz w:val="24"/>
          <w:szCs w:val="24"/>
        </w:rPr>
        <w:t xml:space="preserve"> fueron concordantes entre sí</w:t>
      </w:r>
      <w:r w:rsidR="00E50EF1" w:rsidRPr="00495A0D">
        <w:rPr>
          <w:rFonts w:ascii="Times New Roman" w:hAnsi="Times New Roman"/>
          <w:color w:val="000000" w:themeColor="text1"/>
          <w:sz w:val="24"/>
          <w:szCs w:val="24"/>
        </w:rPr>
        <w:t xml:space="preserve"> </w:t>
      </w:r>
      <w:r w:rsidR="005211C1" w:rsidRPr="00495A0D">
        <w:rPr>
          <w:rFonts w:ascii="Times New Roman" w:hAnsi="Times New Roman"/>
          <w:color w:val="000000" w:themeColor="text1"/>
          <w:sz w:val="24"/>
          <w:szCs w:val="24"/>
        </w:rPr>
        <w:t>por su</w:t>
      </w:r>
      <w:r w:rsidRPr="00495A0D">
        <w:rPr>
          <w:rFonts w:ascii="Times New Roman" w:hAnsi="Times New Roman"/>
          <w:color w:val="000000" w:themeColor="text1"/>
          <w:sz w:val="24"/>
          <w:szCs w:val="24"/>
        </w:rPr>
        <w:t xml:space="preserve"> nivel de </w:t>
      </w:r>
      <w:r w:rsidR="006D2851" w:rsidRPr="00495A0D">
        <w:rPr>
          <w:rFonts w:ascii="Times New Roman" w:hAnsi="Times New Roman"/>
          <w:color w:val="000000" w:themeColor="text1"/>
          <w:sz w:val="24"/>
          <w:szCs w:val="24"/>
        </w:rPr>
        <w:t>correlación,</w:t>
      </w:r>
      <w:r w:rsidRPr="00495A0D">
        <w:rPr>
          <w:rFonts w:ascii="Times New Roman" w:hAnsi="Times New Roman"/>
          <w:color w:val="000000" w:themeColor="text1"/>
          <w:sz w:val="24"/>
          <w:szCs w:val="24"/>
        </w:rPr>
        <w:t xml:space="preserve"> así como por los</w:t>
      </w:r>
      <w:r w:rsidR="00E50EF1" w:rsidRPr="00495A0D">
        <w:rPr>
          <w:rFonts w:ascii="Times New Roman" w:hAnsi="Times New Roman"/>
          <w:color w:val="000000" w:themeColor="text1"/>
          <w:sz w:val="24"/>
          <w:szCs w:val="24"/>
        </w:rPr>
        <w:t xml:space="preserve"> puntaje</w:t>
      </w:r>
      <w:r w:rsidRPr="00495A0D">
        <w:rPr>
          <w:rFonts w:ascii="Times New Roman" w:hAnsi="Times New Roman"/>
          <w:color w:val="000000" w:themeColor="text1"/>
          <w:sz w:val="24"/>
          <w:szCs w:val="24"/>
        </w:rPr>
        <w:t>s</w:t>
      </w:r>
      <w:r w:rsidR="00E50EF1" w:rsidRPr="00495A0D">
        <w:rPr>
          <w:rFonts w:ascii="Times New Roman" w:hAnsi="Times New Roman"/>
          <w:color w:val="000000" w:themeColor="text1"/>
          <w:sz w:val="24"/>
          <w:szCs w:val="24"/>
        </w:rPr>
        <w:t xml:space="preserve"> obt</w:t>
      </w:r>
      <w:r w:rsidRPr="00495A0D">
        <w:rPr>
          <w:rFonts w:ascii="Times New Roman" w:hAnsi="Times New Roman"/>
          <w:color w:val="000000" w:themeColor="text1"/>
          <w:sz w:val="24"/>
          <w:szCs w:val="24"/>
        </w:rPr>
        <w:t>enidos</w:t>
      </w:r>
      <w:r w:rsidR="005211C1"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evitando sobreestimación del riesgo coronario.</w:t>
      </w:r>
    </w:p>
    <w:p w14:paraId="3EC7F3EA" w14:textId="53687440" w:rsidR="00B97E75" w:rsidRPr="00495A0D" w:rsidRDefault="00723731"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Por otra </w:t>
      </w:r>
      <w:r w:rsidR="00E7529F" w:rsidRPr="00495A0D">
        <w:rPr>
          <w:rFonts w:ascii="Times New Roman" w:hAnsi="Times New Roman"/>
          <w:color w:val="000000" w:themeColor="text1"/>
          <w:sz w:val="24"/>
          <w:szCs w:val="24"/>
        </w:rPr>
        <w:t>parte,</w:t>
      </w:r>
      <w:r w:rsidRPr="00495A0D">
        <w:rPr>
          <w:rFonts w:ascii="Times New Roman" w:hAnsi="Times New Roman"/>
          <w:color w:val="000000" w:themeColor="text1"/>
          <w:sz w:val="24"/>
          <w:szCs w:val="24"/>
        </w:rPr>
        <w:t xml:space="preserve"> el</w:t>
      </w:r>
      <w:r w:rsidR="00B97E75" w:rsidRPr="00495A0D">
        <w:rPr>
          <w:rFonts w:ascii="Times New Roman" w:hAnsi="Times New Roman"/>
          <w:color w:val="000000" w:themeColor="text1"/>
          <w:sz w:val="24"/>
          <w:szCs w:val="24"/>
        </w:rPr>
        <w:t xml:space="preserve"> reconocimiento de la enfermedad arterial periférica</w:t>
      </w:r>
      <w:r w:rsidR="007209DB" w:rsidRPr="00495A0D">
        <w:rPr>
          <w:rFonts w:ascii="Times New Roman" w:hAnsi="Times New Roman"/>
          <w:color w:val="000000" w:themeColor="text1"/>
          <w:sz w:val="24"/>
          <w:szCs w:val="24"/>
        </w:rPr>
        <w:t>,</w:t>
      </w:r>
      <w:r w:rsidR="00B97E75" w:rsidRPr="00495A0D">
        <w:rPr>
          <w:rFonts w:ascii="Times New Roman" w:hAnsi="Times New Roman"/>
          <w:color w:val="000000" w:themeColor="text1"/>
          <w:sz w:val="24"/>
          <w:szCs w:val="24"/>
        </w:rPr>
        <w:t xml:space="preserve"> a través del índice </w:t>
      </w:r>
      <w:r w:rsidR="007209DB" w:rsidRPr="00495A0D">
        <w:rPr>
          <w:rFonts w:ascii="Times New Roman" w:hAnsi="Times New Roman"/>
          <w:color w:val="000000" w:themeColor="text1"/>
          <w:sz w:val="24"/>
          <w:szCs w:val="24"/>
        </w:rPr>
        <w:t>tobillo-</w:t>
      </w:r>
      <w:r w:rsidR="00B97E75" w:rsidRPr="00495A0D">
        <w:rPr>
          <w:rFonts w:ascii="Times New Roman" w:hAnsi="Times New Roman"/>
          <w:color w:val="000000" w:themeColor="text1"/>
          <w:sz w:val="24"/>
          <w:szCs w:val="24"/>
        </w:rPr>
        <w:t>brazo</w:t>
      </w:r>
      <w:r w:rsidR="007209DB" w:rsidRPr="00495A0D">
        <w:rPr>
          <w:rFonts w:ascii="Times New Roman" w:hAnsi="Times New Roman"/>
          <w:color w:val="000000" w:themeColor="text1"/>
          <w:sz w:val="24"/>
          <w:szCs w:val="24"/>
        </w:rPr>
        <w:t>,</w:t>
      </w:r>
      <w:r w:rsidR="00B97E75" w:rsidRPr="00495A0D">
        <w:rPr>
          <w:rFonts w:ascii="Times New Roman" w:hAnsi="Times New Roman"/>
          <w:color w:val="000000" w:themeColor="text1"/>
          <w:sz w:val="24"/>
          <w:szCs w:val="24"/>
        </w:rPr>
        <w:t xml:space="preserve"> </w:t>
      </w:r>
      <w:r w:rsidR="007209DB" w:rsidRPr="00495A0D">
        <w:rPr>
          <w:rFonts w:ascii="Times New Roman" w:hAnsi="Times New Roman"/>
          <w:color w:val="000000" w:themeColor="text1"/>
          <w:sz w:val="24"/>
          <w:szCs w:val="24"/>
        </w:rPr>
        <w:t xml:space="preserve">no solo </w:t>
      </w:r>
      <w:r w:rsidR="00B97E75" w:rsidRPr="00495A0D">
        <w:rPr>
          <w:rFonts w:ascii="Times New Roman" w:hAnsi="Times New Roman"/>
          <w:color w:val="000000" w:themeColor="text1"/>
          <w:sz w:val="24"/>
          <w:szCs w:val="24"/>
        </w:rPr>
        <w:t xml:space="preserve">es un marcador sensible de aterosclerosis sistémica, sino también un marcador importante en la detección de eventos cardiovasculares fatales y no fatales </w:t>
      </w:r>
      <w:r w:rsidR="00A7106E" w:rsidRPr="00495A0D">
        <w:rPr>
          <w:rFonts w:ascii="Times New Roman" w:hAnsi="Times New Roman"/>
          <w:color w:val="000000" w:themeColor="text1"/>
          <w:sz w:val="24"/>
          <w:szCs w:val="24"/>
        </w:rPr>
        <w:t xml:space="preserve">(Cantú </w:t>
      </w:r>
      <w:r w:rsidR="00A7106E" w:rsidRPr="00495A0D">
        <w:rPr>
          <w:rFonts w:ascii="Times New Roman" w:hAnsi="Times New Roman"/>
          <w:i/>
          <w:color w:val="000000" w:themeColor="text1"/>
          <w:sz w:val="24"/>
          <w:szCs w:val="24"/>
        </w:rPr>
        <w:t>et</w:t>
      </w:r>
      <w:r w:rsidR="007209DB" w:rsidRPr="00495A0D">
        <w:rPr>
          <w:rFonts w:ascii="Times New Roman" w:hAnsi="Times New Roman"/>
          <w:i/>
          <w:color w:val="000000" w:themeColor="text1"/>
          <w:sz w:val="24"/>
          <w:szCs w:val="24"/>
        </w:rPr>
        <w:t xml:space="preserve"> </w:t>
      </w:r>
      <w:r w:rsidR="00A7106E" w:rsidRPr="00495A0D">
        <w:rPr>
          <w:rFonts w:ascii="Times New Roman" w:hAnsi="Times New Roman"/>
          <w:i/>
          <w:color w:val="000000" w:themeColor="text1"/>
          <w:sz w:val="24"/>
          <w:szCs w:val="24"/>
        </w:rPr>
        <w:t>al</w:t>
      </w:r>
      <w:r w:rsidR="007209DB" w:rsidRPr="00495A0D">
        <w:rPr>
          <w:rFonts w:ascii="Times New Roman" w:hAnsi="Times New Roman"/>
          <w:i/>
          <w:color w:val="000000" w:themeColor="text1"/>
          <w:sz w:val="24"/>
          <w:szCs w:val="24"/>
        </w:rPr>
        <w:t>.</w:t>
      </w:r>
      <w:r w:rsidR="00A7106E" w:rsidRPr="00495A0D">
        <w:rPr>
          <w:rFonts w:ascii="Times New Roman" w:hAnsi="Times New Roman"/>
          <w:color w:val="000000" w:themeColor="text1"/>
          <w:sz w:val="24"/>
          <w:szCs w:val="24"/>
        </w:rPr>
        <w:t>, 2011)</w:t>
      </w:r>
      <w:r w:rsidR="007209DB" w:rsidRPr="00495A0D">
        <w:rPr>
          <w:rFonts w:ascii="Times New Roman" w:hAnsi="Times New Roman"/>
          <w:color w:val="000000" w:themeColor="text1"/>
          <w:sz w:val="24"/>
          <w:szCs w:val="24"/>
        </w:rPr>
        <w:t>,</w:t>
      </w:r>
      <w:r w:rsidR="00A7106E" w:rsidRPr="00495A0D">
        <w:rPr>
          <w:rFonts w:ascii="Times New Roman" w:hAnsi="Times New Roman"/>
          <w:color w:val="000000" w:themeColor="text1"/>
          <w:sz w:val="24"/>
          <w:szCs w:val="24"/>
        </w:rPr>
        <w:t xml:space="preserve"> </w:t>
      </w:r>
      <w:r w:rsidR="00B97E75" w:rsidRPr="00495A0D">
        <w:rPr>
          <w:rFonts w:ascii="Times New Roman" w:hAnsi="Times New Roman"/>
          <w:color w:val="000000" w:themeColor="text1"/>
          <w:sz w:val="24"/>
          <w:szCs w:val="24"/>
        </w:rPr>
        <w:t>convirtiéndolo en un factor de riesgo importante de aplicación e</w:t>
      </w:r>
      <w:r w:rsidR="00E7529F" w:rsidRPr="00495A0D">
        <w:rPr>
          <w:rFonts w:ascii="Times New Roman" w:hAnsi="Times New Roman"/>
          <w:color w:val="000000" w:themeColor="text1"/>
          <w:sz w:val="24"/>
          <w:szCs w:val="24"/>
        </w:rPr>
        <w:t>n la práctica clínica</w:t>
      </w:r>
      <w:r w:rsidR="00B97E75" w:rsidRPr="00495A0D">
        <w:rPr>
          <w:rFonts w:ascii="Times New Roman" w:hAnsi="Times New Roman"/>
          <w:color w:val="000000" w:themeColor="text1"/>
          <w:sz w:val="24"/>
          <w:szCs w:val="24"/>
        </w:rPr>
        <w:t xml:space="preserve">. </w:t>
      </w:r>
    </w:p>
    <w:p w14:paraId="17E53EF6" w14:textId="3C55ABB9" w:rsidR="00B97E75" w:rsidRPr="00495A0D" w:rsidRDefault="00B97E75"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En este sentido</w:t>
      </w:r>
      <w:r w:rsidR="007209DB"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en </w:t>
      </w:r>
      <w:r w:rsidR="00F45D52" w:rsidRPr="00495A0D">
        <w:rPr>
          <w:rFonts w:ascii="Times New Roman" w:hAnsi="Times New Roman"/>
          <w:color w:val="000000" w:themeColor="text1"/>
          <w:sz w:val="24"/>
          <w:szCs w:val="24"/>
        </w:rPr>
        <w:t xml:space="preserve">el presente </w:t>
      </w:r>
      <w:r w:rsidRPr="00495A0D">
        <w:rPr>
          <w:rFonts w:ascii="Times New Roman" w:hAnsi="Times New Roman"/>
          <w:color w:val="000000" w:themeColor="text1"/>
          <w:sz w:val="24"/>
          <w:szCs w:val="24"/>
        </w:rPr>
        <w:t>estudio</w:t>
      </w:r>
      <w:r w:rsidR="00F45D52"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se logró la detección de enfermedad arterial peri</w:t>
      </w:r>
      <w:r w:rsidR="00155463" w:rsidRPr="00495A0D">
        <w:rPr>
          <w:rFonts w:ascii="Times New Roman" w:hAnsi="Times New Roman"/>
          <w:color w:val="000000" w:themeColor="text1"/>
          <w:sz w:val="24"/>
          <w:szCs w:val="24"/>
        </w:rPr>
        <w:t>férica</w:t>
      </w:r>
      <w:r w:rsidR="007209DB" w:rsidRPr="00495A0D">
        <w:rPr>
          <w:rFonts w:ascii="Times New Roman" w:hAnsi="Times New Roman"/>
          <w:color w:val="000000" w:themeColor="text1"/>
          <w:sz w:val="24"/>
          <w:szCs w:val="24"/>
        </w:rPr>
        <w:t xml:space="preserve"> </w:t>
      </w:r>
      <w:r w:rsidR="00A8745B" w:rsidRPr="00495A0D">
        <w:rPr>
          <w:rFonts w:ascii="Times New Roman" w:hAnsi="Times New Roman"/>
          <w:color w:val="000000" w:themeColor="text1"/>
          <w:sz w:val="24"/>
          <w:szCs w:val="24"/>
        </w:rPr>
        <w:t xml:space="preserve">mostrando la utilidad del índice </w:t>
      </w:r>
      <w:r w:rsidR="007209DB" w:rsidRPr="00495A0D">
        <w:rPr>
          <w:rFonts w:ascii="Times New Roman" w:hAnsi="Times New Roman"/>
          <w:color w:val="000000" w:themeColor="text1"/>
          <w:sz w:val="24"/>
          <w:szCs w:val="24"/>
        </w:rPr>
        <w:t>tobillo-</w:t>
      </w:r>
      <w:r w:rsidR="00A8745B" w:rsidRPr="00495A0D">
        <w:rPr>
          <w:rFonts w:ascii="Times New Roman" w:hAnsi="Times New Roman"/>
          <w:color w:val="000000" w:themeColor="text1"/>
          <w:sz w:val="24"/>
          <w:szCs w:val="24"/>
        </w:rPr>
        <w:t>brazo</w:t>
      </w:r>
      <w:r w:rsidRPr="00495A0D">
        <w:rPr>
          <w:rFonts w:ascii="Times New Roman" w:hAnsi="Times New Roman"/>
          <w:color w:val="000000" w:themeColor="text1"/>
          <w:sz w:val="24"/>
          <w:szCs w:val="24"/>
        </w:rPr>
        <w:t xml:space="preserve"> en la reclasificación de personas con bajo riesgo cardiovascular</w:t>
      </w:r>
      <w:r w:rsidR="007209DB"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tal como lo señala</w:t>
      </w:r>
      <w:r w:rsidR="009770D8" w:rsidRPr="00495A0D">
        <w:rPr>
          <w:rFonts w:ascii="Times New Roman" w:hAnsi="Times New Roman"/>
          <w:color w:val="000000" w:themeColor="text1"/>
          <w:sz w:val="24"/>
          <w:szCs w:val="24"/>
        </w:rPr>
        <w:t>n</w:t>
      </w:r>
      <w:r w:rsidRPr="00495A0D">
        <w:rPr>
          <w:rFonts w:ascii="Times New Roman" w:hAnsi="Times New Roman"/>
          <w:color w:val="000000" w:themeColor="text1"/>
          <w:sz w:val="24"/>
          <w:szCs w:val="24"/>
        </w:rPr>
        <w:t xml:space="preserve"> Baena</w:t>
      </w:r>
      <w:r w:rsidR="00A74382" w:rsidRPr="00495A0D">
        <w:rPr>
          <w:rFonts w:ascii="Times New Roman" w:hAnsi="Times New Roman"/>
          <w:color w:val="000000" w:themeColor="text1"/>
          <w:sz w:val="24"/>
          <w:szCs w:val="24"/>
        </w:rPr>
        <w:t xml:space="preserve"> </w:t>
      </w:r>
      <w:r w:rsidR="00A74382" w:rsidRPr="00495A0D">
        <w:rPr>
          <w:rFonts w:ascii="Times New Roman" w:hAnsi="Times New Roman"/>
          <w:i/>
          <w:color w:val="000000" w:themeColor="text1"/>
          <w:sz w:val="24"/>
          <w:szCs w:val="24"/>
        </w:rPr>
        <w:t>et al.</w:t>
      </w:r>
      <w:r w:rsidRPr="00495A0D">
        <w:rPr>
          <w:rFonts w:ascii="Times New Roman" w:hAnsi="Times New Roman"/>
          <w:color w:val="000000" w:themeColor="text1"/>
          <w:sz w:val="24"/>
          <w:szCs w:val="24"/>
        </w:rPr>
        <w:t xml:space="preserve"> </w:t>
      </w:r>
      <w:r w:rsidR="00A81870" w:rsidRPr="00495A0D">
        <w:rPr>
          <w:rFonts w:ascii="Times New Roman" w:hAnsi="Times New Roman"/>
          <w:color w:val="000000" w:themeColor="text1"/>
          <w:sz w:val="24"/>
          <w:szCs w:val="24"/>
        </w:rPr>
        <w:t>(2011)</w:t>
      </w:r>
      <w:r w:rsidRPr="00495A0D">
        <w:rPr>
          <w:rFonts w:ascii="Times New Roman" w:hAnsi="Times New Roman"/>
          <w:color w:val="000000" w:themeColor="text1"/>
          <w:sz w:val="24"/>
          <w:szCs w:val="24"/>
          <w:vertAlign w:val="superscript"/>
        </w:rPr>
        <w:t xml:space="preserve"> </w:t>
      </w:r>
      <w:r w:rsidRPr="00495A0D">
        <w:rPr>
          <w:rFonts w:ascii="Times New Roman" w:hAnsi="Times New Roman"/>
          <w:color w:val="000000" w:themeColor="text1"/>
          <w:sz w:val="24"/>
          <w:szCs w:val="24"/>
        </w:rPr>
        <w:t>en un estudio multicéntrico en España</w:t>
      </w:r>
      <w:r w:rsidR="00EA4991" w:rsidRPr="00495A0D">
        <w:rPr>
          <w:rFonts w:ascii="Times New Roman" w:hAnsi="Times New Roman"/>
          <w:color w:val="000000" w:themeColor="text1"/>
          <w:sz w:val="24"/>
          <w:szCs w:val="24"/>
        </w:rPr>
        <w:t>.</w:t>
      </w:r>
    </w:p>
    <w:p w14:paraId="50AD2CDF" w14:textId="5659A2D0" w:rsidR="00B97E75" w:rsidRPr="00495A0D" w:rsidRDefault="00B97E75" w:rsidP="00495A0D">
      <w:pPr>
        <w:spacing w:after="0" w:line="360" w:lineRule="auto"/>
        <w:ind w:firstLine="708"/>
        <w:jc w:val="both"/>
        <w:rPr>
          <w:rFonts w:ascii="Times New Roman" w:hAnsi="Times New Roman"/>
          <w:color w:val="000000" w:themeColor="text1"/>
          <w:sz w:val="24"/>
          <w:szCs w:val="24"/>
          <w:vertAlign w:val="superscript"/>
        </w:rPr>
      </w:pPr>
      <w:r w:rsidRPr="00495A0D">
        <w:rPr>
          <w:rFonts w:ascii="Times New Roman" w:hAnsi="Times New Roman"/>
          <w:color w:val="000000" w:themeColor="text1"/>
          <w:sz w:val="24"/>
          <w:szCs w:val="24"/>
        </w:rPr>
        <w:t>El producto de acumulación de lípidos es un índice basado en la combinación de dos mediciones</w:t>
      </w:r>
      <w:r w:rsidR="00E4194D"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la circunferencia abdominal, y la medición sér</w:t>
      </w:r>
      <w:r w:rsidR="000B187F" w:rsidRPr="00495A0D">
        <w:rPr>
          <w:rFonts w:ascii="Times New Roman" w:hAnsi="Times New Roman"/>
          <w:color w:val="000000" w:themeColor="text1"/>
          <w:sz w:val="24"/>
          <w:szCs w:val="24"/>
        </w:rPr>
        <w:t>ica de triglicéridos</w:t>
      </w:r>
      <w:r w:rsidRPr="00495A0D">
        <w:rPr>
          <w:rFonts w:ascii="Times New Roman" w:hAnsi="Times New Roman"/>
          <w:color w:val="000000" w:themeColor="text1"/>
          <w:sz w:val="24"/>
          <w:szCs w:val="24"/>
        </w:rPr>
        <w:t xml:space="preserve">; ambos </w:t>
      </w:r>
      <w:r w:rsidRPr="00495A0D">
        <w:rPr>
          <w:rFonts w:ascii="Times New Roman" w:hAnsi="Times New Roman"/>
          <w:color w:val="000000" w:themeColor="text1"/>
          <w:sz w:val="24"/>
          <w:szCs w:val="24"/>
        </w:rPr>
        <w:lastRenderedPageBreak/>
        <w:t>parámetros se han asociado con resistencia metabólica a la insulina y al riesgo cardiovascular</w:t>
      </w:r>
      <w:r w:rsidR="009425CB" w:rsidRPr="00495A0D">
        <w:rPr>
          <w:rFonts w:ascii="Times New Roman" w:hAnsi="Times New Roman"/>
          <w:color w:val="000000" w:themeColor="text1"/>
          <w:sz w:val="24"/>
          <w:szCs w:val="24"/>
        </w:rPr>
        <w:t xml:space="preserve"> </w:t>
      </w:r>
      <w:r w:rsidR="00B73700" w:rsidRPr="00495A0D">
        <w:rPr>
          <w:rFonts w:ascii="Times New Roman" w:hAnsi="Times New Roman"/>
          <w:color w:val="000000" w:themeColor="text1"/>
          <w:sz w:val="24"/>
          <w:szCs w:val="24"/>
        </w:rPr>
        <w:t>(Wehr, 2011</w:t>
      </w:r>
      <w:r w:rsidR="00AF0807" w:rsidRPr="00495A0D">
        <w:rPr>
          <w:rFonts w:ascii="Times New Roman" w:hAnsi="Times New Roman"/>
          <w:color w:val="000000" w:themeColor="text1"/>
          <w:sz w:val="24"/>
          <w:szCs w:val="24"/>
        </w:rPr>
        <w:t>).</w:t>
      </w:r>
    </w:p>
    <w:p w14:paraId="1E9F481F" w14:textId="41B89FE9" w:rsidR="00B97E75" w:rsidRPr="00495A0D" w:rsidRDefault="00415F5D"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Ioachimescu </w:t>
      </w:r>
      <w:r w:rsidR="00C73CE8" w:rsidRPr="00495A0D">
        <w:rPr>
          <w:rFonts w:ascii="Times New Roman" w:hAnsi="Times New Roman"/>
          <w:i/>
          <w:color w:val="000000" w:themeColor="text1"/>
          <w:sz w:val="24"/>
          <w:szCs w:val="24"/>
        </w:rPr>
        <w:t>et al.</w:t>
      </w:r>
      <w:r w:rsidR="0002453E" w:rsidRPr="00495A0D">
        <w:rPr>
          <w:rFonts w:ascii="Times New Roman" w:hAnsi="Times New Roman"/>
          <w:color w:val="000000" w:themeColor="text1"/>
          <w:sz w:val="24"/>
          <w:szCs w:val="24"/>
        </w:rPr>
        <w:t xml:space="preserve"> (2010)</w:t>
      </w:r>
      <w:r w:rsidR="00D216A0" w:rsidRPr="00495A0D">
        <w:rPr>
          <w:rFonts w:ascii="Times New Roman" w:hAnsi="Times New Roman"/>
          <w:color w:val="000000" w:themeColor="text1"/>
          <w:sz w:val="24"/>
          <w:szCs w:val="24"/>
          <w:vertAlign w:val="superscript"/>
        </w:rPr>
        <w:t xml:space="preserve"> </w:t>
      </w:r>
      <w:r w:rsidRPr="00495A0D">
        <w:rPr>
          <w:rFonts w:ascii="Times New Roman" w:hAnsi="Times New Roman"/>
          <w:color w:val="000000" w:themeColor="text1"/>
          <w:sz w:val="24"/>
          <w:szCs w:val="24"/>
        </w:rPr>
        <w:t>describieron</w:t>
      </w:r>
      <w:r w:rsidR="00B97E75" w:rsidRPr="00495A0D">
        <w:rPr>
          <w:rFonts w:ascii="Times New Roman" w:hAnsi="Times New Roman"/>
          <w:color w:val="000000" w:themeColor="text1"/>
          <w:sz w:val="24"/>
          <w:szCs w:val="24"/>
        </w:rPr>
        <w:t xml:space="preserve"> la utilidad de este índice antropométrico en una cohorte de </w:t>
      </w:r>
      <w:r w:rsidR="00C73CE8" w:rsidRPr="00495A0D">
        <w:rPr>
          <w:rFonts w:ascii="Times New Roman" w:hAnsi="Times New Roman"/>
          <w:color w:val="000000" w:themeColor="text1"/>
          <w:sz w:val="24"/>
          <w:szCs w:val="24"/>
        </w:rPr>
        <w:t xml:space="preserve">cinco mil 924 </w:t>
      </w:r>
      <w:r w:rsidR="00B97E75" w:rsidRPr="00495A0D">
        <w:rPr>
          <w:rFonts w:ascii="Times New Roman" w:hAnsi="Times New Roman"/>
          <w:color w:val="000000" w:themeColor="text1"/>
          <w:sz w:val="24"/>
          <w:szCs w:val="24"/>
        </w:rPr>
        <w:t>pacientes en Cleveland</w:t>
      </w:r>
      <w:r w:rsidR="00C73CE8" w:rsidRPr="00495A0D">
        <w:rPr>
          <w:rFonts w:ascii="Times New Roman" w:hAnsi="Times New Roman"/>
          <w:color w:val="000000" w:themeColor="text1"/>
          <w:sz w:val="24"/>
          <w:szCs w:val="24"/>
        </w:rPr>
        <w:t xml:space="preserve">, </w:t>
      </w:r>
      <w:r w:rsidR="00B97E75" w:rsidRPr="00495A0D">
        <w:rPr>
          <w:rFonts w:ascii="Times New Roman" w:hAnsi="Times New Roman"/>
          <w:color w:val="000000" w:themeColor="text1"/>
          <w:sz w:val="24"/>
          <w:szCs w:val="24"/>
        </w:rPr>
        <w:t xml:space="preserve">señalando que el producto de acumulación de lípidos LAP es un fuerte predictor de mortalidad </w:t>
      </w:r>
      <w:r w:rsidR="00D41877" w:rsidRPr="00495A0D">
        <w:rPr>
          <w:rFonts w:ascii="Times New Roman" w:hAnsi="Times New Roman"/>
          <w:color w:val="000000" w:themeColor="text1"/>
          <w:sz w:val="24"/>
          <w:szCs w:val="24"/>
        </w:rPr>
        <w:t>cardiovascular</w:t>
      </w:r>
      <w:r w:rsidR="00C73CE8" w:rsidRPr="00495A0D">
        <w:rPr>
          <w:rFonts w:ascii="Times New Roman" w:hAnsi="Times New Roman"/>
          <w:color w:val="000000" w:themeColor="text1"/>
          <w:sz w:val="24"/>
          <w:szCs w:val="24"/>
        </w:rPr>
        <w:t>.</w:t>
      </w:r>
      <w:r w:rsidR="00D41877" w:rsidRPr="00495A0D">
        <w:rPr>
          <w:rFonts w:ascii="Times New Roman" w:hAnsi="Times New Roman"/>
          <w:color w:val="000000" w:themeColor="text1"/>
          <w:sz w:val="24"/>
          <w:szCs w:val="24"/>
        </w:rPr>
        <w:t xml:space="preserve"> </w:t>
      </w:r>
      <w:r w:rsidR="00C73CE8" w:rsidRPr="00495A0D">
        <w:rPr>
          <w:rFonts w:ascii="Times New Roman" w:hAnsi="Times New Roman"/>
          <w:color w:val="000000" w:themeColor="text1"/>
          <w:sz w:val="24"/>
          <w:szCs w:val="24"/>
        </w:rPr>
        <w:t xml:space="preserve">En </w:t>
      </w:r>
      <w:r w:rsidR="00B97E75" w:rsidRPr="00495A0D">
        <w:rPr>
          <w:rFonts w:ascii="Times New Roman" w:hAnsi="Times New Roman"/>
          <w:color w:val="000000" w:themeColor="text1"/>
          <w:sz w:val="24"/>
          <w:szCs w:val="24"/>
        </w:rPr>
        <w:t xml:space="preserve">el caso de </w:t>
      </w:r>
      <w:r w:rsidR="00F45D52" w:rsidRPr="00495A0D">
        <w:rPr>
          <w:rFonts w:ascii="Times New Roman" w:hAnsi="Times New Roman"/>
          <w:color w:val="000000" w:themeColor="text1"/>
          <w:sz w:val="24"/>
          <w:szCs w:val="24"/>
        </w:rPr>
        <w:t xml:space="preserve">este </w:t>
      </w:r>
      <w:r w:rsidR="00B97E75" w:rsidRPr="00495A0D">
        <w:rPr>
          <w:rFonts w:ascii="Times New Roman" w:hAnsi="Times New Roman"/>
          <w:color w:val="000000" w:themeColor="text1"/>
          <w:sz w:val="24"/>
          <w:szCs w:val="24"/>
        </w:rPr>
        <w:t>estudio</w:t>
      </w:r>
      <w:r w:rsidR="00C73CE8" w:rsidRPr="00495A0D">
        <w:rPr>
          <w:rFonts w:ascii="Times New Roman" w:hAnsi="Times New Roman"/>
          <w:color w:val="000000" w:themeColor="text1"/>
          <w:sz w:val="24"/>
          <w:szCs w:val="24"/>
        </w:rPr>
        <w:t>,</w:t>
      </w:r>
      <w:r w:rsidR="00B97E75" w:rsidRPr="00495A0D">
        <w:rPr>
          <w:rFonts w:ascii="Times New Roman" w:hAnsi="Times New Roman"/>
          <w:color w:val="000000" w:themeColor="text1"/>
          <w:sz w:val="24"/>
          <w:szCs w:val="24"/>
        </w:rPr>
        <w:t xml:space="preserve"> encontramos cifras de LAP d</w:t>
      </w:r>
      <w:r w:rsidRPr="00495A0D">
        <w:rPr>
          <w:rFonts w:ascii="Times New Roman" w:hAnsi="Times New Roman"/>
          <w:color w:val="000000" w:themeColor="text1"/>
          <w:sz w:val="24"/>
          <w:szCs w:val="24"/>
        </w:rPr>
        <w:t xml:space="preserve">e riesgo (&gt; </w:t>
      </w:r>
      <w:r w:rsidR="00C73CE8" w:rsidRPr="00495A0D">
        <w:rPr>
          <w:rFonts w:ascii="Times New Roman" w:hAnsi="Times New Roman"/>
          <w:color w:val="000000" w:themeColor="text1"/>
          <w:sz w:val="24"/>
          <w:szCs w:val="24"/>
        </w:rPr>
        <w:t xml:space="preserve">de </w:t>
      </w:r>
      <w:r w:rsidRPr="00495A0D">
        <w:rPr>
          <w:rFonts w:ascii="Times New Roman" w:hAnsi="Times New Roman"/>
          <w:color w:val="000000" w:themeColor="text1"/>
          <w:sz w:val="24"/>
          <w:szCs w:val="24"/>
        </w:rPr>
        <w:t xml:space="preserve">40.0) </w:t>
      </w:r>
      <w:r w:rsidR="00D41877" w:rsidRPr="00495A0D">
        <w:rPr>
          <w:rFonts w:ascii="Times New Roman" w:hAnsi="Times New Roman"/>
          <w:color w:val="000000" w:themeColor="text1"/>
          <w:sz w:val="24"/>
          <w:szCs w:val="24"/>
        </w:rPr>
        <w:t>en la</w:t>
      </w:r>
      <w:r w:rsidRPr="00495A0D">
        <w:rPr>
          <w:rFonts w:ascii="Times New Roman" w:hAnsi="Times New Roman"/>
          <w:color w:val="000000" w:themeColor="text1"/>
          <w:sz w:val="24"/>
          <w:szCs w:val="24"/>
        </w:rPr>
        <w:t xml:space="preserve"> población</w:t>
      </w:r>
      <w:r w:rsidR="00B97E75" w:rsidRPr="00495A0D">
        <w:rPr>
          <w:rFonts w:ascii="Times New Roman" w:hAnsi="Times New Roman"/>
          <w:color w:val="000000" w:themeColor="text1"/>
          <w:sz w:val="24"/>
          <w:szCs w:val="24"/>
        </w:rPr>
        <w:t xml:space="preserve"> estudiada.</w:t>
      </w:r>
    </w:p>
    <w:p w14:paraId="3A16C383" w14:textId="675DD1A5" w:rsidR="000B187F" w:rsidRPr="00495A0D" w:rsidRDefault="00D14C13"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 xml:space="preserve">En lo que respecta al nivel de estrés, se observó que un porcentaje alto de profesionales de enfermería </w:t>
      </w:r>
      <w:r w:rsidR="00C73CE8" w:rsidRPr="00495A0D">
        <w:rPr>
          <w:rFonts w:ascii="Times New Roman" w:hAnsi="Times New Roman"/>
          <w:color w:val="000000" w:themeColor="text1"/>
          <w:sz w:val="24"/>
          <w:szCs w:val="24"/>
        </w:rPr>
        <w:t xml:space="preserve">presentó </w:t>
      </w:r>
      <w:r w:rsidRPr="00495A0D">
        <w:rPr>
          <w:rFonts w:ascii="Times New Roman" w:hAnsi="Times New Roman"/>
          <w:color w:val="000000" w:themeColor="text1"/>
          <w:sz w:val="24"/>
          <w:szCs w:val="24"/>
        </w:rPr>
        <w:t>niveles de estrés elevados, colocándolo en un</w:t>
      </w:r>
      <w:r w:rsidR="002C57FF" w:rsidRPr="00495A0D">
        <w:rPr>
          <w:rFonts w:ascii="Times New Roman" w:hAnsi="Times New Roman"/>
          <w:color w:val="000000" w:themeColor="text1"/>
          <w:sz w:val="24"/>
          <w:szCs w:val="24"/>
        </w:rPr>
        <w:t xml:space="preserve">a postura de alto riesgo de enfermedad cerebrovascular </w:t>
      </w:r>
      <w:r w:rsidR="0046429B" w:rsidRPr="00495A0D">
        <w:rPr>
          <w:rFonts w:ascii="Times New Roman" w:hAnsi="Times New Roman"/>
          <w:color w:val="000000" w:themeColor="text1"/>
          <w:sz w:val="24"/>
          <w:szCs w:val="24"/>
        </w:rPr>
        <w:t xml:space="preserve">(Henderson </w:t>
      </w:r>
      <w:r w:rsidR="0046429B" w:rsidRPr="00495A0D">
        <w:rPr>
          <w:rFonts w:ascii="Times New Roman" w:hAnsi="Times New Roman"/>
          <w:i/>
          <w:color w:val="000000" w:themeColor="text1"/>
          <w:sz w:val="24"/>
          <w:szCs w:val="24"/>
        </w:rPr>
        <w:t>et</w:t>
      </w:r>
      <w:r w:rsidR="00C73CE8" w:rsidRPr="00495A0D">
        <w:rPr>
          <w:rFonts w:ascii="Times New Roman" w:hAnsi="Times New Roman"/>
          <w:i/>
          <w:color w:val="000000" w:themeColor="text1"/>
          <w:sz w:val="24"/>
          <w:szCs w:val="24"/>
        </w:rPr>
        <w:t xml:space="preserve"> </w:t>
      </w:r>
      <w:r w:rsidR="0046429B" w:rsidRPr="00495A0D">
        <w:rPr>
          <w:rFonts w:ascii="Times New Roman" w:hAnsi="Times New Roman"/>
          <w:i/>
          <w:color w:val="000000" w:themeColor="text1"/>
          <w:sz w:val="24"/>
          <w:szCs w:val="24"/>
        </w:rPr>
        <w:t>al</w:t>
      </w:r>
      <w:r w:rsidR="00C73CE8" w:rsidRPr="00495A0D">
        <w:rPr>
          <w:rFonts w:ascii="Times New Roman" w:hAnsi="Times New Roman"/>
          <w:i/>
          <w:color w:val="000000" w:themeColor="text1"/>
          <w:sz w:val="24"/>
          <w:szCs w:val="24"/>
        </w:rPr>
        <w:t>.</w:t>
      </w:r>
      <w:r w:rsidR="0046429B" w:rsidRPr="00495A0D">
        <w:rPr>
          <w:rFonts w:ascii="Times New Roman" w:hAnsi="Times New Roman"/>
          <w:color w:val="000000" w:themeColor="text1"/>
          <w:sz w:val="24"/>
          <w:szCs w:val="24"/>
        </w:rPr>
        <w:t>, 2013)</w:t>
      </w:r>
      <w:r w:rsidR="002C57FF" w:rsidRPr="00495A0D">
        <w:rPr>
          <w:rFonts w:ascii="Times New Roman" w:hAnsi="Times New Roman"/>
          <w:color w:val="000000" w:themeColor="text1"/>
          <w:sz w:val="24"/>
          <w:szCs w:val="24"/>
        </w:rPr>
        <w:t>,</w:t>
      </w:r>
      <w:r w:rsidR="00C73CE8"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 xml:space="preserve">coincidiendo con el </w:t>
      </w:r>
      <w:r w:rsidR="00C412E3" w:rsidRPr="00495A0D">
        <w:rPr>
          <w:rFonts w:ascii="Times New Roman" w:hAnsi="Times New Roman"/>
          <w:color w:val="000000" w:themeColor="text1"/>
          <w:sz w:val="24"/>
          <w:szCs w:val="24"/>
        </w:rPr>
        <w:t>estudio realizado por Zhang</w:t>
      </w:r>
      <w:r w:rsidRPr="00495A0D">
        <w:rPr>
          <w:rFonts w:ascii="Times New Roman" w:hAnsi="Times New Roman"/>
          <w:color w:val="000000" w:themeColor="text1"/>
          <w:sz w:val="24"/>
          <w:szCs w:val="24"/>
        </w:rPr>
        <w:t xml:space="preserve"> </w:t>
      </w:r>
      <w:r w:rsidR="00C73CE8" w:rsidRPr="00495A0D">
        <w:rPr>
          <w:rFonts w:ascii="Times New Roman" w:hAnsi="Times New Roman"/>
          <w:i/>
          <w:color w:val="000000" w:themeColor="text1"/>
          <w:sz w:val="24"/>
          <w:szCs w:val="24"/>
        </w:rPr>
        <w:t>et al.</w:t>
      </w:r>
      <w:r w:rsidR="00D9342F" w:rsidRPr="00495A0D">
        <w:rPr>
          <w:rFonts w:ascii="Times New Roman" w:hAnsi="Times New Roman"/>
          <w:color w:val="000000" w:themeColor="text1"/>
          <w:sz w:val="24"/>
          <w:szCs w:val="24"/>
        </w:rPr>
        <w:t xml:space="preserve"> (2014)</w:t>
      </w:r>
      <w:r w:rsidR="002C57FF" w:rsidRPr="00495A0D">
        <w:rPr>
          <w:rFonts w:ascii="Times New Roman" w:hAnsi="Times New Roman"/>
          <w:color w:val="000000" w:themeColor="text1"/>
          <w:sz w:val="24"/>
          <w:szCs w:val="24"/>
        </w:rPr>
        <w:t>,</w:t>
      </w:r>
      <w:r w:rsidR="00C73CE8"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 xml:space="preserve">quienes encontraron altos niveles de </w:t>
      </w:r>
      <w:r w:rsidRPr="00495A0D">
        <w:rPr>
          <w:rFonts w:ascii="Times New Roman" w:hAnsi="Times New Roman"/>
          <w:i/>
          <w:color w:val="000000" w:themeColor="text1"/>
          <w:sz w:val="24"/>
          <w:szCs w:val="24"/>
        </w:rPr>
        <w:t>burnout</w:t>
      </w:r>
      <w:r w:rsidRPr="00495A0D">
        <w:rPr>
          <w:rFonts w:ascii="Times New Roman" w:hAnsi="Times New Roman"/>
          <w:color w:val="000000" w:themeColor="text1"/>
          <w:sz w:val="24"/>
          <w:szCs w:val="24"/>
        </w:rPr>
        <w:t xml:space="preserve">, agotamiento emocional y despersonalización en una muestra de enfermeras intensivistas </w:t>
      </w:r>
      <w:r w:rsidR="00C73CE8" w:rsidRPr="00495A0D">
        <w:rPr>
          <w:rFonts w:ascii="Times New Roman" w:hAnsi="Times New Roman"/>
          <w:color w:val="000000" w:themeColor="text1"/>
          <w:sz w:val="24"/>
          <w:szCs w:val="24"/>
        </w:rPr>
        <w:t>—</w:t>
      </w:r>
      <w:r w:rsidR="006708B2" w:rsidRPr="00495A0D">
        <w:rPr>
          <w:rFonts w:ascii="Times New Roman" w:hAnsi="Times New Roman"/>
          <w:color w:val="000000" w:themeColor="text1"/>
          <w:sz w:val="24"/>
          <w:szCs w:val="24"/>
        </w:rPr>
        <w:t>también jóvenes</w:t>
      </w:r>
      <w:r w:rsidR="00C73CE8" w:rsidRPr="00495A0D">
        <w:rPr>
          <w:rFonts w:ascii="Times New Roman" w:hAnsi="Times New Roman"/>
          <w:color w:val="000000" w:themeColor="text1"/>
          <w:sz w:val="24"/>
          <w:szCs w:val="24"/>
        </w:rPr>
        <w:t>—</w:t>
      </w:r>
      <w:r w:rsidR="006708B2"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de 10 hospitales de nivel terciario en Liaoning, China</w:t>
      </w:r>
      <w:r w:rsidR="00C73CE8" w:rsidRPr="00495A0D">
        <w:rPr>
          <w:rFonts w:ascii="Times New Roman" w:hAnsi="Times New Roman"/>
          <w:color w:val="000000" w:themeColor="text1"/>
          <w:sz w:val="24"/>
          <w:szCs w:val="24"/>
        </w:rPr>
        <w:t>.</w:t>
      </w:r>
      <w:r w:rsidR="006708B2" w:rsidRPr="00495A0D">
        <w:rPr>
          <w:rFonts w:ascii="Times New Roman" w:hAnsi="Times New Roman"/>
          <w:color w:val="000000" w:themeColor="text1"/>
          <w:sz w:val="24"/>
          <w:szCs w:val="24"/>
        </w:rPr>
        <w:t xml:space="preserve"> </w:t>
      </w:r>
      <w:r w:rsidR="00C73CE8" w:rsidRPr="00495A0D">
        <w:rPr>
          <w:rFonts w:ascii="Times New Roman" w:hAnsi="Times New Roman"/>
          <w:color w:val="000000" w:themeColor="text1"/>
          <w:sz w:val="24"/>
          <w:szCs w:val="24"/>
        </w:rPr>
        <w:t xml:space="preserve">Los </w:t>
      </w:r>
      <w:r w:rsidR="006708B2" w:rsidRPr="00495A0D">
        <w:rPr>
          <w:rFonts w:ascii="Times New Roman" w:hAnsi="Times New Roman"/>
          <w:color w:val="000000" w:themeColor="text1"/>
          <w:sz w:val="24"/>
          <w:szCs w:val="24"/>
        </w:rPr>
        <w:t>datos de ambos estudios</w:t>
      </w:r>
      <w:r w:rsidR="001911A4" w:rsidRPr="00495A0D">
        <w:rPr>
          <w:rFonts w:ascii="Times New Roman" w:hAnsi="Times New Roman"/>
          <w:color w:val="000000" w:themeColor="text1"/>
          <w:sz w:val="24"/>
          <w:szCs w:val="24"/>
        </w:rPr>
        <w:t xml:space="preserve"> evidenci</w:t>
      </w:r>
      <w:r w:rsidR="006708B2" w:rsidRPr="00495A0D">
        <w:rPr>
          <w:rFonts w:ascii="Times New Roman" w:hAnsi="Times New Roman"/>
          <w:color w:val="000000" w:themeColor="text1"/>
          <w:sz w:val="24"/>
          <w:szCs w:val="24"/>
        </w:rPr>
        <w:t xml:space="preserve">an que los niveles de estrés mostrados en las enfermeras de UCI están asociados con el ambiente </w:t>
      </w:r>
      <w:r w:rsidR="001911A4" w:rsidRPr="00495A0D">
        <w:rPr>
          <w:rFonts w:ascii="Times New Roman" w:hAnsi="Times New Roman"/>
          <w:color w:val="000000" w:themeColor="text1"/>
          <w:sz w:val="24"/>
          <w:szCs w:val="24"/>
        </w:rPr>
        <w:t>de trabajo, el apoyo social,</w:t>
      </w:r>
      <w:r w:rsidR="004F00BA" w:rsidRPr="00495A0D">
        <w:rPr>
          <w:rFonts w:ascii="Times New Roman" w:hAnsi="Times New Roman"/>
          <w:color w:val="000000" w:themeColor="text1"/>
          <w:sz w:val="24"/>
          <w:szCs w:val="24"/>
        </w:rPr>
        <w:t xml:space="preserve"> y </w:t>
      </w:r>
      <w:r w:rsidR="006708B2" w:rsidRPr="00495A0D">
        <w:rPr>
          <w:rFonts w:ascii="Times New Roman" w:hAnsi="Times New Roman"/>
          <w:color w:val="000000" w:themeColor="text1"/>
          <w:sz w:val="24"/>
          <w:szCs w:val="24"/>
        </w:rPr>
        <w:t>las estrategias de afrontamiento.</w:t>
      </w:r>
      <w:r w:rsidR="00515E09" w:rsidRPr="00495A0D">
        <w:rPr>
          <w:rFonts w:ascii="Times New Roman" w:hAnsi="Times New Roman"/>
          <w:color w:val="000000" w:themeColor="text1"/>
          <w:sz w:val="24"/>
          <w:szCs w:val="24"/>
        </w:rPr>
        <w:t xml:space="preserve"> </w:t>
      </w:r>
    </w:p>
    <w:p w14:paraId="529F258F" w14:textId="1D232AB8" w:rsidR="00071396" w:rsidRDefault="00B77D33"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No fue un objetivo del estudio recomendar los puntajes de riesgo cardiovascular utilizados como m</w:t>
      </w:r>
      <w:r w:rsidR="00A16393" w:rsidRPr="00495A0D">
        <w:rPr>
          <w:rFonts w:ascii="Times New Roman" w:hAnsi="Times New Roman"/>
          <w:color w:val="000000" w:themeColor="text1"/>
          <w:sz w:val="24"/>
          <w:szCs w:val="24"/>
        </w:rPr>
        <w:t>étodo absoluto</w:t>
      </w:r>
      <w:r w:rsidRPr="00495A0D">
        <w:rPr>
          <w:rFonts w:ascii="Times New Roman" w:hAnsi="Times New Roman"/>
          <w:color w:val="000000" w:themeColor="text1"/>
          <w:sz w:val="24"/>
          <w:szCs w:val="24"/>
        </w:rPr>
        <w:t xml:space="preserve"> para la estratificación de riesgo cardiovascular en la población mexicana</w:t>
      </w:r>
      <w:r w:rsidR="00C73CE8"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 xml:space="preserve">debido a que dichas funciones están basadas en cohortes </w:t>
      </w:r>
      <w:r w:rsidR="00C73CE8" w:rsidRPr="00495A0D">
        <w:rPr>
          <w:rFonts w:ascii="Times New Roman" w:hAnsi="Times New Roman"/>
          <w:color w:val="000000" w:themeColor="text1"/>
          <w:sz w:val="24"/>
          <w:szCs w:val="24"/>
        </w:rPr>
        <w:t xml:space="preserve">estadounidenses </w:t>
      </w:r>
      <w:r w:rsidRPr="00495A0D">
        <w:rPr>
          <w:rFonts w:ascii="Times New Roman" w:hAnsi="Times New Roman"/>
          <w:color w:val="000000" w:themeColor="text1"/>
          <w:sz w:val="24"/>
          <w:szCs w:val="24"/>
        </w:rPr>
        <w:t xml:space="preserve">con una mortalidad similar a la </w:t>
      </w:r>
      <w:r w:rsidR="00F45D52" w:rsidRPr="00495A0D">
        <w:rPr>
          <w:rFonts w:ascii="Times New Roman" w:hAnsi="Times New Roman"/>
          <w:color w:val="000000" w:themeColor="text1"/>
          <w:sz w:val="24"/>
          <w:szCs w:val="24"/>
        </w:rPr>
        <w:t>aquí demostrada</w:t>
      </w:r>
      <w:r w:rsidR="00C73CE8" w:rsidRPr="00495A0D">
        <w:rPr>
          <w:rFonts w:ascii="Times New Roman" w:hAnsi="Times New Roman"/>
          <w:color w:val="000000" w:themeColor="text1"/>
          <w:sz w:val="24"/>
          <w:szCs w:val="24"/>
        </w:rPr>
        <w:t xml:space="preserve">. Sin </w:t>
      </w:r>
      <w:r w:rsidRPr="00495A0D">
        <w:rPr>
          <w:rFonts w:ascii="Times New Roman" w:hAnsi="Times New Roman"/>
          <w:color w:val="000000" w:themeColor="text1"/>
          <w:sz w:val="24"/>
          <w:szCs w:val="24"/>
        </w:rPr>
        <w:t xml:space="preserve">embargo, </w:t>
      </w:r>
      <w:r w:rsidR="001E32CF" w:rsidRPr="00495A0D">
        <w:rPr>
          <w:rFonts w:ascii="Times New Roman" w:hAnsi="Times New Roman"/>
          <w:color w:val="000000" w:themeColor="text1"/>
          <w:sz w:val="24"/>
          <w:szCs w:val="24"/>
        </w:rPr>
        <w:t xml:space="preserve">es importante señalar que </w:t>
      </w:r>
      <w:r w:rsidR="000A1B9D" w:rsidRPr="00495A0D">
        <w:rPr>
          <w:rFonts w:ascii="Times New Roman" w:hAnsi="Times New Roman"/>
          <w:color w:val="000000" w:themeColor="text1"/>
          <w:sz w:val="24"/>
          <w:szCs w:val="24"/>
        </w:rPr>
        <w:t xml:space="preserve">el uso conjunto de estas escalas </w:t>
      </w:r>
      <w:r w:rsidR="00C73CE8" w:rsidRPr="00495A0D">
        <w:rPr>
          <w:rFonts w:ascii="Times New Roman" w:hAnsi="Times New Roman"/>
          <w:color w:val="000000" w:themeColor="text1"/>
          <w:sz w:val="24"/>
          <w:szCs w:val="24"/>
        </w:rPr>
        <w:t>—</w:t>
      </w:r>
      <w:r w:rsidR="000A1B9D" w:rsidRPr="00495A0D">
        <w:rPr>
          <w:rFonts w:ascii="Times New Roman" w:hAnsi="Times New Roman"/>
          <w:color w:val="000000" w:themeColor="text1"/>
          <w:sz w:val="24"/>
          <w:szCs w:val="24"/>
        </w:rPr>
        <w:t>en c</w:t>
      </w:r>
      <w:r w:rsidR="00C92C55" w:rsidRPr="00495A0D">
        <w:rPr>
          <w:rFonts w:ascii="Times New Roman" w:hAnsi="Times New Roman"/>
          <w:color w:val="000000" w:themeColor="text1"/>
          <w:sz w:val="24"/>
          <w:szCs w:val="24"/>
        </w:rPr>
        <w:t>ombinación</w:t>
      </w:r>
      <w:r w:rsidR="000A1B9D" w:rsidRPr="00495A0D">
        <w:rPr>
          <w:rFonts w:ascii="Times New Roman" w:hAnsi="Times New Roman"/>
          <w:color w:val="000000" w:themeColor="text1"/>
          <w:sz w:val="24"/>
          <w:szCs w:val="24"/>
        </w:rPr>
        <w:t xml:space="preserve"> con los índices antropométricos</w:t>
      </w:r>
      <w:r w:rsidR="00C73CE8" w:rsidRPr="00495A0D">
        <w:rPr>
          <w:rFonts w:ascii="Times New Roman" w:hAnsi="Times New Roman"/>
          <w:color w:val="000000" w:themeColor="text1"/>
          <w:sz w:val="24"/>
          <w:szCs w:val="24"/>
        </w:rPr>
        <w:t>—</w:t>
      </w:r>
      <w:r w:rsidR="000A1B9D" w:rsidRPr="00495A0D">
        <w:rPr>
          <w:rFonts w:ascii="Times New Roman" w:hAnsi="Times New Roman"/>
          <w:color w:val="000000" w:themeColor="text1"/>
          <w:sz w:val="24"/>
          <w:szCs w:val="24"/>
        </w:rPr>
        <w:t xml:space="preserve"> adicionó factores de riesgo para</w:t>
      </w:r>
      <w:r w:rsidR="00C73CE8" w:rsidRPr="00495A0D">
        <w:rPr>
          <w:rFonts w:ascii="Times New Roman" w:hAnsi="Times New Roman"/>
          <w:color w:val="000000" w:themeColor="text1"/>
          <w:sz w:val="24"/>
          <w:szCs w:val="24"/>
        </w:rPr>
        <w:t xml:space="preserve"> la</w:t>
      </w:r>
      <w:r w:rsidR="000A1B9D" w:rsidRPr="00495A0D">
        <w:rPr>
          <w:rFonts w:ascii="Times New Roman" w:hAnsi="Times New Roman"/>
          <w:color w:val="000000" w:themeColor="text1"/>
          <w:sz w:val="24"/>
          <w:szCs w:val="24"/>
        </w:rPr>
        <w:t xml:space="preserve"> enfermedad coronaria que no son contemplados por las escalas clásicas de predicción de riesgo cardiovascular, pero </w:t>
      </w:r>
      <w:r w:rsidR="00C73CE8" w:rsidRPr="00495A0D">
        <w:rPr>
          <w:rFonts w:ascii="Times New Roman" w:hAnsi="Times New Roman"/>
          <w:color w:val="000000" w:themeColor="text1"/>
          <w:sz w:val="24"/>
          <w:szCs w:val="24"/>
        </w:rPr>
        <w:t xml:space="preserve">que </w:t>
      </w:r>
      <w:r w:rsidR="000A1B9D" w:rsidRPr="00495A0D">
        <w:rPr>
          <w:rFonts w:ascii="Times New Roman" w:hAnsi="Times New Roman"/>
          <w:color w:val="000000" w:themeColor="text1"/>
          <w:sz w:val="24"/>
          <w:szCs w:val="24"/>
        </w:rPr>
        <w:t>aportan a</w:t>
      </w:r>
      <w:r w:rsidR="00C92C55" w:rsidRPr="00495A0D">
        <w:rPr>
          <w:rFonts w:ascii="Times New Roman" w:hAnsi="Times New Roman"/>
          <w:color w:val="000000" w:themeColor="text1"/>
          <w:sz w:val="24"/>
          <w:szCs w:val="24"/>
        </w:rPr>
        <w:t xml:space="preserve"> </w:t>
      </w:r>
      <w:r w:rsidR="000A1B9D" w:rsidRPr="00495A0D">
        <w:rPr>
          <w:rFonts w:ascii="Times New Roman" w:hAnsi="Times New Roman"/>
          <w:color w:val="000000" w:themeColor="text1"/>
          <w:sz w:val="24"/>
          <w:szCs w:val="24"/>
        </w:rPr>
        <w:t>l</w:t>
      </w:r>
      <w:r w:rsidR="00C92C55" w:rsidRPr="00495A0D">
        <w:rPr>
          <w:rFonts w:ascii="Times New Roman" w:hAnsi="Times New Roman"/>
          <w:color w:val="000000" w:themeColor="text1"/>
          <w:sz w:val="24"/>
          <w:szCs w:val="24"/>
        </w:rPr>
        <w:t>a estimación del riesgo coronario</w:t>
      </w:r>
      <w:r w:rsidR="00C73CE8" w:rsidRPr="00495A0D">
        <w:rPr>
          <w:rFonts w:ascii="Times New Roman" w:hAnsi="Times New Roman"/>
          <w:color w:val="000000" w:themeColor="text1"/>
          <w:sz w:val="24"/>
          <w:szCs w:val="24"/>
        </w:rPr>
        <w:t>,</w:t>
      </w:r>
      <w:r w:rsidR="00C92C55" w:rsidRPr="00495A0D">
        <w:rPr>
          <w:rFonts w:ascii="Times New Roman" w:hAnsi="Times New Roman"/>
          <w:color w:val="000000" w:themeColor="text1"/>
          <w:sz w:val="24"/>
          <w:szCs w:val="24"/>
        </w:rPr>
        <w:t xml:space="preserve"> </w:t>
      </w:r>
      <w:r w:rsidRPr="00495A0D">
        <w:rPr>
          <w:rFonts w:ascii="Times New Roman" w:hAnsi="Times New Roman"/>
          <w:color w:val="000000" w:themeColor="text1"/>
          <w:sz w:val="24"/>
          <w:szCs w:val="24"/>
        </w:rPr>
        <w:t>s</w:t>
      </w:r>
      <w:r w:rsidR="00C92C55" w:rsidRPr="00495A0D">
        <w:rPr>
          <w:rFonts w:ascii="Times New Roman" w:hAnsi="Times New Roman"/>
          <w:color w:val="000000" w:themeColor="text1"/>
          <w:sz w:val="24"/>
          <w:szCs w:val="24"/>
        </w:rPr>
        <w:t>iendo</w:t>
      </w:r>
      <w:r w:rsidRPr="00495A0D">
        <w:rPr>
          <w:rFonts w:ascii="Times New Roman" w:hAnsi="Times New Roman"/>
          <w:color w:val="000000" w:themeColor="text1"/>
          <w:sz w:val="24"/>
          <w:szCs w:val="24"/>
        </w:rPr>
        <w:t xml:space="preserve"> aplicables ante la ausencia de funciones propias de </w:t>
      </w:r>
      <w:r w:rsidR="00C73CE8" w:rsidRPr="00495A0D">
        <w:rPr>
          <w:rFonts w:ascii="Times New Roman" w:hAnsi="Times New Roman"/>
          <w:color w:val="000000" w:themeColor="text1"/>
          <w:sz w:val="24"/>
          <w:szCs w:val="24"/>
        </w:rPr>
        <w:t xml:space="preserve">México. El </w:t>
      </w:r>
      <w:r w:rsidR="00186ACF" w:rsidRPr="00495A0D">
        <w:rPr>
          <w:rFonts w:ascii="Times New Roman" w:hAnsi="Times New Roman"/>
          <w:color w:val="000000" w:themeColor="text1"/>
          <w:sz w:val="24"/>
          <w:szCs w:val="24"/>
        </w:rPr>
        <w:t xml:space="preserve">estudio muestra la utilidad </w:t>
      </w:r>
      <w:r w:rsidR="00C47945" w:rsidRPr="00495A0D">
        <w:rPr>
          <w:rFonts w:ascii="Times New Roman" w:hAnsi="Times New Roman"/>
          <w:color w:val="000000" w:themeColor="text1"/>
          <w:sz w:val="24"/>
          <w:szCs w:val="24"/>
        </w:rPr>
        <w:t xml:space="preserve">de </w:t>
      </w:r>
      <w:r w:rsidR="00186ACF" w:rsidRPr="00495A0D">
        <w:rPr>
          <w:rFonts w:ascii="Times New Roman" w:hAnsi="Times New Roman"/>
          <w:color w:val="000000" w:themeColor="text1"/>
          <w:sz w:val="24"/>
          <w:szCs w:val="24"/>
        </w:rPr>
        <w:t xml:space="preserve">factores de riesgo emergentes descritos en los últimos años </w:t>
      </w:r>
      <w:r w:rsidR="00C73CE8" w:rsidRPr="00495A0D">
        <w:rPr>
          <w:rFonts w:ascii="Times New Roman" w:hAnsi="Times New Roman"/>
          <w:color w:val="000000" w:themeColor="text1"/>
          <w:sz w:val="24"/>
          <w:szCs w:val="24"/>
        </w:rPr>
        <w:t>—</w:t>
      </w:r>
      <w:r w:rsidR="00186ACF" w:rsidRPr="00495A0D">
        <w:rPr>
          <w:rFonts w:ascii="Times New Roman" w:hAnsi="Times New Roman"/>
          <w:color w:val="000000" w:themeColor="text1"/>
          <w:sz w:val="24"/>
          <w:szCs w:val="24"/>
        </w:rPr>
        <w:t xml:space="preserve">como el índice </w:t>
      </w:r>
      <w:r w:rsidR="00C73CE8" w:rsidRPr="00495A0D">
        <w:rPr>
          <w:rFonts w:ascii="Times New Roman" w:hAnsi="Times New Roman"/>
          <w:color w:val="000000" w:themeColor="text1"/>
          <w:sz w:val="24"/>
          <w:szCs w:val="24"/>
        </w:rPr>
        <w:t>tobillo-</w:t>
      </w:r>
      <w:r w:rsidR="00186ACF" w:rsidRPr="00495A0D">
        <w:rPr>
          <w:rFonts w:ascii="Times New Roman" w:hAnsi="Times New Roman"/>
          <w:color w:val="000000" w:themeColor="text1"/>
          <w:sz w:val="24"/>
          <w:szCs w:val="24"/>
        </w:rPr>
        <w:t>brazo, el producto de acumulación lipídica y el índice abdomen estatura</w:t>
      </w:r>
      <w:r w:rsidR="00C73CE8" w:rsidRPr="00495A0D">
        <w:rPr>
          <w:rFonts w:ascii="Times New Roman" w:hAnsi="Times New Roman"/>
          <w:color w:val="000000" w:themeColor="text1"/>
          <w:sz w:val="24"/>
          <w:szCs w:val="24"/>
        </w:rPr>
        <w:t>—</w:t>
      </w:r>
      <w:r w:rsidR="00186ACF" w:rsidRPr="00495A0D">
        <w:rPr>
          <w:rFonts w:ascii="Times New Roman" w:hAnsi="Times New Roman"/>
          <w:color w:val="000000" w:themeColor="text1"/>
          <w:sz w:val="24"/>
          <w:szCs w:val="24"/>
        </w:rPr>
        <w:t xml:space="preserve"> que pueden mejorar el cribado del riesgo cardiovascular, además de ser técnicas no invasivas, de bajo costo, y</w:t>
      </w:r>
      <w:r w:rsidR="00A230A2" w:rsidRPr="00495A0D">
        <w:rPr>
          <w:rFonts w:ascii="Times New Roman" w:hAnsi="Times New Roman"/>
          <w:color w:val="000000" w:themeColor="text1"/>
          <w:sz w:val="24"/>
          <w:szCs w:val="24"/>
        </w:rPr>
        <w:t xml:space="preserve"> de mayor accesibilidad, a diferencia de otros estudios como</w:t>
      </w:r>
      <w:r w:rsidR="009627D8" w:rsidRPr="00495A0D">
        <w:rPr>
          <w:rFonts w:ascii="Times New Roman" w:hAnsi="Times New Roman"/>
          <w:color w:val="000000" w:themeColor="text1"/>
          <w:sz w:val="24"/>
          <w:szCs w:val="24"/>
        </w:rPr>
        <w:t xml:space="preserve"> cuantificación de calcio arterial coronario</w:t>
      </w:r>
      <w:r w:rsidR="0063132F" w:rsidRPr="00495A0D">
        <w:rPr>
          <w:rFonts w:ascii="Times New Roman" w:hAnsi="Times New Roman"/>
          <w:color w:val="000000" w:themeColor="text1"/>
          <w:sz w:val="24"/>
          <w:szCs w:val="24"/>
        </w:rPr>
        <w:t xml:space="preserve"> por TAC </w:t>
      </w:r>
      <w:r w:rsidR="00A230A2" w:rsidRPr="00495A0D">
        <w:rPr>
          <w:rFonts w:ascii="Times New Roman" w:hAnsi="Times New Roman"/>
          <w:color w:val="000000" w:themeColor="text1"/>
          <w:sz w:val="24"/>
          <w:szCs w:val="24"/>
        </w:rPr>
        <w:t xml:space="preserve">y </w:t>
      </w:r>
      <w:r w:rsidR="00AC39C6" w:rsidRPr="00495A0D">
        <w:rPr>
          <w:rFonts w:ascii="Times New Roman" w:hAnsi="Times New Roman"/>
          <w:color w:val="000000" w:themeColor="text1"/>
          <w:sz w:val="24"/>
          <w:szCs w:val="24"/>
        </w:rPr>
        <w:t>la medici</w:t>
      </w:r>
      <w:r w:rsidR="00A230A2" w:rsidRPr="00495A0D">
        <w:rPr>
          <w:rFonts w:ascii="Times New Roman" w:hAnsi="Times New Roman"/>
          <w:color w:val="000000" w:themeColor="text1"/>
          <w:sz w:val="24"/>
          <w:szCs w:val="24"/>
        </w:rPr>
        <w:t>ón de proteína C reactiva</w:t>
      </w:r>
      <w:r w:rsidR="00AC39C6" w:rsidRPr="00495A0D">
        <w:rPr>
          <w:rFonts w:ascii="Times New Roman" w:hAnsi="Times New Roman"/>
          <w:color w:val="000000" w:themeColor="text1"/>
          <w:sz w:val="24"/>
          <w:szCs w:val="24"/>
        </w:rPr>
        <w:t>.</w:t>
      </w:r>
    </w:p>
    <w:p w14:paraId="692AA88A" w14:textId="77777777" w:rsidR="00D27A09" w:rsidRPr="00447037" w:rsidRDefault="00D27A09" w:rsidP="00495A0D">
      <w:pPr>
        <w:spacing w:after="0" w:line="360" w:lineRule="auto"/>
        <w:ind w:firstLine="708"/>
        <w:jc w:val="both"/>
        <w:rPr>
          <w:rFonts w:ascii="Arial" w:hAnsi="Arial" w:cs="Arial"/>
          <w:color w:val="000000" w:themeColor="text1"/>
          <w:sz w:val="24"/>
          <w:szCs w:val="24"/>
        </w:rPr>
      </w:pPr>
    </w:p>
    <w:p w14:paraId="7538BD8F" w14:textId="7106B87B" w:rsidR="00453678" w:rsidRDefault="00453678" w:rsidP="00D24753">
      <w:pPr>
        <w:spacing w:after="0"/>
        <w:jc w:val="both"/>
        <w:rPr>
          <w:rFonts w:ascii="Arial" w:hAnsi="Arial" w:cs="Arial"/>
          <w:color w:val="000000" w:themeColor="text1"/>
          <w:sz w:val="24"/>
          <w:szCs w:val="24"/>
        </w:rPr>
      </w:pPr>
    </w:p>
    <w:p w14:paraId="1584198C" w14:textId="14F865EE" w:rsidR="00E22171" w:rsidRPr="00162A70" w:rsidRDefault="00071396" w:rsidP="00D24753">
      <w:pPr>
        <w:spacing w:after="0"/>
        <w:jc w:val="both"/>
        <w:rPr>
          <w:rFonts w:cs="Calibri"/>
          <w:b/>
          <w:color w:val="000000" w:themeColor="text1"/>
          <w:sz w:val="28"/>
          <w:szCs w:val="28"/>
          <w:lang w:val="es-ES" w:eastAsia="es-ES"/>
        </w:rPr>
      </w:pPr>
      <w:r w:rsidRPr="00162A70">
        <w:rPr>
          <w:rFonts w:cs="Calibri"/>
          <w:b/>
          <w:color w:val="000000" w:themeColor="text1"/>
          <w:sz w:val="28"/>
          <w:szCs w:val="28"/>
          <w:lang w:val="es-ES" w:eastAsia="es-ES"/>
        </w:rPr>
        <w:lastRenderedPageBreak/>
        <w:t>Conclusión</w:t>
      </w:r>
    </w:p>
    <w:p w14:paraId="4BBE4BEA" w14:textId="17CAF7CD" w:rsidR="00F12903" w:rsidRPr="00495A0D" w:rsidRDefault="0021693B" w:rsidP="00495A0D">
      <w:pPr>
        <w:spacing w:after="0" w:line="360" w:lineRule="auto"/>
        <w:ind w:firstLine="708"/>
        <w:jc w:val="both"/>
        <w:rPr>
          <w:rFonts w:ascii="Times New Roman" w:hAnsi="Times New Roman"/>
          <w:color w:val="000000" w:themeColor="text1"/>
          <w:sz w:val="24"/>
          <w:szCs w:val="24"/>
        </w:rPr>
      </w:pPr>
      <w:r w:rsidRPr="00495A0D">
        <w:rPr>
          <w:rFonts w:ascii="Times New Roman" w:hAnsi="Times New Roman"/>
          <w:color w:val="000000" w:themeColor="text1"/>
          <w:sz w:val="24"/>
          <w:szCs w:val="24"/>
        </w:rPr>
        <w:t>Los profesionales de enfermería</w:t>
      </w:r>
      <w:r w:rsidR="00C73CE8"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a pesar de haber </w:t>
      </w:r>
      <w:r w:rsidR="00C73CE8" w:rsidRPr="00495A0D">
        <w:rPr>
          <w:rFonts w:ascii="Times New Roman" w:hAnsi="Times New Roman"/>
          <w:color w:val="000000" w:themeColor="text1"/>
          <w:sz w:val="24"/>
          <w:szCs w:val="24"/>
        </w:rPr>
        <w:t xml:space="preserve">tenido </w:t>
      </w:r>
      <w:r w:rsidRPr="00495A0D">
        <w:rPr>
          <w:rFonts w:ascii="Times New Roman" w:hAnsi="Times New Roman"/>
          <w:color w:val="000000" w:themeColor="text1"/>
          <w:sz w:val="24"/>
          <w:szCs w:val="24"/>
        </w:rPr>
        <w:t>un riesgo cardiovascular bajo</w:t>
      </w:r>
      <w:r w:rsidR="00C73CE8" w:rsidRPr="00495A0D">
        <w:rPr>
          <w:rFonts w:ascii="Times New Roman" w:hAnsi="Times New Roman"/>
          <w:color w:val="000000" w:themeColor="text1"/>
          <w:sz w:val="24"/>
          <w:szCs w:val="24"/>
        </w:rPr>
        <w:t>,</w:t>
      </w:r>
      <w:r w:rsidRPr="00495A0D">
        <w:rPr>
          <w:rFonts w:ascii="Times New Roman" w:hAnsi="Times New Roman"/>
          <w:color w:val="000000" w:themeColor="text1"/>
          <w:sz w:val="24"/>
          <w:szCs w:val="24"/>
        </w:rPr>
        <w:t xml:space="preserve"> mostraron otros factores de riesgo antropométrico independientes para el desarrollo de</w:t>
      </w:r>
      <w:r w:rsidR="001B7A71" w:rsidRPr="00495A0D">
        <w:rPr>
          <w:rFonts w:ascii="Times New Roman" w:hAnsi="Times New Roman"/>
          <w:color w:val="000000" w:themeColor="text1"/>
          <w:sz w:val="24"/>
          <w:szCs w:val="24"/>
        </w:rPr>
        <w:t xml:space="preserve"> enfermedad coronaria</w:t>
      </w:r>
      <w:r w:rsidR="00C73CE8" w:rsidRPr="00495A0D">
        <w:rPr>
          <w:rFonts w:ascii="Times New Roman" w:hAnsi="Times New Roman"/>
          <w:color w:val="000000" w:themeColor="text1"/>
          <w:sz w:val="24"/>
          <w:szCs w:val="24"/>
        </w:rPr>
        <w:t xml:space="preserve">. Esta </w:t>
      </w:r>
      <w:r w:rsidR="00F12903" w:rsidRPr="00495A0D">
        <w:rPr>
          <w:rFonts w:ascii="Times New Roman" w:hAnsi="Times New Roman"/>
          <w:color w:val="000000" w:themeColor="text1"/>
          <w:sz w:val="24"/>
          <w:szCs w:val="24"/>
        </w:rPr>
        <w:t xml:space="preserve">situación debe </w:t>
      </w:r>
      <w:r w:rsidR="000269A6" w:rsidRPr="00495A0D">
        <w:rPr>
          <w:rFonts w:ascii="Times New Roman" w:hAnsi="Times New Roman"/>
          <w:color w:val="000000" w:themeColor="text1"/>
          <w:sz w:val="24"/>
          <w:szCs w:val="24"/>
        </w:rPr>
        <w:t>considerarse al momento de evalu</w:t>
      </w:r>
      <w:r w:rsidR="00F12903" w:rsidRPr="00495A0D">
        <w:rPr>
          <w:rFonts w:ascii="Times New Roman" w:hAnsi="Times New Roman"/>
          <w:color w:val="000000" w:themeColor="text1"/>
          <w:sz w:val="24"/>
          <w:szCs w:val="24"/>
        </w:rPr>
        <w:t>ar al profesi</w:t>
      </w:r>
      <w:r w:rsidR="000269A6" w:rsidRPr="00495A0D">
        <w:rPr>
          <w:rFonts w:ascii="Times New Roman" w:hAnsi="Times New Roman"/>
          <w:color w:val="000000" w:themeColor="text1"/>
          <w:sz w:val="24"/>
          <w:szCs w:val="24"/>
        </w:rPr>
        <w:t>onal de enfermería</w:t>
      </w:r>
      <w:r w:rsidR="00F12903" w:rsidRPr="00495A0D">
        <w:rPr>
          <w:rFonts w:ascii="Times New Roman" w:hAnsi="Times New Roman"/>
          <w:color w:val="000000" w:themeColor="text1"/>
          <w:sz w:val="24"/>
          <w:szCs w:val="24"/>
        </w:rPr>
        <w:t xml:space="preserve"> e incidir</w:t>
      </w:r>
      <w:r w:rsidR="00C73CE8" w:rsidRPr="00495A0D">
        <w:rPr>
          <w:rFonts w:ascii="Times New Roman" w:hAnsi="Times New Roman"/>
          <w:color w:val="000000" w:themeColor="text1"/>
          <w:sz w:val="24"/>
          <w:szCs w:val="24"/>
        </w:rPr>
        <w:t>,</w:t>
      </w:r>
      <w:r w:rsidR="00F12903" w:rsidRPr="00495A0D">
        <w:rPr>
          <w:rFonts w:ascii="Times New Roman" w:hAnsi="Times New Roman"/>
          <w:color w:val="000000" w:themeColor="text1"/>
          <w:sz w:val="24"/>
          <w:szCs w:val="24"/>
        </w:rPr>
        <w:t xml:space="preserve"> de esta manera</w:t>
      </w:r>
      <w:r w:rsidR="00C73CE8" w:rsidRPr="00495A0D">
        <w:rPr>
          <w:rFonts w:ascii="Times New Roman" w:hAnsi="Times New Roman"/>
          <w:color w:val="000000" w:themeColor="text1"/>
          <w:sz w:val="24"/>
          <w:szCs w:val="24"/>
        </w:rPr>
        <w:t>,</w:t>
      </w:r>
      <w:r w:rsidR="00F12903" w:rsidRPr="00495A0D">
        <w:rPr>
          <w:rFonts w:ascii="Times New Roman" w:hAnsi="Times New Roman"/>
          <w:color w:val="000000" w:themeColor="text1"/>
          <w:sz w:val="24"/>
          <w:szCs w:val="24"/>
        </w:rPr>
        <w:t xml:space="preserve"> en la prevención primaria de la enfermedad cardiovascular de este importante profesional de la salud.</w:t>
      </w:r>
    </w:p>
    <w:p w14:paraId="0B5BE644" w14:textId="3B4B0D0E" w:rsidR="00CA46E5" w:rsidRPr="00D24753" w:rsidRDefault="001B7A71" w:rsidP="00495A0D">
      <w:pPr>
        <w:spacing w:after="0" w:line="360" w:lineRule="auto"/>
        <w:ind w:firstLine="708"/>
        <w:jc w:val="both"/>
        <w:rPr>
          <w:rFonts w:ascii="Arial" w:hAnsi="Arial" w:cs="Arial"/>
          <w:sz w:val="24"/>
          <w:szCs w:val="24"/>
        </w:rPr>
      </w:pPr>
      <w:r w:rsidRPr="00495A0D">
        <w:rPr>
          <w:rFonts w:ascii="Times New Roman" w:hAnsi="Times New Roman"/>
          <w:sz w:val="24"/>
          <w:szCs w:val="24"/>
        </w:rPr>
        <w:t>Al ser las enfermedades cardiovasculares las principales causas de morbimortalidad a nivel mundial, es de suma importancia desarrollar estudios que mejoren la prevención de estas patologías</w:t>
      </w:r>
      <w:r w:rsidR="00A60E46" w:rsidRPr="00495A0D">
        <w:rPr>
          <w:rFonts w:ascii="Times New Roman" w:hAnsi="Times New Roman"/>
          <w:sz w:val="24"/>
          <w:szCs w:val="24"/>
        </w:rPr>
        <w:t>,</w:t>
      </w:r>
      <w:r w:rsidRPr="00495A0D">
        <w:rPr>
          <w:rFonts w:ascii="Times New Roman" w:hAnsi="Times New Roman"/>
          <w:sz w:val="24"/>
          <w:szCs w:val="24"/>
        </w:rPr>
        <w:t xml:space="preserve"> dado que México ocupa un lugar importante en las cifras de infarto al miocardio, accidente cerebrovascular y obesidad.</w:t>
      </w:r>
    </w:p>
    <w:p w14:paraId="1B1DC91B" w14:textId="1DEF937B" w:rsidR="00D02775" w:rsidRDefault="00D02775" w:rsidP="00D24753">
      <w:pPr>
        <w:spacing w:after="0"/>
        <w:jc w:val="both"/>
        <w:rPr>
          <w:rFonts w:ascii="Arial" w:hAnsi="Arial" w:cs="Arial"/>
          <w:sz w:val="24"/>
          <w:szCs w:val="24"/>
        </w:rPr>
      </w:pPr>
    </w:p>
    <w:p w14:paraId="0AF9874A" w14:textId="43E08680" w:rsidR="00613DE6" w:rsidRDefault="00613DE6" w:rsidP="00D24753">
      <w:pPr>
        <w:spacing w:after="0"/>
        <w:jc w:val="both"/>
        <w:rPr>
          <w:rFonts w:ascii="Arial" w:hAnsi="Arial" w:cs="Arial"/>
          <w:sz w:val="24"/>
          <w:szCs w:val="24"/>
        </w:rPr>
      </w:pPr>
    </w:p>
    <w:p w14:paraId="1794BF7C" w14:textId="4082A980" w:rsidR="00B07455" w:rsidRDefault="00B07455" w:rsidP="00D24753">
      <w:pPr>
        <w:spacing w:after="0"/>
        <w:jc w:val="both"/>
        <w:rPr>
          <w:rFonts w:ascii="Arial" w:hAnsi="Arial" w:cs="Arial"/>
          <w:sz w:val="24"/>
          <w:szCs w:val="24"/>
        </w:rPr>
      </w:pPr>
    </w:p>
    <w:p w14:paraId="6FAD68D7" w14:textId="6A9BFC09" w:rsidR="00B07455" w:rsidRDefault="00B07455" w:rsidP="00D24753">
      <w:pPr>
        <w:spacing w:after="0"/>
        <w:jc w:val="both"/>
        <w:rPr>
          <w:rFonts w:ascii="Arial" w:hAnsi="Arial" w:cs="Arial"/>
          <w:sz w:val="24"/>
          <w:szCs w:val="24"/>
        </w:rPr>
      </w:pPr>
    </w:p>
    <w:p w14:paraId="7D20CFE4" w14:textId="6ED449DF" w:rsidR="00B07455" w:rsidRDefault="00B07455" w:rsidP="00D24753">
      <w:pPr>
        <w:spacing w:after="0"/>
        <w:jc w:val="both"/>
        <w:rPr>
          <w:rFonts w:ascii="Arial" w:hAnsi="Arial" w:cs="Arial"/>
          <w:sz w:val="24"/>
          <w:szCs w:val="24"/>
        </w:rPr>
      </w:pPr>
    </w:p>
    <w:p w14:paraId="6122ED84" w14:textId="13FEC463" w:rsidR="00B07455" w:rsidRDefault="00B07455" w:rsidP="00D24753">
      <w:pPr>
        <w:spacing w:after="0"/>
        <w:jc w:val="both"/>
        <w:rPr>
          <w:rFonts w:ascii="Arial" w:hAnsi="Arial" w:cs="Arial"/>
          <w:sz w:val="24"/>
          <w:szCs w:val="24"/>
        </w:rPr>
      </w:pPr>
    </w:p>
    <w:p w14:paraId="2FC0BEDE" w14:textId="10670745" w:rsidR="00B07455" w:rsidRDefault="00B07455" w:rsidP="00D24753">
      <w:pPr>
        <w:spacing w:after="0"/>
        <w:jc w:val="both"/>
        <w:rPr>
          <w:rFonts w:ascii="Arial" w:hAnsi="Arial" w:cs="Arial"/>
          <w:sz w:val="24"/>
          <w:szCs w:val="24"/>
        </w:rPr>
      </w:pPr>
    </w:p>
    <w:p w14:paraId="5B8E9385" w14:textId="07BE2AAA" w:rsidR="00B07455" w:rsidRDefault="00B07455" w:rsidP="00D24753">
      <w:pPr>
        <w:spacing w:after="0"/>
        <w:jc w:val="both"/>
        <w:rPr>
          <w:rFonts w:ascii="Arial" w:hAnsi="Arial" w:cs="Arial"/>
          <w:sz w:val="24"/>
          <w:szCs w:val="24"/>
        </w:rPr>
      </w:pPr>
    </w:p>
    <w:p w14:paraId="25776AF7" w14:textId="714F49D6" w:rsidR="00B07455" w:rsidRDefault="00B07455" w:rsidP="00D24753">
      <w:pPr>
        <w:spacing w:after="0"/>
        <w:jc w:val="both"/>
        <w:rPr>
          <w:rFonts w:ascii="Arial" w:hAnsi="Arial" w:cs="Arial"/>
          <w:sz w:val="24"/>
          <w:szCs w:val="24"/>
        </w:rPr>
      </w:pPr>
    </w:p>
    <w:p w14:paraId="09D09B38" w14:textId="22DF6C37" w:rsidR="00B07455" w:rsidRDefault="00B07455" w:rsidP="00D24753">
      <w:pPr>
        <w:spacing w:after="0"/>
        <w:jc w:val="both"/>
        <w:rPr>
          <w:rFonts w:ascii="Arial" w:hAnsi="Arial" w:cs="Arial"/>
          <w:sz w:val="24"/>
          <w:szCs w:val="24"/>
        </w:rPr>
      </w:pPr>
    </w:p>
    <w:p w14:paraId="70474EA6" w14:textId="7AA119E2" w:rsidR="00B07455" w:rsidRDefault="00B07455" w:rsidP="00D24753">
      <w:pPr>
        <w:spacing w:after="0"/>
        <w:jc w:val="both"/>
        <w:rPr>
          <w:rFonts w:ascii="Arial" w:hAnsi="Arial" w:cs="Arial"/>
          <w:sz w:val="24"/>
          <w:szCs w:val="24"/>
        </w:rPr>
      </w:pPr>
    </w:p>
    <w:p w14:paraId="116ADC61" w14:textId="4B9530A8" w:rsidR="00B07455" w:rsidRDefault="00B07455" w:rsidP="00D24753">
      <w:pPr>
        <w:spacing w:after="0"/>
        <w:jc w:val="both"/>
        <w:rPr>
          <w:rFonts w:ascii="Arial" w:hAnsi="Arial" w:cs="Arial"/>
          <w:sz w:val="24"/>
          <w:szCs w:val="24"/>
        </w:rPr>
      </w:pPr>
    </w:p>
    <w:p w14:paraId="35787872" w14:textId="69B177F7" w:rsidR="00B07455" w:rsidRDefault="00B07455" w:rsidP="00D24753">
      <w:pPr>
        <w:spacing w:after="0"/>
        <w:jc w:val="both"/>
        <w:rPr>
          <w:rFonts w:ascii="Arial" w:hAnsi="Arial" w:cs="Arial"/>
          <w:sz w:val="24"/>
          <w:szCs w:val="24"/>
        </w:rPr>
      </w:pPr>
    </w:p>
    <w:p w14:paraId="585434AB" w14:textId="31755A37" w:rsidR="00B07455" w:rsidRDefault="00B07455" w:rsidP="00D24753">
      <w:pPr>
        <w:spacing w:after="0"/>
        <w:jc w:val="both"/>
        <w:rPr>
          <w:rFonts w:ascii="Arial" w:hAnsi="Arial" w:cs="Arial"/>
          <w:sz w:val="24"/>
          <w:szCs w:val="24"/>
        </w:rPr>
      </w:pPr>
    </w:p>
    <w:p w14:paraId="7E12BE80" w14:textId="77777777" w:rsidR="00B07455" w:rsidRDefault="00B07455" w:rsidP="00D24753">
      <w:pPr>
        <w:spacing w:after="0"/>
        <w:jc w:val="both"/>
        <w:rPr>
          <w:rFonts w:ascii="Arial" w:hAnsi="Arial" w:cs="Arial"/>
          <w:sz w:val="24"/>
          <w:szCs w:val="24"/>
        </w:rPr>
      </w:pPr>
    </w:p>
    <w:p w14:paraId="5BC4CDB2" w14:textId="3023427E" w:rsidR="0009338E" w:rsidRDefault="0009338E" w:rsidP="00D24753">
      <w:pPr>
        <w:spacing w:after="0"/>
        <w:jc w:val="both"/>
        <w:rPr>
          <w:rStyle w:val="Textoennegrita"/>
          <w:rFonts w:ascii="Arial" w:hAnsi="Arial" w:cs="Arial"/>
          <w:sz w:val="24"/>
          <w:szCs w:val="24"/>
        </w:rPr>
      </w:pPr>
    </w:p>
    <w:p w14:paraId="53BA9757" w14:textId="384CCDF5" w:rsidR="00B07455" w:rsidRDefault="00B07455" w:rsidP="00D24753">
      <w:pPr>
        <w:spacing w:after="0"/>
        <w:jc w:val="both"/>
        <w:rPr>
          <w:rStyle w:val="Textoennegrita"/>
          <w:rFonts w:ascii="Arial" w:hAnsi="Arial" w:cs="Arial"/>
          <w:sz w:val="24"/>
          <w:szCs w:val="24"/>
        </w:rPr>
      </w:pPr>
    </w:p>
    <w:p w14:paraId="7585F250" w14:textId="2EADDDC0" w:rsidR="00B07455" w:rsidRDefault="00B07455" w:rsidP="00D24753">
      <w:pPr>
        <w:spacing w:after="0"/>
        <w:jc w:val="both"/>
        <w:rPr>
          <w:rStyle w:val="Textoennegrita"/>
          <w:rFonts w:ascii="Arial" w:hAnsi="Arial" w:cs="Arial"/>
          <w:sz w:val="24"/>
          <w:szCs w:val="24"/>
        </w:rPr>
      </w:pPr>
    </w:p>
    <w:p w14:paraId="5F20DDCC" w14:textId="0AE9CD27" w:rsidR="00B07455" w:rsidRDefault="00B07455" w:rsidP="00D24753">
      <w:pPr>
        <w:spacing w:after="0"/>
        <w:jc w:val="both"/>
        <w:rPr>
          <w:rStyle w:val="Textoennegrita"/>
          <w:rFonts w:ascii="Arial" w:hAnsi="Arial" w:cs="Arial"/>
          <w:sz w:val="24"/>
          <w:szCs w:val="24"/>
        </w:rPr>
      </w:pPr>
    </w:p>
    <w:p w14:paraId="4670162D" w14:textId="550FA15A" w:rsidR="00B07455" w:rsidRDefault="00B07455" w:rsidP="00D24753">
      <w:pPr>
        <w:spacing w:after="0"/>
        <w:jc w:val="both"/>
        <w:rPr>
          <w:rStyle w:val="Textoennegrita"/>
          <w:rFonts w:ascii="Arial" w:hAnsi="Arial" w:cs="Arial"/>
          <w:sz w:val="24"/>
          <w:szCs w:val="24"/>
        </w:rPr>
      </w:pPr>
    </w:p>
    <w:p w14:paraId="53ADCDD7" w14:textId="4DBE8A45" w:rsidR="00B07455" w:rsidRDefault="00B07455" w:rsidP="00D24753">
      <w:pPr>
        <w:spacing w:after="0"/>
        <w:jc w:val="both"/>
        <w:rPr>
          <w:rStyle w:val="Textoennegrita"/>
          <w:rFonts w:ascii="Arial" w:hAnsi="Arial" w:cs="Arial"/>
          <w:sz w:val="24"/>
          <w:szCs w:val="24"/>
        </w:rPr>
      </w:pPr>
    </w:p>
    <w:p w14:paraId="21CB58C1" w14:textId="111895DE" w:rsidR="00B07455" w:rsidRDefault="00B07455" w:rsidP="00D24753">
      <w:pPr>
        <w:spacing w:after="0"/>
        <w:jc w:val="both"/>
        <w:rPr>
          <w:rStyle w:val="Textoennegrita"/>
          <w:rFonts w:ascii="Arial" w:hAnsi="Arial" w:cs="Arial"/>
          <w:sz w:val="24"/>
          <w:szCs w:val="24"/>
        </w:rPr>
      </w:pPr>
    </w:p>
    <w:p w14:paraId="773A3080" w14:textId="0E6389F3" w:rsidR="00B07455" w:rsidRDefault="00B07455" w:rsidP="00D24753">
      <w:pPr>
        <w:spacing w:after="0"/>
        <w:jc w:val="both"/>
        <w:rPr>
          <w:rStyle w:val="Textoennegrita"/>
          <w:rFonts w:ascii="Arial" w:hAnsi="Arial" w:cs="Arial"/>
          <w:sz w:val="24"/>
          <w:szCs w:val="24"/>
        </w:rPr>
      </w:pPr>
    </w:p>
    <w:p w14:paraId="1BAFF50A" w14:textId="77777777" w:rsidR="00B07455" w:rsidRDefault="00B07455" w:rsidP="00D24753">
      <w:pPr>
        <w:spacing w:after="0"/>
        <w:jc w:val="both"/>
        <w:rPr>
          <w:rStyle w:val="Textoennegrita"/>
          <w:rFonts w:ascii="Arial" w:hAnsi="Arial" w:cs="Arial"/>
          <w:sz w:val="24"/>
          <w:szCs w:val="24"/>
        </w:rPr>
      </w:pPr>
    </w:p>
    <w:p w14:paraId="7B7200BA" w14:textId="77777777" w:rsidR="00B07455" w:rsidRPr="00B96D4A" w:rsidRDefault="00B07455" w:rsidP="00D24753">
      <w:pPr>
        <w:spacing w:after="0"/>
        <w:jc w:val="both"/>
        <w:rPr>
          <w:rFonts w:cs="Calibri"/>
          <w:b/>
          <w:bCs/>
          <w:color w:val="000000" w:themeColor="text1"/>
          <w:sz w:val="28"/>
          <w:szCs w:val="28"/>
          <w:lang w:eastAsia="es-ES"/>
        </w:rPr>
      </w:pPr>
    </w:p>
    <w:p w14:paraId="60B8CC73" w14:textId="4858383B" w:rsidR="001731E1" w:rsidRPr="00EE1BD6" w:rsidRDefault="001731E1" w:rsidP="00D24753">
      <w:pPr>
        <w:spacing w:after="0"/>
        <w:jc w:val="both"/>
        <w:rPr>
          <w:rFonts w:cs="Calibri"/>
          <w:b/>
          <w:bCs/>
          <w:color w:val="000000" w:themeColor="text1"/>
          <w:sz w:val="28"/>
          <w:szCs w:val="28"/>
          <w:lang w:val="en-US" w:eastAsia="es-ES"/>
        </w:rPr>
      </w:pPr>
      <w:r w:rsidRPr="00EE1BD6">
        <w:rPr>
          <w:rFonts w:cs="Calibri"/>
          <w:b/>
          <w:bCs/>
          <w:color w:val="000000" w:themeColor="text1"/>
          <w:sz w:val="28"/>
          <w:szCs w:val="28"/>
          <w:lang w:val="en-US" w:eastAsia="es-ES"/>
        </w:rPr>
        <w:lastRenderedPageBreak/>
        <w:t>Referencias</w:t>
      </w:r>
    </w:p>
    <w:p w14:paraId="682C783C" w14:textId="77777777" w:rsidR="00573BD9" w:rsidRPr="00EE1BD6" w:rsidRDefault="00573BD9" w:rsidP="00AF0D9D">
      <w:pPr>
        <w:spacing w:after="0"/>
        <w:jc w:val="both"/>
        <w:rPr>
          <w:rFonts w:ascii="Arial" w:hAnsi="Arial" w:cs="Arial"/>
          <w:sz w:val="24"/>
          <w:szCs w:val="24"/>
          <w:lang w:val="en-US"/>
        </w:rPr>
      </w:pPr>
    </w:p>
    <w:p w14:paraId="171AC266" w14:textId="4FD8E6E2" w:rsidR="00573BD9" w:rsidRPr="00EE1BD6" w:rsidRDefault="00573BD9" w:rsidP="00495A0D">
      <w:pPr>
        <w:pStyle w:val="Prrafodelista"/>
        <w:spacing w:after="0" w:line="360" w:lineRule="auto"/>
        <w:ind w:left="567" w:hanging="567"/>
        <w:jc w:val="both"/>
        <w:rPr>
          <w:rFonts w:ascii="Times New Roman" w:hAnsi="Times New Roman"/>
          <w:sz w:val="24"/>
          <w:szCs w:val="24"/>
          <w:lang w:val="en-US"/>
        </w:rPr>
      </w:pPr>
      <w:r w:rsidRPr="00EE1BD6">
        <w:rPr>
          <w:rFonts w:ascii="Times New Roman" w:hAnsi="Times New Roman"/>
          <w:sz w:val="24"/>
          <w:szCs w:val="24"/>
          <w:lang w:val="en-US"/>
        </w:rPr>
        <w:t xml:space="preserve">Aboyans, V., </w:t>
      </w:r>
      <w:proofErr w:type="spellStart"/>
      <w:r w:rsidRPr="00EE1BD6">
        <w:rPr>
          <w:rFonts w:ascii="Times New Roman" w:hAnsi="Times New Roman"/>
          <w:sz w:val="24"/>
          <w:szCs w:val="24"/>
          <w:lang w:val="en-US"/>
        </w:rPr>
        <w:t>Criqui</w:t>
      </w:r>
      <w:proofErr w:type="spellEnd"/>
      <w:r w:rsidRPr="00EE1BD6">
        <w:rPr>
          <w:rFonts w:ascii="Times New Roman" w:hAnsi="Times New Roman"/>
          <w:sz w:val="24"/>
          <w:szCs w:val="24"/>
          <w:lang w:val="en-US"/>
        </w:rPr>
        <w:t>, M.</w:t>
      </w:r>
      <w:r w:rsidR="00A74382" w:rsidRPr="00EE1BD6">
        <w:rPr>
          <w:rFonts w:ascii="Times New Roman" w:hAnsi="Times New Roman"/>
          <w:sz w:val="24"/>
          <w:szCs w:val="24"/>
          <w:lang w:val="en-US"/>
        </w:rPr>
        <w:t xml:space="preserve"> H.</w:t>
      </w:r>
      <w:r w:rsidRPr="00EE1BD6">
        <w:rPr>
          <w:rFonts w:ascii="Times New Roman" w:hAnsi="Times New Roman"/>
          <w:sz w:val="24"/>
          <w:szCs w:val="24"/>
          <w:lang w:val="en-US"/>
        </w:rPr>
        <w:t>, Pierre, A., Allison A, M., Creager, M.</w:t>
      </w:r>
      <w:r w:rsidR="00A74382" w:rsidRPr="00EE1BD6">
        <w:rPr>
          <w:rFonts w:ascii="Times New Roman" w:hAnsi="Times New Roman"/>
          <w:sz w:val="24"/>
          <w:szCs w:val="24"/>
          <w:lang w:val="en-US"/>
        </w:rPr>
        <w:t xml:space="preserve"> </w:t>
      </w:r>
      <w:r w:rsidRPr="00EE1BD6">
        <w:rPr>
          <w:rFonts w:ascii="Times New Roman" w:hAnsi="Times New Roman"/>
          <w:sz w:val="24"/>
          <w:szCs w:val="24"/>
          <w:lang w:val="en-US"/>
        </w:rPr>
        <w:t xml:space="preserve">A., </w:t>
      </w:r>
      <w:proofErr w:type="spellStart"/>
      <w:r w:rsidRPr="00EE1BD6">
        <w:rPr>
          <w:rFonts w:ascii="Times New Roman" w:hAnsi="Times New Roman"/>
          <w:sz w:val="24"/>
          <w:szCs w:val="24"/>
          <w:lang w:val="en-US"/>
        </w:rPr>
        <w:t>Diehm</w:t>
      </w:r>
      <w:proofErr w:type="spellEnd"/>
      <w:r w:rsidRPr="00EE1BD6">
        <w:rPr>
          <w:rFonts w:ascii="Times New Roman" w:hAnsi="Times New Roman"/>
          <w:sz w:val="24"/>
          <w:szCs w:val="24"/>
          <w:lang w:val="en-US"/>
        </w:rPr>
        <w:t xml:space="preserve">, </w:t>
      </w:r>
      <w:r w:rsidR="008C04B5" w:rsidRPr="00EE1BD6">
        <w:rPr>
          <w:rFonts w:ascii="Times New Roman" w:hAnsi="Times New Roman"/>
          <w:sz w:val="24"/>
          <w:szCs w:val="24"/>
          <w:lang w:val="en-US"/>
        </w:rPr>
        <w:t xml:space="preserve">C., </w:t>
      </w:r>
      <w:r w:rsidR="00A74382" w:rsidRPr="00EE1BD6">
        <w:rPr>
          <w:rFonts w:ascii="Times New Roman" w:hAnsi="Times New Roman"/>
          <w:sz w:val="24"/>
          <w:szCs w:val="24"/>
          <w:lang w:val="en-US"/>
        </w:rPr>
        <w:t>…, Treat-Jacobson, D.</w:t>
      </w:r>
      <w:r w:rsidR="00AF0D9D" w:rsidRPr="00EE1BD6">
        <w:rPr>
          <w:rFonts w:ascii="Times New Roman" w:hAnsi="Times New Roman"/>
          <w:sz w:val="24"/>
          <w:szCs w:val="24"/>
          <w:lang w:val="en-US"/>
        </w:rPr>
        <w:t xml:space="preserve"> </w:t>
      </w:r>
      <w:r w:rsidR="008C04B5" w:rsidRPr="00EE1BD6">
        <w:rPr>
          <w:rFonts w:ascii="Times New Roman" w:hAnsi="Times New Roman"/>
          <w:sz w:val="24"/>
          <w:szCs w:val="24"/>
          <w:lang w:val="en-US"/>
        </w:rPr>
        <w:t>(20</w:t>
      </w:r>
      <w:r w:rsidR="00AF0D9D" w:rsidRPr="00EE1BD6">
        <w:rPr>
          <w:rFonts w:ascii="Times New Roman" w:hAnsi="Times New Roman"/>
          <w:sz w:val="24"/>
          <w:szCs w:val="24"/>
          <w:lang w:val="en-US"/>
        </w:rPr>
        <w:t>1</w:t>
      </w:r>
      <w:r w:rsidR="008C04B5" w:rsidRPr="00EE1BD6">
        <w:rPr>
          <w:rFonts w:ascii="Times New Roman" w:hAnsi="Times New Roman"/>
          <w:sz w:val="24"/>
          <w:szCs w:val="24"/>
          <w:lang w:val="en-US"/>
        </w:rPr>
        <w:t>2)</w:t>
      </w:r>
      <w:r w:rsidR="00AF0D9D" w:rsidRPr="00EE1BD6">
        <w:rPr>
          <w:rFonts w:ascii="Times New Roman" w:hAnsi="Times New Roman"/>
          <w:sz w:val="24"/>
          <w:szCs w:val="24"/>
          <w:lang w:val="en-US"/>
        </w:rPr>
        <w:t>.</w:t>
      </w:r>
      <w:r w:rsidR="00AF0D9D" w:rsidRPr="00EE1BD6">
        <w:rPr>
          <w:rFonts w:ascii="Times New Roman" w:hAnsi="Times New Roman"/>
          <w:sz w:val="24"/>
          <w:szCs w:val="24"/>
          <w:lang w:val="en-US"/>
        </w:rPr>
        <w:tab/>
        <w:t xml:space="preserve">Measurement and Interpretation of the Ankle-Brachial Index: A Scientific Statement from the American Heart Association. </w:t>
      </w:r>
      <w:r w:rsidR="00AF0D9D" w:rsidRPr="00EE1BD6">
        <w:rPr>
          <w:rFonts w:ascii="Times New Roman" w:hAnsi="Times New Roman"/>
          <w:i/>
          <w:sz w:val="24"/>
          <w:szCs w:val="24"/>
          <w:lang w:val="en-US"/>
        </w:rPr>
        <w:t>Circulation</w:t>
      </w:r>
      <w:r w:rsidR="008C04B5" w:rsidRPr="00EE1BD6">
        <w:rPr>
          <w:rFonts w:ascii="Times New Roman" w:hAnsi="Times New Roman"/>
          <w:sz w:val="24"/>
          <w:szCs w:val="24"/>
          <w:lang w:val="en-US"/>
        </w:rPr>
        <w:t>,</w:t>
      </w:r>
      <w:r w:rsidR="00AF0D9D" w:rsidRPr="00EE1BD6">
        <w:rPr>
          <w:rFonts w:ascii="Times New Roman" w:hAnsi="Times New Roman"/>
          <w:sz w:val="24"/>
          <w:szCs w:val="24"/>
          <w:lang w:val="en-US"/>
        </w:rPr>
        <w:t xml:space="preserve"> </w:t>
      </w:r>
      <w:r w:rsidR="00AF0D9D" w:rsidRPr="00EE1BD6">
        <w:rPr>
          <w:rFonts w:ascii="Times New Roman" w:hAnsi="Times New Roman"/>
          <w:i/>
          <w:sz w:val="24"/>
          <w:szCs w:val="24"/>
          <w:lang w:val="en-US"/>
        </w:rPr>
        <w:t>126</w:t>
      </w:r>
      <w:r w:rsidR="008C04B5" w:rsidRPr="00EE1BD6">
        <w:rPr>
          <w:rFonts w:ascii="Times New Roman" w:hAnsi="Times New Roman"/>
          <w:sz w:val="24"/>
          <w:szCs w:val="24"/>
          <w:lang w:val="en-US"/>
        </w:rPr>
        <w:t>(</w:t>
      </w:r>
      <w:r w:rsidR="00AF0D9D" w:rsidRPr="00EE1BD6">
        <w:rPr>
          <w:rFonts w:ascii="Times New Roman" w:hAnsi="Times New Roman"/>
          <w:sz w:val="24"/>
          <w:szCs w:val="24"/>
          <w:lang w:val="en-US"/>
        </w:rPr>
        <w:t>24</w:t>
      </w:r>
      <w:r w:rsidR="008C04B5" w:rsidRPr="00EE1BD6">
        <w:rPr>
          <w:rFonts w:ascii="Times New Roman" w:hAnsi="Times New Roman"/>
          <w:sz w:val="24"/>
          <w:szCs w:val="24"/>
          <w:lang w:val="en-US"/>
        </w:rPr>
        <w:t>),</w:t>
      </w:r>
      <w:r w:rsidR="00AF0D9D" w:rsidRPr="00EE1BD6">
        <w:rPr>
          <w:rFonts w:ascii="Times New Roman" w:hAnsi="Times New Roman"/>
          <w:sz w:val="24"/>
          <w:szCs w:val="24"/>
          <w:lang w:val="en-US"/>
        </w:rPr>
        <w:t xml:space="preserve"> 2890–2909. </w:t>
      </w:r>
      <w:proofErr w:type="spellStart"/>
      <w:r w:rsidR="00AF0D9D" w:rsidRPr="00EE1BD6">
        <w:rPr>
          <w:rFonts w:ascii="Times New Roman" w:hAnsi="Times New Roman"/>
          <w:sz w:val="24"/>
          <w:szCs w:val="24"/>
          <w:lang w:val="en-US"/>
        </w:rPr>
        <w:t>doi</w:t>
      </w:r>
      <w:proofErr w:type="spellEnd"/>
      <w:r w:rsidR="00AF0D9D" w:rsidRPr="00EE1BD6">
        <w:rPr>
          <w:rFonts w:ascii="Times New Roman" w:hAnsi="Times New Roman"/>
          <w:sz w:val="24"/>
          <w:szCs w:val="24"/>
          <w:lang w:val="en-US"/>
        </w:rPr>
        <w:t>:</w:t>
      </w:r>
      <w:r w:rsidR="00476AC0" w:rsidRPr="00EE1BD6">
        <w:rPr>
          <w:rFonts w:ascii="Times New Roman" w:hAnsi="Times New Roman"/>
          <w:sz w:val="24"/>
          <w:szCs w:val="24"/>
          <w:lang w:val="en-US"/>
        </w:rPr>
        <w:t xml:space="preserve"> </w:t>
      </w:r>
      <w:r w:rsidR="00AF0D9D" w:rsidRPr="00EE1BD6">
        <w:rPr>
          <w:rFonts w:ascii="Times New Roman" w:hAnsi="Times New Roman"/>
          <w:sz w:val="24"/>
          <w:szCs w:val="24"/>
          <w:lang w:val="en-US"/>
        </w:rPr>
        <w:t xml:space="preserve">10.1161/CIR.0b013e318276fbcb. </w:t>
      </w:r>
    </w:p>
    <w:p w14:paraId="0D6F7596" w14:textId="18FEB090" w:rsidR="0013049D" w:rsidRPr="00495A0D" w:rsidRDefault="00B3099D" w:rsidP="00495A0D">
      <w:pPr>
        <w:spacing w:after="0" w:line="360" w:lineRule="auto"/>
        <w:ind w:left="567" w:hanging="567"/>
        <w:jc w:val="both"/>
        <w:rPr>
          <w:rFonts w:ascii="Times New Roman" w:hAnsi="Times New Roman"/>
          <w:sz w:val="24"/>
          <w:szCs w:val="24"/>
          <w:lang w:val="es-ES" w:eastAsia="es-ES"/>
        </w:rPr>
      </w:pPr>
      <w:r w:rsidRPr="00EE1BD6">
        <w:rPr>
          <w:rFonts w:ascii="Times New Roman" w:hAnsi="Times New Roman"/>
          <w:sz w:val="24"/>
          <w:szCs w:val="24"/>
          <w:lang w:val="en-US" w:eastAsia="es-ES"/>
        </w:rPr>
        <w:t>A</w:t>
      </w:r>
      <w:r w:rsidR="008C04B5" w:rsidRPr="00EE1BD6">
        <w:rPr>
          <w:rFonts w:ascii="Times New Roman" w:hAnsi="Times New Roman"/>
          <w:sz w:val="24"/>
          <w:szCs w:val="24"/>
          <w:lang w:val="en-US" w:eastAsia="es-ES"/>
        </w:rPr>
        <w:t xml:space="preserve">merican </w:t>
      </w:r>
      <w:r w:rsidR="00DD2635" w:rsidRPr="00EE1BD6">
        <w:rPr>
          <w:rFonts w:ascii="Times New Roman" w:hAnsi="Times New Roman"/>
          <w:sz w:val="24"/>
          <w:szCs w:val="24"/>
          <w:lang w:val="en-US" w:eastAsia="es-ES"/>
        </w:rPr>
        <w:t>C</w:t>
      </w:r>
      <w:r w:rsidR="008C04B5" w:rsidRPr="00EE1BD6">
        <w:rPr>
          <w:rFonts w:ascii="Times New Roman" w:hAnsi="Times New Roman"/>
          <w:sz w:val="24"/>
          <w:szCs w:val="24"/>
          <w:lang w:val="en-US" w:eastAsia="es-ES"/>
        </w:rPr>
        <w:t xml:space="preserve">ollege of </w:t>
      </w:r>
      <w:r w:rsidR="00DD2635" w:rsidRPr="00EE1BD6">
        <w:rPr>
          <w:rFonts w:ascii="Times New Roman" w:hAnsi="Times New Roman"/>
          <w:sz w:val="24"/>
          <w:szCs w:val="24"/>
          <w:lang w:val="en-US" w:eastAsia="es-ES"/>
        </w:rPr>
        <w:t>C</w:t>
      </w:r>
      <w:r w:rsidR="008C04B5" w:rsidRPr="00EE1BD6">
        <w:rPr>
          <w:rFonts w:ascii="Times New Roman" w:hAnsi="Times New Roman"/>
          <w:sz w:val="24"/>
          <w:szCs w:val="24"/>
          <w:lang w:val="en-US" w:eastAsia="es-ES"/>
        </w:rPr>
        <w:t>ardiology (ACC)</w:t>
      </w:r>
      <w:r w:rsidR="00DD2635" w:rsidRPr="00EE1BD6">
        <w:rPr>
          <w:rFonts w:ascii="Times New Roman" w:hAnsi="Times New Roman"/>
          <w:sz w:val="24"/>
          <w:szCs w:val="24"/>
          <w:lang w:val="en-US" w:eastAsia="es-ES"/>
        </w:rPr>
        <w:t>/A</w:t>
      </w:r>
      <w:r w:rsidR="008C04B5" w:rsidRPr="00EE1BD6">
        <w:rPr>
          <w:rFonts w:ascii="Times New Roman" w:hAnsi="Times New Roman"/>
          <w:sz w:val="24"/>
          <w:szCs w:val="24"/>
          <w:lang w:val="en-US" w:eastAsia="es-ES"/>
        </w:rPr>
        <w:t xml:space="preserve">merican </w:t>
      </w:r>
      <w:r w:rsidR="00DD2635" w:rsidRPr="00EE1BD6">
        <w:rPr>
          <w:rFonts w:ascii="Times New Roman" w:hAnsi="Times New Roman"/>
          <w:sz w:val="24"/>
          <w:szCs w:val="24"/>
          <w:lang w:val="en-US" w:eastAsia="es-ES"/>
        </w:rPr>
        <w:t>H</w:t>
      </w:r>
      <w:r w:rsidR="008C04B5" w:rsidRPr="00EE1BD6">
        <w:rPr>
          <w:rFonts w:ascii="Times New Roman" w:hAnsi="Times New Roman"/>
          <w:sz w:val="24"/>
          <w:szCs w:val="24"/>
          <w:lang w:val="en-US" w:eastAsia="es-ES"/>
        </w:rPr>
        <w:t xml:space="preserve">eart </w:t>
      </w:r>
      <w:r w:rsidR="00DD2635" w:rsidRPr="00EE1BD6">
        <w:rPr>
          <w:rFonts w:ascii="Times New Roman" w:hAnsi="Times New Roman"/>
          <w:sz w:val="24"/>
          <w:szCs w:val="24"/>
          <w:lang w:val="en-US" w:eastAsia="es-ES"/>
        </w:rPr>
        <w:t>A</w:t>
      </w:r>
      <w:r w:rsidR="008C04B5" w:rsidRPr="00EE1BD6">
        <w:rPr>
          <w:rFonts w:ascii="Times New Roman" w:hAnsi="Times New Roman"/>
          <w:sz w:val="24"/>
          <w:szCs w:val="24"/>
          <w:lang w:val="en-US" w:eastAsia="es-ES"/>
        </w:rPr>
        <w:t xml:space="preserve">ssociation (AHA). </w:t>
      </w:r>
      <w:r w:rsidR="008C04B5" w:rsidRPr="00495A0D">
        <w:rPr>
          <w:rFonts w:ascii="Times New Roman" w:hAnsi="Times New Roman"/>
          <w:sz w:val="24"/>
          <w:szCs w:val="24"/>
          <w:lang w:val="es-ES" w:eastAsia="es-ES"/>
        </w:rPr>
        <w:t>(2016).</w:t>
      </w:r>
      <w:r w:rsidR="00DD2635" w:rsidRPr="00495A0D">
        <w:rPr>
          <w:rFonts w:ascii="Times New Roman" w:hAnsi="Times New Roman"/>
          <w:sz w:val="24"/>
          <w:szCs w:val="24"/>
          <w:lang w:val="es-ES" w:eastAsia="es-ES"/>
        </w:rPr>
        <w:t xml:space="preserve"> </w:t>
      </w:r>
      <w:r w:rsidR="00DD2635" w:rsidRPr="00495A0D">
        <w:rPr>
          <w:rFonts w:ascii="Times New Roman" w:hAnsi="Times New Roman"/>
          <w:i/>
          <w:sz w:val="24"/>
          <w:szCs w:val="24"/>
          <w:lang w:val="es-ES" w:eastAsia="es-ES"/>
        </w:rPr>
        <w:t xml:space="preserve">ASCVD </w:t>
      </w:r>
      <w:proofErr w:type="spellStart"/>
      <w:r w:rsidR="00DD2635" w:rsidRPr="00495A0D">
        <w:rPr>
          <w:rFonts w:ascii="Times New Roman" w:hAnsi="Times New Roman"/>
          <w:i/>
          <w:sz w:val="24"/>
          <w:szCs w:val="24"/>
          <w:lang w:val="es-ES" w:eastAsia="es-ES"/>
        </w:rPr>
        <w:t>Risk</w:t>
      </w:r>
      <w:proofErr w:type="spellEnd"/>
      <w:r w:rsidR="00DD2635" w:rsidRPr="00495A0D">
        <w:rPr>
          <w:rFonts w:ascii="Times New Roman" w:hAnsi="Times New Roman"/>
          <w:i/>
          <w:sz w:val="24"/>
          <w:szCs w:val="24"/>
          <w:lang w:val="es-ES" w:eastAsia="es-ES"/>
        </w:rPr>
        <w:t xml:space="preserve"> </w:t>
      </w:r>
      <w:proofErr w:type="spellStart"/>
      <w:r w:rsidR="00DD2635" w:rsidRPr="00495A0D">
        <w:rPr>
          <w:rFonts w:ascii="Times New Roman" w:hAnsi="Times New Roman"/>
          <w:i/>
          <w:sz w:val="24"/>
          <w:szCs w:val="24"/>
          <w:lang w:val="es-ES" w:eastAsia="es-ES"/>
        </w:rPr>
        <w:t>calculator</w:t>
      </w:r>
      <w:proofErr w:type="spellEnd"/>
      <w:r w:rsidR="00D16185" w:rsidRPr="00495A0D">
        <w:rPr>
          <w:rFonts w:ascii="Times New Roman" w:hAnsi="Times New Roman"/>
          <w:sz w:val="24"/>
          <w:szCs w:val="24"/>
          <w:lang w:val="es-ES" w:eastAsia="es-ES"/>
        </w:rPr>
        <w:t>.</w:t>
      </w:r>
      <w:r w:rsidR="0013049D" w:rsidRPr="00495A0D">
        <w:rPr>
          <w:rFonts w:ascii="Times New Roman" w:hAnsi="Times New Roman"/>
          <w:sz w:val="24"/>
          <w:szCs w:val="24"/>
          <w:lang w:val="es-ES" w:eastAsia="es-ES"/>
        </w:rPr>
        <w:t xml:space="preserve"> </w:t>
      </w:r>
      <w:r w:rsidR="00A74382" w:rsidRPr="00495A0D">
        <w:rPr>
          <w:rFonts w:ascii="Times New Roman" w:hAnsi="Times New Roman"/>
          <w:sz w:val="24"/>
          <w:szCs w:val="24"/>
          <w:lang w:val="es-ES" w:eastAsia="es-ES"/>
        </w:rPr>
        <w:t xml:space="preserve">Recuperado de </w:t>
      </w:r>
      <w:hyperlink r:id="rId12" w:history="1">
        <w:r w:rsidR="006F5223" w:rsidRPr="00495A0D">
          <w:rPr>
            <w:rStyle w:val="Hipervnculo"/>
            <w:rFonts w:ascii="Times New Roman" w:hAnsi="Times New Roman"/>
            <w:sz w:val="24"/>
            <w:szCs w:val="24"/>
            <w:lang w:val="es-ES" w:eastAsia="es-ES"/>
          </w:rPr>
          <w:t>http://www.cvriskcalculator.com/</w:t>
        </w:r>
      </w:hyperlink>
      <w:r w:rsidR="006F5223" w:rsidRPr="00495A0D">
        <w:rPr>
          <w:rFonts w:ascii="Times New Roman" w:hAnsi="Times New Roman"/>
          <w:sz w:val="24"/>
          <w:szCs w:val="24"/>
          <w:lang w:val="es-ES" w:eastAsia="es-ES"/>
        </w:rPr>
        <w:t xml:space="preserve"> </w:t>
      </w:r>
    </w:p>
    <w:p w14:paraId="4F5D2521" w14:textId="23C469D7" w:rsidR="005658FB" w:rsidRPr="00495A0D" w:rsidRDefault="00D16185" w:rsidP="00495A0D">
      <w:pPr>
        <w:pStyle w:val="Prrafodelista"/>
        <w:spacing w:after="0" w:line="360" w:lineRule="auto"/>
        <w:ind w:left="567" w:hanging="567"/>
        <w:jc w:val="both"/>
        <w:rPr>
          <w:rFonts w:ascii="Times New Roman" w:hAnsi="Times New Roman"/>
          <w:sz w:val="24"/>
          <w:szCs w:val="24"/>
          <w:lang w:val="es-ES" w:eastAsia="es-ES"/>
        </w:rPr>
      </w:pPr>
      <w:proofErr w:type="spellStart"/>
      <w:r w:rsidRPr="00495A0D">
        <w:rPr>
          <w:rFonts w:ascii="Times New Roman" w:hAnsi="Times New Roman"/>
          <w:sz w:val="24"/>
          <w:szCs w:val="24"/>
          <w:lang w:val="es-ES" w:eastAsia="es-ES"/>
        </w:rPr>
        <w:t>Aráuz</w:t>
      </w:r>
      <w:proofErr w:type="spellEnd"/>
      <w:r w:rsidRPr="00495A0D">
        <w:rPr>
          <w:rFonts w:ascii="Times New Roman" w:hAnsi="Times New Roman"/>
          <w:sz w:val="24"/>
          <w:szCs w:val="24"/>
          <w:lang w:val="es-ES" w:eastAsia="es-ES"/>
        </w:rPr>
        <w:t>-</w:t>
      </w:r>
      <w:r w:rsidR="005658FB" w:rsidRPr="00495A0D">
        <w:rPr>
          <w:rFonts w:ascii="Times New Roman" w:hAnsi="Times New Roman"/>
          <w:sz w:val="24"/>
          <w:szCs w:val="24"/>
          <w:lang w:val="es-ES" w:eastAsia="es-ES"/>
        </w:rPr>
        <w:t>Hernández, A.</w:t>
      </w:r>
      <w:r w:rsidR="00A74382" w:rsidRPr="00495A0D">
        <w:rPr>
          <w:rFonts w:ascii="Times New Roman" w:hAnsi="Times New Roman"/>
          <w:sz w:val="24"/>
          <w:szCs w:val="24"/>
          <w:lang w:val="es-ES" w:eastAsia="es-ES"/>
        </w:rPr>
        <w:t xml:space="preserve"> </w:t>
      </w:r>
      <w:r w:rsidR="005658FB" w:rsidRPr="00495A0D">
        <w:rPr>
          <w:rFonts w:ascii="Times New Roman" w:hAnsi="Times New Roman"/>
          <w:sz w:val="24"/>
          <w:szCs w:val="24"/>
          <w:lang w:val="es-ES" w:eastAsia="es-ES"/>
        </w:rPr>
        <w:t xml:space="preserve">G., </w:t>
      </w:r>
      <w:r w:rsidRPr="00495A0D">
        <w:rPr>
          <w:rFonts w:ascii="Times New Roman" w:hAnsi="Times New Roman"/>
          <w:sz w:val="24"/>
          <w:szCs w:val="24"/>
          <w:lang w:val="es-ES" w:eastAsia="es-ES"/>
        </w:rPr>
        <w:t>Guzmán-</w:t>
      </w:r>
      <w:r w:rsidR="005658FB" w:rsidRPr="00495A0D">
        <w:rPr>
          <w:rFonts w:ascii="Times New Roman" w:hAnsi="Times New Roman"/>
          <w:sz w:val="24"/>
          <w:szCs w:val="24"/>
          <w:lang w:val="es-ES" w:eastAsia="es-ES"/>
        </w:rPr>
        <w:t xml:space="preserve">Padilla, S. </w:t>
      </w:r>
      <w:r w:rsidR="00A74382" w:rsidRPr="00495A0D">
        <w:rPr>
          <w:rFonts w:ascii="Times New Roman" w:hAnsi="Times New Roman"/>
          <w:sz w:val="24"/>
          <w:szCs w:val="24"/>
          <w:lang w:val="es-ES" w:eastAsia="es-ES"/>
        </w:rPr>
        <w:t>y Roselló</w:t>
      </w:r>
      <w:r w:rsidRPr="00495A0D">
        <w:rPr>
          <w:rFonts w:ascii="Times New Roman" w:hAnsi="Times New Roman"/>
          <w:sz w:val="24"/>
          <w:szCs w:val="24"/>
          <w:lang w:val="es-ES" w:eastAsia="es-ES"/>
        </w:rPr>
        <w:t>-</w:t>
      </w:r>
      <w:proofErr w:type="spellStart"/>
      <w:r w:rsidR="005658FB" w:rsidRPr="00495A0D">
        <w:rPr>
          <w:rFonts w:ascii="Times New Roman" w:hAnsi="Times New Roman"/>
          <w:sz w:val="24"/>
          <w:szCs w:val="24"/>
          <w:lang w:val="es-ES" w:eastAsia="es-ES"/>
        </w:rPr>
        <w:t>Aralla</w:t>
      </w:r>
      <w:proofErr w:type="spellEnd"/>
      <w:r w:rsidR="005658FB" w:rsidRPr="00495A0D">
        <w:rPr>
          <w:rFonts w:ascii="Times New Roman" w:hAnsi="Times New Roman"/>
          <w:sz w:val="24"/>
          <w:szCs w:val="24"/>
          <w:lang w:val="es-ES" w:eastAsia="es-ES"/>
        </w:rPr>
        <w:t>, M. (2013).</w:t>
      </w:r>
      <w:r w:rsidR="00A74382" w:rsidRPr="00495A0D">
        <w:rPr>
          <w:rFonts w:ascii="Times New Roman" w:hAnsi="Times New Roman"/>
          <w:sz w:val="24"/>
          <w:szCs w:val="24"/>
          <w:lang w:val="es-ES" w:eastAsia="es-ES"/>
        </w:rPr>
        <w:t xml:space="preserve"> </w:t>
      </w:r>
      <w:r w:rsidR="005658FB" w:rsidRPr="00495A0D">
        <w:rPr>
          <w:rFonts w:ascii="Times New Roman" w:hAnsi="Times New Roman"/>
          <w:sz w:val="24"/>
          <w:szCs w:val="24"/>
          <w:lang w:val="es-ES" w:eastAsia="es-ES"/>
        </w:rPr>
        <w:t xml:space="preserve">La circunferencia abdominal como indicador de riesgo cardiovascular. </w:t>
      </w:r>
      <w:r w:rsidR="005658FB" w:rsidRPr="00495A0D">
        <w:rPr>
          <w:rFonts w:ascii="Times New Roman" w:hAnsi="Times New Roman"/>
          <w:i/>
          <w:sz w:val="24"/>
          <w:szCs w:val="24"/>
          <w:lang w:val="es-ES" w:eastAsia="es-ES"/>
        </w:rPr>
        <w:t>Acta médica costarricense, 55</w:t>
      </w:r>
      <w:r w:rsidR="005658FB" w:rsidRPr="00495A0D">
        <w:rPr>
          <w:rFonts w:ascii="Times New Roman" w:hAnsi="Times New Roman"/>
          <w:sz w:val="24"/>
          <w:szCs w:val="24"/>
          <w:lang w:val="es-ES" w:eastAsia="es-ES"/>
        </w:rPr>
        <w:t>(3),</w:t>
      </w:r>
      <w:r w:rsidR="00A74382" w:rsidRPr="00495A0D">
        <w:rPr>
          <w:rFonts w:ascii="Times New Roman" w:hAnsi="Times New Roman"/>
          <w:sz w:val="24"/>
          <w:szCs w:val="24"/>
          <w:lang w:val="es-ES" w:eastAsia="es-ES"/>
        </w:rPr>
        <w:t xml:space="preserve"> </w:t>
      </w:r>
      <w:r w:rsidR="005658FB" w:rsidRPr="00495A0D">
        <w:rPr>
          <w:rFonts w:ascii="Times New Roman" w:hAnsi="Times New Roman"/>
          <w:sz w:val="24"/>
          <w:szCs w:val="24"/>
          <w:lang w:val="es-ES" w:eastAsia="es-ES"/>
        </w:rPr>
        <w:t>122-127.</w:t>
      </w:r>
    </w:p>
    <w:p w14:paraId="0154EC7C" w14:textId="30D454B2" w:rsidR="00852AC1" w:rsidRPr="00495A0D" w:rsidRDefault="00E01BD7" w:rsidP="00495A0D">
      <w:pPr>
        <w:pStyle w:val="Prrafodelista"/>
        <w:spacing w:after="0" w:line="360" w:lineRule="auto"/>
        <w:ind w:left="567" w:hanging="567"/>
        <w:jc w:val="both"/>
        <w:rPr>
          <w:rFonts w:ascii="Times New Roman" w:hAnsi="Times New Roman"/>
          <w:sz w:val="24"/>
          <w:szCs w:val="24"/>
          <w:lang w:val="es-ES" w:eastAsia="es-ES"/>
        </w:rPr>
      </w:pPr>
      <w:r w:rsidRPr="00495A0D">
        <w:rPr>
          <w:rFonts w:ascii="Times New Roman" w:hAnsi="Times New Roman"/>
          <w:sz w:val="24"/>
          <w:szCs w:val="24"/>
          <w:lang w:val="es-ES" w:eastAsia="es-ES"/>
        </w:rPr>
        <w:t>Baena Díez, J.</w:t>
      </w:r>
      <w:r w:rsidR="00A74382" w:rsidRPr="00495A0D">
        <w:rPr>
          <w:rFonts w:ascii="Times New Roman" w:hAnsi="Times New Roman"/>
          <w:sz w:val="24"/>
          <w:szCs w:val="24"/>
          <w:lang w:val="es-ES" w:eastAsia="es-ES"/>
        </w:rPr>
        <w:t xml:space="preserve"> </w:t>
      </w:r>
      <w:r w:rsidRPr="00495A0D">
        <w:rPr>
          <w:rFonts w:ascii="Times New Roman" w:hAnsi="Times New Roman"/>
          <w:sz w:val="24"/>
          <w:szCs w:val="24"/>
          <w:lang w:val="es-ES" w:eastAsia="es-ES"/>
        </w:rPr>
        <w:t xml:space="preserve">M., Alzamora, M.T., </w:t>
      </w:r>
      <w:proofErr w:type="spellStart"/>
      <w:r w:rsidRPr="00495A0D">
        <w:rPr>
          <w:rFonts w:ascii="Times New Roman" w:hAnsi="Times New Roman"/>
          <w:sz w:val="24"/>
          <w:szCs w:val="24"/>
          <w:lang w:val="es-ES" w:eastAsia="es-ES"/>
        </w:rPr>
        <w:t>Forés</w:t>
      </w:r>
      <w:proofErr w:type="spellEnd"/>
      <w:r w:rsidRPr="00495A0D">
        <w:rPr>
          <w:rFonts w:ascii="Times New Roman" w:hAnsi="Times New Roman"/>
          <w:sz w:val="24"/>
          <w:szCs w:val="24"/>
          <w:lang w:val="es-ES" w:eastAsia="es-ES"/>
        </w:rPr>
        <w:t>, R., Pera, G., Torán, P.</w:t>
      </w:r>
      <w:r w:rsidR="00ED4232" w:rsidRPr="00495A0D">
        <w:rPr>
          <w:rFonts w:ascii="Times New Roman" w:hAnsi="Times New Roman"/>
          <w:sz w:val="24"/>
          <w:szCs w:val="24"/>
          <w:lang w:val="es-ES" w:eastAsia="es-ES"/>
        </w:rPr>
        <w:t xml:space="preserve"> </w:t>
      </w:r>
      <w:r w:rsidR="00D16185" w:rsidRPr="00495A0D">
        <w:rPr>
          <w:rFonts w:ascii="Times New Roman" w:hAnsi="Times New Roman"/>
          <w:sz w:val="24"/>
          <w:szCs w:val="24"/>
          <w:lang w:val="es-ES" w:eastAsia="es-ES"/>
        </w:rPr>
        <w:t xml:space="preserve">y </w:t>
      </w:r>
      <w:r w:rsidR="00ED4232" w:rsidRPr="00495A0D">
        <w:rPr>
          <w:rFonts w:ascii="Times New Roman" w:hAnsi="Times New Roman"/>
          <w:sz w:val="24"/>
          <w:szCs w:val="24"/>
          <w:lang w:val="es-ES" w:eastAsia="es-ES"/>
        </w:rPr>
        <w:t xml:space="preserve">Sorribes, M. </w:t>
      </w:r>
      <w:r w:rsidR="00852AC1" w:rsidRPr="00495A0D">
        <w:rPr>
          <w:rFonts w:ascii="Times New Roman" w:hAnsi="Times New Roman"/>
          <w:sz w:val="24"/>
          <w:szCs w:val="24"/>
          <w:lang w:val="es-ES" w:eastAsia="es-ES"/>
        </w:rPr>
        <w:t xml:space="preserve">(2011). El índice tobillo-brazo mejora la clasificación del riesgo cardiovascular: estudio ARTPER/PERART. </w:t>
      </w:r>
      <w:r w:rsidR="00852AC1" w:rsidRPr="00495A0D">
        <w:rPr>
          <w:rFonts w:ascii="Times New Roman" w:hAnsi="Times New Roman"/>
          <w:i/>
          <w:sz w:val="24"/>
          <w:szCs w:val="24"/>
          <w:lang w:val="es-ES" w:eastAsia="es-ES"/>
        </w:rPr>
        <w:t>Revista Española de Cardiología</w:t>
      </w:r>
      <w:r w:rsidR="00D16185" w:rsidRPr="00495A0D">
        <w:rPr>
          <w:rFonts w:ascii="Times New Roman" w:hAnsi="Times New Roman"/>
          <w:sz w:val="24"/>
          <w:szCs w:val="24"/>
          <w:lang w:val="es-ES" w:eastAsia="es-ES"/>
        </w:rPr>
        <w:t xml:space="preserve">, </w:t>
      </w:r>
      <w:r w:rsidR="00852AC1" w:rsidRPr="00495A0D">
        <w:rPr>
          <w:rFonts w:ascii="Times New Roman" w:hAnsi="Times New Roman"/>
          <w:i/>
          <w:sz w:val="24"/>
          <w:szCs w:val="24"/>
          <w:lang w:val="es-ES" w:eastAsia="es-ES"/>
        </w:rPr>
        <w:t>64</w:t>
      </w:r>
      <w:r w:rsidR="00852AC1" w:rsidRPr="00495A0D">
        <w:rPr>
          <w:rFonts w:ascii="Times New Roman" w:hAnsi="Times New Roman"/>
          <w:sz w:val="24"/>
          <w:szCs w:val="24"/>
          <w:lang w:val="es-ES" w:eastAsia="es-ES"/>
        </w:rPr>
        <w:t>(3</w:t>
      </w:r>
      <w:r w:rsidR="00D16185" w:rsidRPr="00495A0D">
        <w:rPr>
          <w:rFonts w:ascii="Times New Roman" w:hAnsi="Times New Roman"/>
          <w:sz w:val="24"/>
          <w:szCs w:val="24"/>
          <w:lang w:val="es-ES" w:eastAsia="es-ES"/>
        </w:rPr>
        <w:t xml:space="preserve">), </w:t>
      </w:r>
      <w:r w:rsidR="00852AC1" w:rsidRPr="00495A0D">
        <w:rPr>
          <w:rFonts w:ascii="Times New Roman" w:hAnsi="Times New Roman"/>
          <w:sz w:val="24"/>
          <w:szCs w:val="24"/>
          <w:lang w:val="es-ES" w:eastAsia="es-ES"/>
        </w:rPr>
        <w:t>186-192.</w:t>
      </w:r>
    </w:p>
    <w:p w14:paraId="1262C0FB" w14:textId="39433B2E" w:rsidR="00912522" w:rsidRPr="00495A0D" w:rsidRDefault="00E03D38" w:rsidP="00495A0D">
      <w:pPr>
        <w:pStyle w:val="Prrafodelista"/>
        <w:spacing w:after="0" w:line="360" w:lineRule="auto"/>
        <w:ind w:left="567" w:hanging="567"/>
        <w:jc w:val="both"/>
        <w:rPr>
          <w:rFonts w:ascii="Times New Roman" w:hAnsi="Times New Roman"/>
          <w:sz w:val="24"/>
          <w:szCs w:val="24"/>
          <w:lang w:val="es-ES" w:eastAsia="es-ES"/>
        </w:rPr>
      </w:pPr>
      <w:r w:rsidRPr="00495A0D">
        <w:rPr>
          <w:rFonts w:ascii="Times New Roman" w:hAnsi="Times New Roman"/>
          <w:sz w:val="24"/>
          <w:szCs w:val="24"/>
          <w:lang w:val="es-ES" w:eastAsia="es-ES"/>
        </w:rPr>
        <w:t>Calderón, M</w:t>
      </w:r>
      <w:r w:rsidR="00BF79BD" w:rsidRPr="00495A0D">
        <w:rPr>
          <w:rFonts w:ascii="Times New Roman" w:hAnsi="Times New Roman"/>
          <w:sz w:val="24"/>
          <w:szCs w:val="24"/>
          <w:lang w:val="es-ES" w:eastAsia="es-ES"/>
        </w:rPr>
        <w:t xml:space="preserve">., Aranguren, S., Gerónimo, N. </w:t>
      </w:r>
      <w:r w:rsidR="004551D9" w:rsidRPr="00495A0D">
        <w:rPr>
          <w:rFonts w:ascii="Times New Roman" w:hAnsi="Times New Roman"/>
          <w:sz w:val="24"/>
          <w:szCs w:val="24"/>
          <w:lang w:val="es-ES" w:eastAsia="es-ES"/>
        </w:rPr>
        <w:t xml:space="preserve">y </w:t>
      </w:r>
      <w:r w:rsidR="00BF79BD" w:rsidRPr="00495A0D">
        <w:rPr>
          <w:rFonts w:ascii="Times New Roman" w:hAnsi="Times New Roman"/>
          <w:sz w:val="24"/>
          <w:szCs w:val="24"/>
          <w:lang w:val="es-ES" w:eastAsia="es-ES"/>
        </w:rPr>
        <w:t xml:space="preserve">Castañeda, O. (2012). Factores de riesgo para enfermedad cardiovascular en aspirantes a una empresa de obras civiles en Yopal – Casanare 2010. </w:t>
      </w:r>
      <w:r w:rsidR="00BF79BD" w:rsidRPr="00495A0D">
        <w:rPr>
          <w:rFonts w:ascii="Times New Roman" w:hAnsi="Times New Roman"/>
          <w:i/>
          <w:sz w:val="24"/>
          <w:szCs w:val="24"/>
          <w:lang w:val="es-ES" w:eastAsia="es-ES"/>
        </w:rPr>
        <w:t>Revista Colombiana de Cardiología, 19</w:t>
      </w:r>
      <w:r w:rsidR="00BF79BD" w:rsidRPr="00495A0D">
        <w:rPr>
          <w:rFonts w:ascii="Times New Roman" w:hAnsi="Times New Roman"/>
          <w:sz w:val="24"/>
          <w:szCs w:val="24"/>
          <w:lang w:val="es-ES" w:eastAsia="es-ES"/>
        </w:rPr>
        <w:t>(6), 289-297.</w:t>
      </w:r>
    </w:p>
    <w:p w14:paraId="4B1D1C99" w14:textId="400F4590" w:rsidR="00E075EE" w:rsidRPr="00495A0D" w:rsidRDefault="00757360" w:rsidP="00495A0D">
      <w:pPr>
        <w:pStyle w:val="Prrafodelista"/>
        <w:spacing w:after="0" w:line="360" w:lineRule="auto"/>
        <w:ind w:left="567" w:hanging="567"/>
        <w:jc w:val="both"/>
        <w:rPr>
          <w:rFonts w:ascii="Times New Roman" w:hAnsi="Times New Roman"/>
          <w:sz w:val="24"/>
          <w:szCs w:val="24"/>
          <w:lang w:val="es-ES" w:eastAsia="es-ES"/>
        </w:rPr>
      </w:pPr>
      <w:r w:rsidRPr="00495A0D">
        <w:rPr>
          <w:rFonts w:ascii="Times New Roman" w:hAnsi="Times New Roman"/>
          <w:sz w:val="24"/>
          <w:szCs w:val="24"/>
          <w:lang w:val="es-ES" w:eastAsia="es-ES"/>
        </w:rPr>
        <w:t xml:space="preserve">Cantú Brito, C., </w:t>
      </w:r>
      <w:proofErr w:type="spellStart"/>
      <w:r w:rsidRPr="00495A0D">
        <w:rPr>
          <w:rFonts w:ascii="Times New Roman" w:hAnsi="Times New Roman"/>
          <w:sz w:val="24"/>
          <w:szCs w:val="24"/>
          <w:lang w:val="es-ES" w:eastAsia="es-ES"/>
        </w:rPr>
        <w:t>Chiquete</w:t>
      </w:r>
      <w:proofErr w:type="spellEnd"/>
      <w:r w:rsidRPr="00495A0D">
        <w:rPr>
          <w:rFonts w:ascii="Times New Roman" w:hAnsi="Times New Roman"/>
          <w:sz w:val="24"/>
          <w:szCs w:val="24"/>
          <w:lang w:val="es-ES" w:eastAsia="es-ES"/>
        </w:rPr>
        <w:t xml:space="preserve">, E., </w:t>
      </w:r>
      <w:r w:rsidR="00F57C33" w:rsidRPr="00495A0D">
        <w:rPr>
          <w:rFonts w:ascii="Times New Roman" w:hAnsi="Times New Roman"/>
          <w:sz w:val="24"/>
          <w:szCs w:val="24"/>
          <w:lang w:val="es-ES" w:eastAsia="es-ES"/>
        </w:rPr>
        <w:t xml:space="preserve">Duarte Vega, M., Rubio Guerra, M., Herrera </w:t>
      </w:r>
      <w:r w:rsidR="00C372C0" w:rsidRPr="00495A0D">
        <w:rPr>
          <w:rFonts w:ascii="Times New Roman" w:hAnsi="Times New Roman"/>
          <w:sz w:val="24"/>
          <w:szCs w:val="24"/>
          <w:lang w:val="es-ES" w:eastAsia="es-ES"/>
        </w:rPr>
        <w:t xml:space="preserve"> </w:t>
      </w:r>
      <w:r w:rsidR="00E075EE" w:rsidRPr="00495A0D">
        <w:rPr>
          <w:rFonts w:ascii="Times New Roman" w:hAnsi="Times New Roman"/>
          <w:sz w:val="24"/>
          <w:szCs w:val="24"/>
          <w:lang w:val="es-ES" w:eastAsia="es-ES"/>
        </w:rPr>
        <w:t xml:space="preserve">Cornejo, M. </w:t>
      </w:r>
      <w:r w:rsidR="00A20E43" w:rsidRPr="00495A0D">
        <w:rPr>
          <w:rFonts w:ascii="Times New Roman" w:hAnsi="Times New Roman"/>
          <w:sz w:val="24"/>
          <w:szCs w:val="24"/>
          <w:lang w:val="es-ES" w:eastAsia="es-ES"/>
        </w:rPr>
        <w:t xml:space="preserve">y </w:t>
      </w:r>
      <w:proofErr w:type="spellStart"/>
      <w:r w:rsidR="00E075EE" w:rsidRPr="00495A0D">
        <w:rPr>
          <w:rFonts w:ascii="Times New Roman" w:hAnsi="Times New Roman"/>
          <w:sz w:val="24"/>
          <w:szCs w:val="24"/>
          <w:lang w:val="es-ES" w:eastAsia="es-ES"/>
        </w:rPr>
        <w:t>Nettel</w:t>
      </w:r>
      <w:proofErr w:type="spellEnd"/>
      <w:r w:rsidR="00E075EE" w:rsidRPr="00495A0D">
        <w:rPr>
          <w:rFonts w:ascii="Times New Roman" w:hAnsi="Times New Roman"/>
          <w:sz w:val="24"/>
          <w:szCs w:val="24"/>
          <w:lang w:val="es-ES" w:eastAsia="es-ES"/>
        </w:rPr>
        <w:t xml:space="preserve"> García, J. (2011). Estudio multicéntrico INDAGA. Índice tobillo-brazo anormal en población mexicana con riesgo vascular. </w:t>
      </w:r>
      <w:r w:rsidR="00E075EE" w:rsidRPr="00495A0D">
        <w:rPr>
          <w:rFonts w:ascii="Times New Roman" w:hAnsi="Times New Roman"/>
          <w:i/>
          <w:sz w:val="24"/>
          <w:szCs w:val="24"/>
          <w:lang w:val="es-ES" w:eastAsia="es-ES"/>
        </w:rPr>
        <w:t>Revista Médica del Instituto Mexicano del Seguro Social</w:t>
      </w:r>
      <w:r w:rsidR="004242C9" w:rsidRPr="00495A0D">
        <w:rPr>
          <w:rFonts w:ascii="Times New Roman" w:hAnsi="Times New Roman"/>
          <w:sz w:val="24"/>
          <w:szCs w:val="24"/>
          <w:lang w:val="es-ES" w:eastAsia="es-ES"/>
        </w:rPr>
        <w:t>,</w:t>
      </w:r>
      <w:r w:rsidR="00E075EE" w:rsidRPr="00495A0D">
        <w:rPr>
          <w:rFonts w:ascii="Times New Roman" w:hAnsi="Times New Roman"/>
          <w:i/>
          <w:sz w:val="24"/>
          <w:szCs w:val="24"/>
          <w:lang w:val="es-ES" w:eastAsia="es-ES"/>
        </w:rPr>
        <w:t xml:space="preserve"> 49</w:t>
      </w:r>
      <w:r w:rsidR="00E075EE" w:rsidRPr="00495A0D">
        <w:rPr>
          <w:rFonts w:ascii="Times New Roman" w:hAnsi="Times New Roman"/>
          <w:sz w:val="24"/>
          <w:szCs w:val="24"/>
          <w:lang w:val="es-ES" w:eastAsia="es-ES"/>
        </w:rPr>
        <w:t>(3</w:t>
      </w:r>
      <w:r w:rsidR="002124BB" w:rsidRPr="00495A0D">
        <w:rPr>
          <w:rFonts w:ascii="Times New Roman" w:hAnsi="Times New Roman"/>
          <w:sz w:val="24"/>
          <w:szCs w:val="24"/>
          <w:lang w:val="es-ES" w:eastAsia="es-ES"/>
        </w:rPr>
        <w:t xml:space="preserve">), </w:t>
      </w:r>
      <w:r w:rsidR="00E075EE" w:rsidRPr="00495A0D">
        <w:rPr>
          <w:rFonts w:ascii="Times New Roman" w:hAnsi="Times New Roman"/>
          <w:sz w:val="24"/>
          <w:szCs w:val="24"/>
          <w:lang w:val="es-ES" w:eastAsia="es-ES"/>
        </w:rPr>
        <w:t>239-246.</w:t>
      </w:r>
      <w:r w:rsidR="00A73130" w:rsidRPr="00495A0D">
        <w:rPr>
          <w:rFonts w:ascii="Times New Roman" w:hAnsi="Times New Roman"/>
          <w:sz w:val="24"/>
          <w:szCs w:val="24"/>
          <w:lang w:val="es-ES" w:eastAsia="es-ES"/>
        </w:rPr>
        <w:t xml:space="preserve"> Recuperado de</w:t>
      </w:r>
      <w:r w:rsidR="002124BB" w:rsidRPr="00495A0D">
        <w:rPr>
          <w:rFonts w:ascii="Times New Roman" w:hAnsi="Times New Roman"/>
          <w:sz w:val="24"/>
          <w:szCs w:val="24"/>
          <w:lang w:val="es-ES" w:eastAsia="es-ES"/>
        </w:rPr>
        <w:t xml:space="preserve"> </w:t>
      </w:r>
      <w:hyperlink r:id="rId13" w:history="1">
        <w:r w:rsidR="002124BB" w:rsidRPr="00495A0D">
          <w:rPr>
            <w:rStyle w:val="Hipervnculo"/>
            <w:rFonts w:ascii="Times New Roman" w:hAnsi="Times New Roman"/>
            <w:sz w:val="24"/>
            <w:szCs w:val="24"/>
            <w:lang w:val="es-ES" w:eastAsia="es-ES"/>
          </w:rPr>
          <w:t>http://new.medigraphic.com/cgibin/resumen.cgi?IDARTICULO=38657</w:t>
        </w:r>
      </w:hyperlink>
    </w:p>
    <w:p w14:paraId="2E089825" w14:textId="3B61CFB7" w:rsidR="000F4890" w:rsidRPr="00495A0D" w:rsidRDefault="00B0235B" w:rsidP="00495A0D">
      <w:pPr>
        <w:spacing w:after="0" w:line="360" w:lineRule="auto"/>
        <w:ind w:left="567" w:hanging="567"/>
        <w:jc w:val="both"/>
        <w:rPr>
          <w:rFonts w:ascii="Times New Roman" w:hAnsi="Times New Roman"/>
          <w:sz w:val="24"/>
          <w:szCs w:val="24"/>
        </w:rPr>
      </w:pPr>
      <w:r w:rsidRPr="00495A0D">
        <w:rPr>
          <w:rFonts w:ascii="Times New Roman" w:hAnsi="Times New Roman"/>
          <w:sz w:val="24"/>
          <w:szCs w:val="24"/>
        </w:rPr>
        <w:t>Cedeño Mora, S., Goicochea, M., Torres, E., Verdalles, U., Pérez de José,</w:t>
      </w:r>
      <w:r w:rsidR="007C5A50" w:rsidRPr="00495A0D">
        <w:rPr>
          <w:rFonts w:ascii="Times New Roman" w:hAnsi="Times New Roman"/>
          <w:sz w:val="24"/>
          <w:szCs w:val="24"/>
        </w:rPr>
        <w:t xml:space="preserve"> </w:t>
      </w:r>
      <w:r w:rsidRPr="00495A0D">
        <w:rPr>
          <w:rFonts w:ascii="Times New Roman" w:hAnsi="Times New Roman"/>
          <w:sz w:val="24"/>
          <w:szCs w:val="24"/>
        </w:rPr>
        <w:t xml:space="preserve">A., Verde, E., García de Vinuesa, S. </w:t>
      </w:r>
      <w:r w:rsidR="007C5A50" w:rsidRPr="00495A0D">
        <w:rPr>
          <w:rFonts w:ascii="Times New Roman" w:hAnsi="Times New Roman"/>
          <w:sz w:val="24"/>
          <w:szCs w:val="24"/>
        </w:rPr>
        <w:t xml:space="preserve">y </w:t>
      </w:r>
      <w:r w:rsidRPr="00495A0D">
        <w:rPr>
          <w:rFonts w:ascii="Times New Roman" w:hAnsi="Times New Roman"/>
          <w:sz w:val="24"/>
          <w:szCs w:val="24"/>
        </w:rPr>
        <w:t>Luño, J. (2017). Predicción del riesgo cardiovascular en pacientes con enfermedad renal crónica.</w:t>
      </w:r>
      <w:r w:rsidR="000F4890" w:rsidRPr="00495A0D">
        <w:rPr>
          <w:rFonts w:ascii="Times New Roman" w:hAnsi="Times New Roman"/>
          <w:sz w:val="24"/>
          <w:szCs w:val="24"/>
        </w:rPr>
        <w:t xml:space="preserve"> </w:t>
      </w:r>
      <w:r w:rsidR="000F4890" w:rsidRPr="00495A0D">
        <w:rPr>
          <w:rFonts w:ascii="Times New Roman" w:hAnsi="Times New Roman"/>
          <w:i/>
          <w:sz w:val="24"/>
          <w:szCs w:val="24"/>
        </w:rPr>
        <w:t xml:space="preserve">Nefrología, </w:t>
      </w:r>
      <w:r w:rsidR="000F4890" w:rsidRPr="00495A0D">
        <w:rPr>
          <w:rFonts w:ascii="Times New Roman" w:hAnsi="Times New Roman"/>
          <w:bCs/>
          <w:i/>
          <w:sz w:val="24"/>
          <w:szCs w:val="24"/>
        </w:rPr>
        <w:t>37</w:t>
      </w:r>
      <w:r w:rsidR="000F4890" w:rsidRPr="00495A0D">
        <w:rPr>
          <w:rFonts w:ascii="Times New Roman" w:hAnsi="Times New Roman"/>
          <w:bCs/>
          <w:sz w:val="24"/>
          <w:szCs w:val="24"/>
        </w:rPr>
        <w:t>(3</w:t>
      </w:r>
      <w:r w:rsidR="007C5A50" w:rsidRPr="00495A0D">
        <w:rPr>
          <w:rFonts w:ascii="Times New Roman" w:hAnsi="Times New Roman"/>
          <w:bCs/>
          <w:sz w:val="24"/>
          <w:szCs w:val="24"/>
        </w:rPr>
        <w:t>)</w:t>
      </w:r>
      <w:r w:rsidR="007C5A50" w:rsidRPr="00495A0D">
        <w:rPr>
          <w:rFonts w:ascii="Times New Roman" w:hAnsi="Times New Roman"/>
          <w:sz w:val="24"/>
          <w:szCs w:val="24"/>
        </w:rPr>
        <w:t xml:space="preserve">, </w:t>
      </w:r>
      <w:r w:rsidR="000F4890" w:rsidRPr="00495A0D">
        <w:rPr>
          <w:rFonts w:ascii="Times New Roman" w:hAnsi="Times New Roman"/>
          <w:sz w:val="24"/>
          <w:szCs w:val="24"/>
        </w:rPr>
        <w:t xml:space="preserve">293–300. </w:t>
      </w:r>
      <w:r w:rsidR="00A96132" w:rsidRPr="00495A0D">
        <w:rPr>
          <w:rFonts w:ascii="Times New Roman" w:hAnsi="Times New Roman"/>
          <w:sz w:val="24"/>
          <w:szCs w:val="24"/>
        </w:rPr>
        <w:t>doi</w:t>
      </w:r>
      <w:r w:rsidR="000F4890" w:rsidRPr="00495A0D">
        <w:rPr>
          <w:rFonts w:ascii="Times New Roman" w:hAnsi="Times New Roman"/>
          <w:sz w:val="24"/>
          <w:szCs w:val="24"/>
        </w:rPr>
        <w:t xml:space="preserve">: </w:t>
      </w:r>
      <w:hyperlink r:id="rId14" w:history="1">
        <w:r w:rsidR="000F4890" w:rsidRPr="00495A0D">
          <w:rPr>
            <w:rStyle w:val="Hipervnculo"/>
            <w:rFonts w:ascii="Times New Roman" w:hAnsi="Times New Roman"/>
            <w:sz w:val="24"/>
            <w:szCs w:val="24"/>
          </w:rPr>
          <w:t>https://doi.org/10.1016/j.nefroe.2017.03.005</w:t>
        </w:r>
      </w:hyperlink>
      <w:r w:rsidR="000F4890" w:rsidRPr="00495A0D">
        <w:rPr>
          <w:rFonts w:ascii="Times New Roman" w:hAnsi="Times New Roman"/>
          <w:sz w:val="24"/>
          <w:szCs w:val="24"/>
        </w:rPr>
        <w:t xml:space="preserve"> </w:t>
      </w:r>
    </w:p>
    <w:p w14:paraId="1966FE36" w14:textId="6A2A95B6" w:rsidR="00441A90" w:rsidRPr="00495A0D" w:rsidRDefault="00441A90" w:rsidP="00495A0D">
      <w:pPr>
        <w:pStyle w:val="Prrafodelista"/>
        <w:spacing w:after="0" w:line="360" w:lineRule="auto"/>
        <w:ind w:left="567" w:hanging="567"/>
        <w:jc w:val="both"/>
        <w:rPr>
          <w:rFonts w:ascii="Times New Roman" w:hAnsi="Times New Roman"/>
          <w:sz w:val="24"/>
          <w:szCs w:val="24"/>
        </w:rPr>
      </w:pPr>
      <w:r w:rsidRPr="00495A0D">
        <w:rPr>
          <w:rFonts w:ascii="Times New Roman" w:hAnsi="Times New Roman"/>
          <w:sz w:val="24"/>
          <w:szCs w:val="24"/>
        </w:rPr>
        <w:t xml:space="preserve">Escobedo de la Peña, J., </w:t>
      </w:r>
      <w:r w:rsidR="007C5A50" w:rsidRPr="00495A0D">
        <w:rPr>
          <w:rFonts w:ascii="Times New Roman" w:hAnsi="Times New Roman"/>
          <w:sz w:val="24"/>
          <w:szCs w:val="24"/>
        </w:rPr>
        <w:t xml:space="preserve">de Jesús </w:t>
      </w:r>
      <w:r w:rsidRPr="00495A0D">
        <w:rPr>
          <w:rFonts w:ascii="Times New Roman" w:hAnsi="Times New Roman"/>
          <w:sz w:val="24"/>
          <w:szCs w:val="24"/>
        </w:rPr>
        <w:t>Pérez, R., Schargrodsky, H.</w:t>
      </w:r>
      <w:r w:rsidR="007C5A50" w:rsidRPr="00495A0D">
        <w:rPr>
          <w:rFonts w:ascii="Times New Roman" w:hAnsi="Times New Roman"/>
          <w:sz w:val="24"/>
          <w:szCs w:val="24"/>
        </w:rPr>
        <w:t xml:space="preserve"> y</w:t>
      </w:r>
      <w:r w:rsidRPr="00495A0D">
        <w:rPr>
          <w:rFonts w:ascii="Times New Roman" w:hAnsi="Times New Roman"/>
          <w:sz w:val="24"/>
          <w:szCs w:val="24"/>
        </w:rPr>
        <w:t xml:space="preserve"> Champagne, B. (2014). Prevalencia de dislipidemias en la Ciudad de México y su asociación con otros factores de riesgo cardiovascular. Resultados del estudio CARMELA. </w:t>
      </w:r>
      <w:r w:rsidRPr="00495A0D">
        <w:rPr>
          <w:rFonts w:ascii="Times New Roman" w:hAnsi="Times New Roman"/>
          <w:i/>
          <w:sz w:val="24"/>
          <w:szCs w:val="24"/>
        </w:rPr>
        <w:t>Gaceta Médica de México, 150</w:t>
      </w:r>
      <w:r w:rsidR="007C5A50" w:rsidRPr="00495A0D">
        <w:rPr>
          <w:rFonts w:ascii="Times New Roman" w:hAnsi="Times New Roman"/>
          <w:sz w:val="24"/>
          <w:szCs w:val="24"/>
        </w:rPr>
        <w:t xml:space="preserve">, </w:t>
      </w:r>
      <w:r w:rsidRPr="00495A0D">
        <w:rPr>
          <w:rFonts w:ascii="Times New Roman" w:hAnsi="Times New Roman"/>
          <w:sz w:val="24"/>
          <w:szCs w:val="24"/>
        </w:rPr>
        <w:t>128-136.</w:t>
      </w:r>
    </w:p>
    <w:p w14:paraId="7390B26C" w14:textId="77777777" w:rsidR="007C5A50" w:rsidRPr="00495A0D" w:rsidRDefault="007C5A50" w:rsidP="00495A0D">
      <w:pPr>
        <w:pStyle w:val="Prrafodelista"/>
        <w:spacing w:after="0" w:line="360" w:lineRule="auto"/>
        <w:ind w:left="567" w:hanging="567"/>
        <w:jc w:val="both"/>
        <w:rPr>
          <w:rFonts w:ascii="Times New Roman" w:hAnsi="Times New Roman"/>
          <w:sz w:val="24"/>
          <w:szCs w:val="24"/>
        </w:rPr>
      </w:pPr>
      <w:r w:rsidRPr="00495A0D">
        <w:rPr>
          <w:rFonts w:ascii="Times New Roman" w:hAnsi="Times New Roman"/>
          <w:sz w:val="24"/>
          <w:szCs w:val="24"/>
          <w:lang w:val="es-ES" w:eastAsia="es-ES"/>
        </w:rPr>
        <w:lastRenderedPageBreak/>
        <w:t xml:space="preserve">Framingham Heart </w:t>
      </w:r>
      <w:proofErr w:type="spellStart"/>
      <w:r w:rsidRPr="00495A0D">
        <w:rPr>
          <w:rFonts w:ascii="Times New Roman" w:hAnsi="Times New Roman"/>
          <w:sz w:val="24"/>
          <w:szCs w:val="24"/>
          <w:lang w:val="es-ES" w:eastAsia="es-ES"/>
        </w:rPr>
        <w:t>Study</w:t>
      </w:r>
      <w:proofErr w:type="spellEnd"/>
      <w:r w:rsidRPr="00495A0D">
        <w:rPr>
          <w:rFonts w:ascii="Times New Roman" w:hAnsi="Times New Roman"/>
          <w:sz w:val="24"/>
          <w:szCs w:val="24"/>
          <w:lang w:val="es-ES" w:eastAsia="es-ES"/>
        </w:rPr>
        <w:t xml:space="preserve">. (2016). </w:t>
      </w:r>
      <w:r w:rsidRPr="00495A0D">
        <w:rPr>
          <w:rFonts w:ascii="Times New Roman" w:hAnsi="Times New Roman"/>
          <w:i/>
          <w:sz w:val="24"/>
          <w:szCs w:val="24"/>
          <w:lang w:val="es-ES" w:eastAsia="es-ES"/>
        </w:rPr>
        <w:t xml:space="preserve">Cardiovascular </w:t>
      </w:r>
      <w:proofErr w:type="spellStart"/>
      <w:r w:rsidRPr="00495A0D">
        <w:rPr>
          <w:rFonts w:ascii="Times New Roman" w:hAnsi="Times New Roman"/>
          <w:i/>
          <w:sz w:val="24"/>
          <w:szCs w:val="24"/>
          <w:lang w:val="es-ES" w:eastAsia="es-ES"/>
        </w:rPr>
        <w:t>Disease</w:t>
      </w:r>
      <w:proofErr w:type="spellEnd"/>
      <w:r w:rsidRPr="00495A0D">
        <w:rPr>
          <w:rFonts w:ascii="Times New Roman" w:hAnsi="Times New Roman"/>
          <w:i/>
          <w:sz w:val="24"/>
          <w:szCs w:val="24"/>
          <w:lang w:val="es-ES" w:eastAsia="es-ES"/>
        </w:rPr>
        <w:t xml:space="preserve"> </w:t>
      </w:r>
      <w:proofErr w:type="spellStart"/>
      <w:r w:rsidRPr="00495A0D">
        <w:rPr>
          <w:rFonts w:ascii="Times New Roman" w:hAnsi="Times New Roman"/>
          <w:i/>
          <w:sz w:val="24"/>
          <w:szCs w:val="24"/>
          <w:lang w:val="es-ES" w:eastAsia="es-ES"/>
        </w:rPr>
        <w:t>Risk</w:t>
      </w:r>
      <w:proofErr w:type="spellEnd"/>
      <w:r w:rsidRPr="00495A0D">
        <w:rPr>
          <w:rFonts w:ascii="Times New Roman" w:hAnsi="Times New Roman"/>
          <w:i/>
          <w:sz w:val="24"/>
          <w:szCs w:val="24"/>
          <w:lang w:val="es-ES" w:eastAsia="es-ES"/>
        </w:rPr>
        <w:t>.</w:t>
      </w:r>
      <w:r w:rsidRPr="00495A0D">
        <w:rPr>
          <w:rFonts w:ascii="Times New Roman" w:hAnsi="Times New Roman"/>
          <w:sz w:val="24"/>
          <w:szCs w:val="24"/>
          <w:lang w:val="es-ES" w:eastAsia="es-ES"/>
        </w:rPr>
        <w:t xml:space="preserve"> Recuperado de </w:t>
      </w:r>
      <w:hyperlink r:id="rId15" w:history="1">
        <w:r w:rsidRPr="00495A0D">
          <w:rPr>
            <w:rStyle w:val="Hipervnculo"/>
            <w:rFonts w:ascii="Times New Roman" w:hAnsi="Times New Roman"/>
            <w:sz w:val="24"/>
            <w:szCs w:val="24"/>
          </w:rPr>
          <w:t>https://www.framinghamheartstudy.org/risk-functions/cardiovascular-disease/general-cvd-risk-prediction-using-bmi.php</w:t>
        </w:r>
      </w:hyperlink>
      <w:r w:rsidRPr="00495A0D">
        <w:rPr>
          <w:rFonts w:ascii="Times New Roman" w:hAnsi="Times New Roman"/>
          <w:sz w:val="24"/>
          <w:szCs w:val="24"/>
        </w:rPr>
        <w:t xml:space="preserve">. </w:t>
      </w:r>
    </w:p>
    <w:p w14:paraId="1404A73D" w14:textId="0FED8D39" w:rsidR="00725B80" w:rsidRPr="00EE1BD6" w:rsidRDefault="00725B80" w:rsidP="00495A0D">
      <w:pPr>
        <w:pStyle w:val="Prrafodelista"/>
        <w:spacing w:after="0" w:line="360" w:lineRule="auto"/>
        <w:ind w:left="567" w:hanging="567"/>
        <w:jc w:val="both"/>
        <w:rPr>
          <w:rFonts w:ascii="Times New Roman" w:hAnsi="Times New Roman"/>
          <w:color w:val="333333"/>
          <w:sz w:val="24"/>
          <w:szCs w:val="24"/>
          <w:lang w:val="en-US"/>
        </w:rPr>
      </w:pPr>
      <w:r w:rsidRPr="00495A0D">
        <w:rPr>
          <w:rFonts w:ascii="Times New Roman" w:hAnsi="Times New Roman"/>
          <w:sz w:val="24"/>
          <w:szCs w:val="24"/>
        </w:rPr>
        <w:t>Guisado Rasco, A., Cristobo Sáinz, P.</w:t>
      </w:r>
      <w:r w:rsidR="007C5A50" w:rsidRPr="00495A0D">
        <w:rPr>
          <w:rFonts w:ascii="Times New Roman" w:hAnsi="Times New Roman"/>
          <w:sz w:val="24"/>
          <w:szCs w:val="24"/>
        </w:rPr>
        <w:t xml:space="preserve"> y</w:t>
      </w:r>
      <w:r w:rsidRPr="00495A0D">
        <w:rPr>
          <w:rFonts w:ascii="Times New Roman" w:hAnsi="Times New Roman"/>
          <w:sz w:val="24"/>
          <w:szCs w:val="24"/>
        </w:rPr>
        <w:t xml:space="preserve"> Barón Esquivias, G. (2012).</w:t>
      </w:r>
      <w:r w:rsidR="007C5A50" w:rsidRPr="00495A0D">
        <w:rPr>
          <w:rFonts w:ascii="Times New Roman" w:hAnsi="Times New Roman"/>
          <w:sz w:val="24"/>
          <w:szCs w:val="24"/>
        </w:rPr>
        <w:t xml:space="preserve"> </w:t>
      </w:r>
      <w:r w:rsidR="00A24409" w:rsidRPr="00495A0D">
        <w:rPr>
          <w:rFonts w:ascii="Times New Roman" w:hAnsi="Times New Roman"/>
          <w:sz w:val="24"/>
          <w:szCs w:val="24"/>
        </w:rPr>
        <w:t>¿</w:t>
      </w:r>
      <w:r w:rsidR="000C1F90" w:rsidRPr="00495A0D">
        <w:rPr>
          <w:rFonts w:ascii="Times New Roman" w:hAnsi="Times New Roman"/>
          <w:sz w:val="24"/>
          <w:szCs w:val="24"/>
        </w:rPr>
        <w:t xml:space="preserve">Cuáles son las diferencias entre las funciones para la evaluación del riesgo </w:t>
      </w:r>
      <w:r w:rsidR="00A24409" w:rsidRPr="00495A0D">
        <w:rPr>
          <w:rFonts w:ascii="Times New Roman" w:hAnsi="Times New Roman"/>
          <w:sz w:val="24"/>
          <w:szCs w:val="24"/>
        </w:rPr>
        <w:t>cardiovascular?</w:t>
      </w:r>
      <w:r w:rsidR="000C1F90" w:rsidRPr="00495A0D">
        <w:rPr>
          <w:rFonts w:ascii="Times New Roman" w:hAnsi="Times New Roman"/>
          <w:sz w:val="24"/>
          <w:szCs w:val="24"/>
        </w:rPr>
        <w:t xml:space="preserve"> </w:t>
      </w:r>
      <w:r w:rsidR="000C1F90" w:rsidRPr="00EE1BD6">
        <w:rPr>
          <w:rFonts w:ascii="Times New Roman" w:hAnsi="Times New Roman"/>
          <w:i/>
          <w:sz w:val="24"/>
          <w:szCs w:val="24"/>
          <w:lang w:val="en-US"/>
        </w:rPr>
        <w:t>Cardiocore,</w:t>
      </w:r>
      <w:r w:rsidR="007C5A50" w:rsidRPr="00EE1BD6" w:rsidDel="007C5A50">
        <w:rPr>
          <w:rFonts w:ascii="Times New Roman" w:hAnsi="Times New Roman"/>
          <w:color w:val="333333"/>
          <w:sz w:val="24"/>
          <w:szCs w:val="24"/>
          <w:lang w:val="en-US"/>
        </w:rPr>
        <w:t xml:space="preserve"> </w:t>
      </w:r>
      <w:r w:rsidR="000C1F90" w:rsidRPr="00EE1BD6">
        <w:rPr>
          <w:rFonts w:ascii="Times New Roman" w:hAnsi="Times New Roman"/>
          <w:i/>
          <w:color w:val="333333"/>
          <w:sz w:val="24"/>
          <w:szCs w:val="24"/>
          <w:lang w:val="en-US"/>
        </w:rPr>
        <w:t>47</w:t>
      </w:r>
      <w:r w:rsidR="007C5A50" w:rsidRPr="00EE1BD6">
        <w:rPr>
          <w:rFonts w:ascii="Times New Roman" w:hAnsi="Times New Roman"/>
          <w:color w:val="333333"/>
          <w:sz w:val="24"/>
          <w:szCs w:val="24"/>
          <w:lang w:val="en-US"/>
        </w:rPr>
        <w:t>(1),</w:t>
      </w:r>
      <w:r w:rsidR="000C1F90" w:rsidRPr="00EE1BD6">
        <w:rPr>
          <w:rFonts w:ascii="Times New Roman" w:hAnsi="Times New Roman"/>
          <w:color w:val="333333"/>
          <w:sz w:val="24"/>
          <w:szCs w:val="24"/>
          <w:lang w:val="en-US"/>
        </w:rPr>
        <w:t>12-5</w:t>
      </w:r>
      <w:r w:rsidR="00A24409" w:rsidRPr="00EE1BD6">
        <w:rPr>
          <w:rFonts w:ascii="Times New Roman" w:hAnsi="Times New Roman"/>
          <w:color w:val="333333"/>
          <w:sz w:val="24"/>
          <w:szCs w:val="24"/>
          <w:lang w:val="en-US"/>
        </w:rPr>
        <w:t>.</w:t>
      </w:r>
      <w:r w:rsidR="000C1F90" w:rsidRPr="00EE1BD6">
        <w:rPr>
          <w:rFonts w:ascii="Times New Roman" w:hAnsi="Times New Roman"/>
          <w:color w:val="333333"/>
          <w:sz w:val="24"/>
          <w:szCs w:val="24"/>
          <w:lang w:val="en-US"/>
        </w:rPr>
        <w:t xml:space="preserve"> </w:t>
      </w:r>
      <w:r w:rsidR="00262EB4" w:rsidRPr="00EE1BD6">
        <w:rPr>
          <w:rFonts w:ascii="Times New Roman" w:hAnsi="Times New Roman"/>
          <w:color w:val="333333"/>
          <w:sz w:val="24"/>
          <w:szCs w:val="24"/>
          <w:lang w:val="en-US"/>
        </w:rPr>
        <w:t>doi</w:t>
      </w:r>
      <w:r w:rsidR="000C1F90" w:rsidRPr="00EE1BD6">
        <w:rPr>
          <w:rFonts w:ascii="Times New Roman" w:hAnsi="Times New Roman"/>
          <w:color w:val="333333"/>
          <w:sz w:val="24"/>
          <w:szCs w:val="24"/>
          <w:lang w:val="en-US"/>
        </w:rPr>
        <w:t xml:space="preserve">: 10.1016/j.carcor.2011.11.003 </w:t>
      </w:r>
    </w:p>
    <w:p w14:paraId="26CD0DD0" w14:textId="762052BA" w:rsidR="00FF74A3" w:rsidRPr="00EE1BD6" w:rsidRDefault="00FF74A3" w:rsidP="00495A0D">
      <w:pPr>
        <w:pStyle w:val="Prrafodelista"/>
        <w:spacing w:after="0" w:line="360" w:lineRule="auto"/>
        <w:ind w:left="567" w:hanging="567"/>
        <w:jc w:val="both"/>
        <w:rPr>
          <w:rFonts w:ascii="Times New Roman" w:hAnsi="Times New Roman"/>
          <w:sz w:val="24"/>
          <w:szCs w:val="24"/>
          <w:lang w:val="en-US" w:eastAsia="es-ES"/>
        </w:rPr>
      </w:pPr>
      <w:proofErr w:type="spellStart"/>
      <w:r w:rsidRPr="00EE1BD6">
        <w:rPr>
          <w:rFonts w:ascii="Times New Roman" w:hAnsi="Times New Roman"/>
          <w:sz w:val="24"/>
          <w:szCs w:val="24"/>
          <w:lang w:val="en-US" w:eastAsia="es-ES"/>
        </w:rPr>
        <w:t>Hippisley</w:t>
      </w:r>
      <w:proofErr w:type="spellEnd"/>
      <w:r w:rsidRPr="00EE1BD6">
        <w:rPr>
          <w:rFonts w:ascii="Times New Roman" w:hAnsi="Times New Roman"/>
          <w:sz w:val="24"/>
          <w:szCs w:val="24"/>
          <w:lang w:val="en-US" w:eastAsia="es-ES"/>
        </w:rPr>
        <w:t xml:space="preserve"> Cox, J.,</w:t>
      </w:r>
      <w:r w:rsidR="007C5A50" w:rsidRPr="00EE1BD6">
        <w:rPr>
          <w:rFonts w:ascii="Times New Roman" w:hAnsi="Times New Roman"/>
          <w:sz w:val="24"/>
          <w:szCs w:val="24"/>
          <w:lang w:val="en-US" w:eastAsia="es-ES"/>
        </w:rPr>
        <w:t xml:space="preserve"> </w:t>
      </w:r>
      <w:r w:rsidRPr="00EE1BD6">
        <w:rPr>
          <w:rFonts w:ascii="Times New Roman" w:hAnsi="Times New Roman"/>
          <w:sz w:val="24"/>
          <w:szCs w:val="24"/>
          <w:lang w:val="en-US" w:eastAsia="es-ES"/>
        </w:rPr>
        <w:t xml:space="preserve">Coupland, C., </w:t>
      </w:r>
      <w:proofErr w:type="spellStart"/>
      <w:r w:rsidRPr="00EE1BD6">
        <w:rPr>
          <w:rFonts w:ascii="Times New Roman" w:hAnsi="Times New Roman"/>
          <w:sz w:val="24"/>
          <w:szCs w:val="24"/>
          <w:lang w:val="en-US" w:eastAsia="es-ES"/>
        </w:rPr>
        <w:t>Vinogradova</w:t>
      </w:r>
      <w:proofErr w:type="spellEnd"/>
      <w:r w:rsidRPr="00EE1BD6">
        <w:rPr>
          <w:rFonts w:ascii="Times New Roman" w:hAnsi="Times New Roman"/>
          <w:sz w:val="24"/>
          <w:szCs w:val="24"/>
          <w:lang w:val="en-US" w:eastAsia="es-ES"/>
        </w:rPr>
        <w:t>, Y., Robson, J., Minhas, R., Sheikh, A.</w:t>
      </w:r>
      <w:r w:rsidR="007C5A50" w:rsidRPr="00EE1BD6">
        <w:rPr>
          <w:rFonts w:ascii="Times New Roman" w:hAnsi="Times New Roman"/>
          <w:sz w:val="24"/>
          <w:szCs w:val="24"/>
          <w:lang w:val="en-US" w:eastAsia="es-ES"/>
        </w:rPr>
        <w:t>,</w:t>
      </w:r>
      <w:r w:rsidRPr="00EE1BD6">
        <w:rPr>
          <w:rFonts w:ascii="Times New Roman" w:hAnsi="Times New Roman"/>
          <w:sz w:val="24"/>
          <w:szCs w:val="24"/>
          <w:lang w:val="en-US" w:eastAsia="es-ES"/>
        </w:rPr>
        <w:t xml:space="preserve"> </w:t>
      </w:r>
      <w:r w:rsidR="007C5A50" w:rsidRPr="00EE1BD6">
        <w:rPr>
          <w:rFonts w:ascii="Times New Roman" w:hAnsi="Times New Roman"/>
          <w:sz w:val="24"/>
          <w:szCs w:val="24"/>
          <w:lang w:val="en-US" w:eastAsia="es-ES"/>
        </w:rPr>
        <w:t>and</w:t>
      </w:r>
      <w:r w:rsidRPr="00EE1BD6">
        <w:rPr>
          <w:rFonts w:ascii="Times New Roman" w:hAnsi="Times New Roman"/>
          <w:sz w:val="24"/>
          <w:szCs w:val="24"/>
          <w:lang w:val="en-US" w:eastAsia="es-ES"/>
        </w:rPr>
        <w:t xml:space="preserve"> Brindle, P. (2008). Predicting cardiovascular Risk in England and wales: Prospective derivation and validation of QRISK2. </w:t>
      </w:r>
      <w:r w:rsidRPr="00EE1BD6">
        <w:rPr>
          <w:rFonts w:ascii="Times New Roman" w:hAnsi="Times New Roman"/>
          <w:i/>
          <w:sz w:val="24"/>
          <w:szCs w:val="24"/>
          <w:lang w:val="en-US" w:eastAsia="es-ES"/>
        </w:rPr>
        <w:t>BMJ</w:t>
      </w:r>
      <w:r w:rsidR="007C5A50" w:rsidRPr="00EE1BD6">
        <w:rPr>
          <w:rFonts w:ascii="Times New Roman" w:hAnsi="Times New Roman"/>
          <w:i/>
          <w:sz w:val="24"/>
          <w:szCs w:val="24"/>
          <w:lang w:val="en-US" w:eastAsia="es-ES"/>
        </w:rPr>
        <w:t>,</w:t>
      </w:r>
      <w:r w:rsidRPr="00EE1BD6">
        <w:rPr>
          <w:rFonts w:ascii="Times New Roman" w:hAnsi="Times New Roman"/>
          <w:i/>
          <w:sz w:val="24"/>
          <w:szCs w:val="24"/>
          <w:lang w:val="en-US" w:eastAsia="es-ES"/>
        </w:rPr>
        <w:t xml:space="preserve"> </w:t>
      </w:r>
      <w:r w:rsidRPr="00EE1BD6">
        <w:rPr>
          <w:rFonts w:ascii="Times New Roman" w:hAnsi="Times New Roman"/>
          <w:sz w:val="24"/>
          <w:szCs w:val="24"/>
          <w:lang w:val="en-US" w:eastAsia="es-ES"/>
        </w:rPr>
        <w:t xml:space="preserve">336-332. </w:t>
      </w:r>
      <w:proofErr w:type="spellStart"/>
      <w:r w:rsidRPr="00EE1BD6">
        <w:rPr>
          <w:rFonts w:ascii="Times New Roman" w:hAnsi="Times New Roman"/>
          <w:sz w:val="24"/>
          <w:szCs w:val="24"/>
          <w:lang w:val="en-US" w:eastAsia="es-ES"/>
        </w:rPr>
        <w:t>doi</w:t>
      </w:r>
      <w:proofErr w:type="spellEnd"/>
      <w:r w:rsidRPr="00EE1BD6">
        <w:rPr>
          <w:rFonts w:ascii="Times New Roman" w:hAnsi="Times New Roman"/>
          <w:sz w:val="24"/>
          <w:szCs w:val="24"/>
          <w:lang w:val="en-US" w:eastAsia="es-ES"/>
        </w:rPr>
        <w:t xml:space="preserve">: </w:t>
      </w:r>
      <w:hyperlink r:id="rId16" w:history="1">
        <w:r w:rsidRPr="00EE1BD6">
          <w:rPr>
            <w:rStyle w:val="Hipervnculo"/>
            <w:rFonts w:ascii="Times New Roman" w:hAnsi="Times New Roman"/>
            <w:sz w:val="24"/>
            <w:szCs w:val="24"/>
            <w:lang w:val="en-US" w:eastAsia="es-ES"/>
          </w:rPr>
          <w:t>https://doi.org/10.1136/bmj.39609.449676.25</w:t>
        </w:r>
      </w:hyperlink>
    </w:p>
    <w:p w14:paraId="308A2B38" w14:textId="5389685E" w:rsidR="00DB1DA6" w:rsidRPr="00495A0D" w:rsidRDefault="00DB1DA6" w:rsidP="00495A0D">
      <w:pPr>
        <w:pStyle w:val="Prrafodelista"/>
        <w:spacing w:after="0" w:line="360" w:lineRule="auto"/>
        <w:ind w:left="567" w:hanging="567"/>
        <w:jc w:val="both"/>
        <w:rPr>
          <w:rFonts w:ascii="Times New Roman" w:hAnsi="Times New Roman"/>
          <w:sz w:val="24"/>
          <w:szCs w:val="24"/>
          <w:lang w:val="es-ES" w:eastAsia="es-ES"/>
        </w:rPr>
      </w:pPr>
      <w:r w:rsidRPr="00EE1BD6">
        <w:rPr>
          <w:rFonts w:ascii="Times New Roman" w:hAnsi="Times New Roman"/>
          <w:sz w:val="24"/>
          <w:szCs w:val="24"/>
          <w:lang w:val="en-US" w:eastAsia="es-ES"/>
        </w:rPr>
        <w:t xml:space="preserve">Inoue, K., Gomes da Silva Versa, G., </w:t>
      </w:r>
      <w:r w:rsidR="00476AC0" w:rsidRPr="00EE1BD6">
        <w:rPr>
          <w:rFonts w:ascii="Times New Roman" w:hAnsi="Times New Roman"/>
          <w:sz w:val="24"/>
          <w:szCs w:val="24"/>
          <w:lang w:val="en-US" w:eastAsia="es-ES"/>
        </w:rPr>
        <w:t xml:space="preserve">and </w:t>
      </w:r>
      <w:proofErr w:type="spellStart"/>
      <w:r w:rsidRPr="00EE1BD6">
        <w:rPr>
          <w:rFonts w:ascii="Times New Roman" w:hAnsi="Times New Roman"/>
          <w:sz w:val="24"/>
          <w:szCs w:val="24"/>
          <w:lang w:val="en-US" w:eastAsia="es-ES"/>
        </w:rPr>
        <w:t>Misue</w:t>
      </w:r>
      <w:proofErr w:type="spellEnd"/>
      <w:r w:rsidRPr="00EE1BD6">
        <w:rPr>
          <w:rFonts w:ascii="Times New Roman" w:hAnsi="Times New Roman"/>
          <w:sz w:val="24"/>
          <w:szCs w:val="24"/>
          <w:lang w:val="en-US" w:eastAsia="es-ES"/>
        </w:rPr>
        <w:t xml:space="preserve"> Matsuda, L., (2014)</w:t>
      </w:r>
      <w:r w:rsidR="00476AC0" w:rsidRPr="00EE1BD6">
        <w:rPr>
          <w:rFonts w:ascii="Times New Roman" w:hAnsi="Times New Roman"/>
          <w:sz w:val="24"/>
          <w:szCs w:val="24"/>
          <w:lang w:val="en-US" w:eastAsia="es-ES"/>
        </w:rPr>
        <w:t>.</w:t>
      </w:r>
      <w:r w:rsidRPr="00EE1BD6">
        <w:rPr>
          <w:rFonts w:ascii="Times New Roman" w:hAnsi="Times New Roman"/>
          <w:sz w:val="24"/>
          <w:szCs w:val="24"/>
          <w:lang w:val="en-US" w:eastAsia="es-ES"/>
        </w:rPr>
        <w:t xml:space="preserve"> Stress level among intensive care nurses in the municipality of Paraná (Brazil). </w:t>
      </w:r>
      <w:r w:rsidRPr="00495A0D">
        <w:rPr>
          <w:rFonts w:ascii="Times New Roman" w:hAnsi="Times New Roman"/>
          <w:i/>
          <w:sz w:val="24"/>
          <w:szCs w:val="24"/>
          <w:lang w:val="es-ES" w:eastAsia="es-ES"/>
        </w:rPr>
        <w:t>Investigación y educación en enfermería, 32</w:t>
      </w:r>
      <w:r w:rsidRPr="00495A0D">
        <w:rPr>
          <w:rFonts w:ascii="Times New Roman" w:hAnsi="Times New Roman"/>
          <w:sz w:val="24"/>
          <w:szCs w:val="24"/>
          <w:lang w:val="es-ES" w:eastAsia="es-ES"/>
        </w:rPr>
        <w:t>(1), 69-77.</w:t>
      </w:r>
    </w:p>
    <w:p w14:paraId="315E0F6D" w14:textId="1387DD70" w:rsidR="00C6751F" w:rsidRPr="00495A0D" w:rsidRDefault="00C6751F" w:rsidP="00495A0D">
      <w:pPr>
        <w:pStyle w:val="Prrafodelista"/>
        <w:spacing w:after="0" w:line="360" w:lineRule="auto"/>
        <w:ind w:left="567" w:hanging="567"/>
        <w:jc w:val="both"/>
        <w:rPr>
          <w:rFonts w:ascii="Times New Roman" w:hAnsi="Times New Roman"/>
          <w:sz w:val="24"/>
          <w:szCs w:val="24"/>
          <w:lang w:val="es-ES" w:eastAsia="es-ES"/>
        </w:rPr>
      </w:pPr>
      <w:r w:rsidRPr="00495A0D">
        <w:rPr>
          <w:rFonts w:ascii="Times New Roman" w:hAnsi="Times New Roman"/>
          <w:sz w:val="24"/>
          <w:szCs w:val="24"/>
          <w:lang w:val="es-ES" w:eastAsia="es-ES"/>
        </w:rPr>
        <w:t>Instituto Nacional de Estadística, Geografía e Informática</w:t>
      </w:r>
      <w:r w:rsidR="007C5A50" w:rsidRPr="00495A0D">
        <w:rPr>
          <w:rFonts w:ascii="Times New Roman" w:hAnsi="Times New Roman"/>
          <w:sz w:val="24"/>
          <w:szCs w:val="24"/>
          <w:lang w:val="es-ES" w:eastAsia="es-ES"/>
        </w:rPr>
        <w:t xml:space="preserve"> (INEGI).</w:t>
      </w:r>
      <w:r w:rsidRPr="00495A0D">
        <w:rPr>
          <w:rFonts w:ascii="Times New Roman" w:hAnsi="Times New Roman"/>
          <w:sz w:val="24"/>
          <w:szCs w:val="24"/>
          <w:lang w:val="es-ES" w:eastAsia="es-ES"/>
        </w:rPr>
        <w:t xml:space="preserve"> (2015).</w:t>
      </w:r>
      <w:r w:rsidR="00C372C0" w:rsidRPr="00495A0D">
        <w:rPr>
          <w:rFonts w:ascii="Times New Roman" w:hAnsi="Times New Roman"/>
          <w:sz w:val="24"/>
          <w:szCs w:val="24"/>
          <w:lang w:val="es-ES" w:eastAsia="es-ES"/>
        </w:rPr>
        <w:t xml:space="preserve"> </w:t>
      </w:r>
      <w:r w:rsidRPr="00495A0D">
        <w:rPr>
          <w:rFonts w:ascii="Times New Roman" w:hAnsi="Times New Roman"/>
          <w:i/>
          <w:sz w:val="24"/>
          <w:szCs w:val="24"/>
          <w:lang w:val="es-ES" w:eastAsia="es-ES"/>
        </w:rPr>
        <w:t xml:space="preserve">Principales causas de mortalidad por residencia habitual, grupos de edad y sexo del fallecido. </w:t>
      </w:r>
      <w:r w:rsidRPr="00495A0D">
        <w:rPr>
          <w:rFonts w:ascii="Times New Roman" w:hAnsi="Times New Roman"/>
          <w:sz w:val="24"/>
          <w:szCs w:val="24"/>
          <w:lang w:val="es-ES" w:eastAsia="es-ES"/>
        </w:rPr>
        <w:t xml:space="preserve">Recuperado de </w:t>
      </w:r>
      <w:hyperlink r:id="rId17" w:history="1">
        <w:r w:rsidRPr="00495A0D">
          <w:rPr>
            <w:rStyle w:val="Hipervnculo"/>
            <w:rFonts w:ascii="Times New Roman" w:hAnsi="Times New Roman"/>
            <w:sz w:val="24"/>
            <w:szCs w:val="24"/>
            <w:lang w:val="es-ES" w:eastAsia="es-ES"/>
          </w:rPr>
          <w:t>http://www.inegi.org.mx/est/contenidos/proyectos/registros/vitales/mortalidad/tabulados/ConsultaMortalidad.asp</w:t>
        </w:r>
      </w:hyperlink>
      <w:r w:rsidRPr="00495A0D">
        <w:rPr>
          <w:rFonts w:ascii="Times New Roman" w:hAnsi="Times New Roman"/>
          <w:sz w:val="24"/>
          <w:szCs w:val="24"/>
          <w:lang w:val="es-ES" w:eastAsia="es-ES"/>
        </w:rPr>
        <w:t xml:space="preserve"> </w:t>
      </w:r>
    </w:p>
    <w:p w14:paraId="041D600A" w14:textId="5D49B8B1" w:rsidR="00F14359" w:rsidRPr="00495A0D" w:rsidRDefault="009B2793" w:rsidP="00495A0D">
      <w:pPr>
        <w:pStyle w:val="Prrafodelista"/>
        <w:spacing w:after="0" w:line="360" w:lineRule="auto"/>
        <w:ind w:left="567" w:hanging="567"/>
        <w:jc w:val="both"/>
        <w:rPr>
          <w:rFonts w:ascii="Times New Roman" w:eastAsiaTheme="minorHAnsi" w:hAnsi="Times New Roman"/>
          <w:sz w:val="24"/>
          <w:szCs w:val="24"/>
          <w:lang w:val="es-ES"/>
        </w:rPr>
      </w:pPr>
      <w:proofErr w:type="spellStart"/>
      <w:r w:rsidRPr="00EE1BD6">
        <w:rPr>
          <w:rFonts w:ascii="Times New Roman" w:hAnsi="Times New Roman"/>
          <w:sz w:val="24"/>
          <w:szCs w:val="24"/>
          <w:lang w:val="en-US"/>
        </w:rPr>
        <w:t>Ioachi</w:t>
      </w:r>
      <w:r w:rsidR="00F14359" w:rsidRPr="00EE1BD6">
        <w:rPr>
          <w:rFonts w:ascii="Times New Roman" w:hAnsi="Times New Roman"/>
          <w:sz w:val="24"/>
          <w:szCs w:val="24"/>
          <w:lang w:val="en-US"/>
        </w:rPr>
        <w:t>mescu</w:t>
      </w:r>
      <w:proofErr w:type="spellEnd"/>
      <w:r w:rsidR="00F14359" w:rsidRPr="00EE1BD6">
        <w:rPr>
          <w:rFonts w:ascii="Times New Roman" w:hAnsi="Times New Roman"/>
          <w:sz w:val="24"/>
          <w:szCs w:val="24"/>
          <w:lang w:val="en-US"/>
        </w:rPr>
        <w:t>, A.</w:t>
      </w:r>
      <w:r w:rsidR="007C5A50" w:rsidRPr="00EE1BD6">
        <w:rPr>
          <w:rFonts w:ascii="Times New Roman" w:hAnsi="Times New Roman"/>
          <w:sz w:val="24"/>
          <w:szCs w:val="24"/>
          <w:lang w:val="en-US"/>
        </w:rPr>
        <w:t xml:space="preserve"> </w:t>
      </w:r>
      <w:r w:rsidR="00F14359" w:rsidRPr="00EE1BD6">
        <w:rPr>
          <w:rFonts w:ascii="Times New Roman" w:hAnsi="Times New Roman"/>
          <w:sz w:val="24"/>
          <w:szCs w:val="24"/>
          <w:lang w:val="en-US"/>
        </w:rPr>
        <w:t>G., Brennan, D.</w:t>
      </w:r>
      <w:r w:rsidR="007C5A50" w:rsidRPr="00EE1BD6">
        <w:rPr>
          <w:rFonts w:ascii="Times New Roman" w:hAnsi="Times New Roman"/>
          <w:sz w:val="24"/>
          <w:szCs w:val="24"/>
          <w:lang w:val="en-US"/>
        </w:rPr>
        <w:t xml:space="preserve"> </w:t>
      </w:r>
      <w:r w:rsidR="00F14359" w:rsidRPr="00EE1BD6">
        <w:rPr>
          <w:rFonts w:ascii="Times New Roman" w:hAnsi="Times New Roman"/>
          <w:sz w:val="24"/>
          <w:szCs w:val="24"/>
          <w:lang w:val="en-US"/>
        </w:rPr>
        <w:t>M., Hoar, B.</w:t>
      </w:r>
      <w:r w:rsidR="007C5A50" w:rsidRPr="00EE1BD6">
        <w:rPr>
          <w:rFonts w:ascii="Times New Roman" w:hAnsi="Times New Roman"/>
          <w:sz w:val="24"/>
          <w:szCs w:val="24"/>
          <w:lang w:val="en-US"/>
        </w:rPr>
        <w:t xml:space="preserve"> </w:t>
      </w:r>
      <w:r w:rsidR="00F14359" w:rsidRPr="00EE1BD6">
        <w:rPr>
          <w:rFonts w:ascii="Times New Roman" w:hAnsi="Times New Roman"/>
          <w:sz w:val="24"/>
          <w:szCs w:val="24"/>
          <w:lang w:val="en-US"/>
        </w:rPr>
        <w:t>M.,</w:t>
      </w:r>
      <w:r w:rsidR="00476AC0" w:rsidRPr="00EE1BD6">
        <w:rPr>
          <w:rFonts w:ascii="Times New Roman" w:hAnsi="Times New Roman"/>
          <w:sz w:val="24"/>
          <w:szCs w:val="24"/>
          <w:lang w:val="en-US"/>
        </w:rPr>
        <w:t xml:space="preserve"> and</w:t>
      </w:r>
      <w:r w:rsidR="00F14359" w:rsidRPr="00EE1BD6">
        <w:rPr>
          <w:rFonts w:ascii="Times New Roman" w:hAnsi="Times New Roman"/>
          <w:sz w:val="24"/>
          <w:szCs w:val="24"/>
          <w:lang w:val="en-US"/>
        </w:rPr>
        <w:t xml:space="preserve"> </w:t>
      </w:r>
      <w:proofErr w:type="spellStart"/>
      <w:r w:rsidR="00F14359" w:rsidRPr="00EE1BD6">
        <w:rPr>
          <w:rFonts w:ascii="Times New Roman" w:hAnsi="Times New Roman"/>
          <w:sz w:val="24"/>
          <w:szCs w:val="24"/>
          <w:lang w:val="en-US"/>
        </w:rPr>
        <w:t>Hoogwerf</w:t>
      </w:r>
      <w:proofErr w:type="spellEnd"/>
      <w:r w:rsidR="00F14359" w:rsidRPr="00EE1BD6">
        <w:rPr>
          <w:rFonts w:ascii="Times New Roman" w:hAnsi="Times New Roman"/>
          <w:sz w:val="24"/>
          <w:szCs w:val="24"/>
          <w:lang w:val="en-US"/>
        </w:rPr>
        <w:t>, B.</w:t>
      </w:r>
      <w:r w:rsidR="007C5A50" w:rsidRPr="00EE1BD6">
        <w:rPr>
          <w:rFonts w:ascii="Times New Roman" w:hAnsi="Times New Roman"/>
          <w:sz w:val="24"/>
          <w:szCs w:val="24"/>
          <w:lang w:val="en-US"/>
        </w:rPr>
        <w:t xml:space="preserve"> </w:t>
      </w:r>
      <w:r w:rsidR="00F14359" w:rsidRPr="00EE1BD6">
        <w:rPr>
          <w:rFonts w:ascii="Times New Roman" w:hAnsi="Times New Roman"/>
          <w:sz w:val="24"/>
          <w:szCs w:val="24"/>
          <w:lang w:val="en-US"/>
        </w:rPr>
        <w:t>J. (201</w:t>
      </w:r>
      <w:r w:rsidR="000918CD" w:rsidRPr="00EE1BD6">
        <w:rPr>
          <w:rFonts w:ascii="Times New Roman" w:hAnsi="Times New Roman"/>
          <w:sz w:val="24"/>
          <w:szCs w:val="24"/>
          <w:lang w:val="en-US"/>
        </w:rPr>
        <w:t>0</w:t>
      </w:r>
      <w:r w:rsidR="00F14359" w:rsidRPr="00EE1BD6">
        <w:rPr>
          <w:rFonts w:ascii="Times New Roman" w:hAnsi="Times New Roman"/>
          <w:sz w:val="24"/>
          <w:szCs w:val="24"/>
          <w:lang w:val="en-US"/>
        </w:rPr>
        <w:t>). The</w:t>
      </w:r>
      <w:r w:rsidR="007C5A50" w:rsidRPr="00EE1BD6">
        <w:rPr>
          <w:rFonts w:ascii="Times New Roman" w:hAnsi="Times New Roman"/>
          <w:sz w:val="24"/>
          <w:szCs w:val="24"/>
          <w:lang w:val="en-US"/>
        </w:rPr>
        <w:t xml:space="preserve"> </w:t>
      </w:r>
      <w:r w:rsidR="00F14359" w:rsidRPr="00EE1BD6">
        <w:rPr>
          <w:rFonts w:ascii="Times New Roman" w:hAnsi="Times New Roman"/>
          <w:sz w:val="24"/>
          <w:szCs w:val="24"/>
          <w:lang w:val="en-US"/>
        </w:rPr>
        <w:t>Lipi</w:t>
      </w:r>
      <w:r w:rsidR="00C372C0" w:rsidRPr="00EE1BD6">
        <w:rPr>
          <w:rFonts w:ascii="Times New Roman" w:hAnsi="Times New Roman"/>
          <w:sz w:val="24"/>
          <w:szCs w:val="24"/>
          <w:lang w:val="en-US"/>
        </w:rPr>
        <w:t>d</w:t>
      </w:r>
      <w:r w:rsidR="00F14359" w:rsidRPr="00EE1BD6">
        <w:rPr>
          <w:rFonts w:ascii="Times New Roman" w:hAnsi="Times New Roman"/>
          <w:sz w:val="24"/>
          <w:szCs w:val="24"/>
          <w:lang w:val="en-US"/>
        </w:rPr>
        <w:t xml:space="preserve"> Accumulation Product and all All-cause mortality in patients at high cardiovascular Risk: A </w:t>
      </w:r>
      <w:proofErr w:type="spellStart"/>
      <w:r w:rsidR="00F14359" w:rsidRPr="00EE1BD6">
        <w:rPr>
          <w:rFonts w:ascii="Times New Roman" w:hAnsi="Times New Roman"/>
          <w:sz w:val="24"/>
          <w:szCs w:val="24"/>
          <w:lang w:val="en-US"/>
        </w:rPr>
        <w:t>PreCis</w:t>
      </w:r>
      <w:proofErr w:type="spellEnd"/>
      <w:r w:rsidR="00F14359" w:rsidRPr="00EE1BD6">
        <w:rPr>
          <w:rFonts w:ascii="Times New Roman" w:hAnsi="Times New Roman"/>
          <w:sz w:val="24"/>
          <w:szCs w:val="24"/>
          <w:lang w:val="en-US"/>
        </w:rPr>
        <w:t xml:space="preserve"> Database Study. </w:t>
      </w:r>
      <w:r w:rsidR="00F14359" w:rsidRPr="00495A0D">
        <w:rPr>
          <w:rFonts w:ascii="Times New Roman" w:hAnsi="Times New Roman"/>
          <w:i/>
          <w:sz w:val="24"/>
          <w:szCs w:val="24"/>
        </w:rPr>
        <w:t>Obesity,</w:t>
      </w:r>
      <w:r w:rsidR="007C5A50" w:rsidRPr="00495A0D">
        <w:rPr>
          <w:rFonts w:ascii="Times New Roman" w:hAnsi="Times New Roman"/>
          <w:i/>
          <w:sz w:val="24"/>
          <w:szCs w:val="24"/>
        </w:rPr>
        <w:t xml:space="preserve"> </w:t>
      </w:r>
      <w:r w:rsidR="00F14359" w:rsidRPr="00495A0D">
        <w:rPr>
          <w:rFonts w:ascii="Times New Roman" w:hAnsi="Times New Roman"/>
          <w:i/>
          <w:sz w:val="24"/>
          <w:szCs w:val="24"/>
        </w:rPr>
        <w:t>18</w:t>
      </w:r>
      <w:r w:rsidR="007C5A50" w:rsidRPr="00495A0D">
        <w:rPr>
          <w:rFonts w:ascii="Times New Roman" w:hAnsi="Times New Roman"/>
          <w:sz w:val="24"/>
          <w:szCs w:val="24"/>
        </w:rPr>
        <w:t>(9)</w:t>
      </w:r>
      <w:r w:rsidR="00F14359" w:rsidRPr="00495A0D">
        <w:rPr>
          <w:rFonts w:ascii="Times New Roman" w:hAnsi="Times New Roman"/>
          <w:sz w:val="24"/>
          <w:szCs w:val="24"/>
        </w:rPr>
        <w:t xml:space="preserve">, 1836-1844. </w:t>
      </w:r>
      <w:r w:rsidR="00961C72" w:rsidRPr="00495A0D">
        <w:rPr>
          <w:rFonts w:ascii="Times New Roman" w:hAnsi="Times New Roman"/>
          <w:sz w:val="24"/>
          <w:szCs w:val="24"/>
        </w:rPr>
        <w:t>doi</w:t>
      </w:r>
      <w:r w:rsidR="00F14359" w:rsidRPr="00495A0D">
        <w:rPr>
          <w:rFonts w:ascii="Times New Roman" w:hAnsi="Times New Roman"/>
          <w:sz w:val="24"/>
          <w:szCs w:val="24"/>
        </w:rPr>
        <w:t xml:space="preserve">: </w:t>
      </w:r>
      <w:r w:rsidR="00F14359" w:rsidRPr="00495A0D">
        <w:rPr>
          <w:rFonts w:ascii="Times New Roman" w:eastAsiaTheme="minorHAnsi" w:hAnsi="Times New Roman"/>
          <w:sz w:val="24"/>
          <w:szCs w:val="24"/>
          <w:lang w:val="es-ES"/>
        </w:rPr>
        <w:t xml:space="preserve">10.1038/oby.2009.453  </w:t>
      </w:r>
    </w:p>
    <w:p w14:paraId="61C1BF17" w14:textId="0FF50E2B" w:rsidR="003253E1" w:rsidRPr="00495A0D" w:rsidRDefault="006E69F9" w:rsidP="00495A0D">
      <w:pPr>
        <w:pStyle w:val="Prrafodelista"/>
        <w:spacing w:after="0" w:line="360" w:lineRule="auto"/>
        <w:ind w:left="567" w:hanging="567"/>
        <w:jc w:val="both"/>
        <w:rPr>
          <w:rFonts w:ascii="Times New Roman" w:hAnsi="Times New Roman"/>
          <w:sz w:val="24"/>
          <w:szCs w:val="24"/>
          <w:lang w:val="es-ES" w:eastAsia="es-ES"/>
        </w:rPr>
      </w:pPr>
      <w:r w:rsidRPr="00495A0D">
        <w:rPr>
          <w:rFonts w:ascii="Times New Roman" w:hAnsi="Times New Roman"/>
          <w:sz w:val="24"/>
          <w:szCs w:val="24"/>
          <w:lang w:val="es-ES" w:eastAsia="es-ES"/>
        </w:rPr>
        <w:t>Lizarzaburu Robles, J.C.</w:t>
      </w:r>
      <w:r w:rsidR="00476AC0" w:rsidRPr="00495A0D">
        <w:rPr>
          <w:rFonts w:ascii="Times New Roman" w:hAnsi="Times New Roman"/>
          <w:sz w:val="24"/>
          <w:szCs w:val="24"/>
          <w:lang w:val="es-ES" w:eastAsia="es-ES"/>
        </w:rPr>
        <w:t xml:space="preserve"> </w:t>
      </w:r>
      <w:r w:rsidRPr="00495A0D">
        <w:rPr>
          <w:rFonts w:ascii="Times New Roman" w:hAnsi="Times New Roman"/>
          <w:sz w:val="24"/>
          <w:szCs w:val="24"/>
          <w:lang w:val="es-ES" w:eastAsia="es-ES"/>
        </w:rPr>
        <w:t>(</w:t>
      </w:r>
      <w:r w:rsidR="003253E1" w:rsidRPr="00495A0D">
        <w:rPr>
          <w:rFonts w:ascii="Times New Roman" w:hAnsi="Times New Roman"/>
          <w:sz w:val="24"/>
          <w:szCs w:val="24"/>
          <w:lang w:val="es-ES" w:eastAsia="es-ES"/>
        </w:rPr>
        <w:t>2013).</w:t>
      </w:r>
      <w:r w:rsidR="00476AC0" w:rsidRPr="00495A0D">
        <w:rPr>
          <w:rFonts w:ascii="Times New Roman" w:hAnsi="Times New Roman"/>
          <w:sz w:val="24"/>
          <w:szCs w:val="24"/>
          <w:lang w:val="es-ES" w:eastAsia="es-ES"/>
        </w:rPr>
        <w:t xml:space="preserve"> </w:t>
      </w:r>
      <w:r w:rsidR="003253E1" w:rsidRPr="00495A0D">
        <w:rPr>
          <w:rFonts w:ascii="Times New Roman" w:hAnsi="Times New Roman"/>
          <w:sz w:val="24"/>
          <w:szCs w:val="24"/>
          <w:lang w:val="es-ES" w:eastAsia="es-ES"/>
        </w:rPr>
        <w:t xml:space="preserve">Síndrome metabólico: concepto y aplicación práctica. </w:t>
      </w:r>
      <w:r w:rsidR="003253E1" w:rsidRPr="00495A0D">
        <w:rPr>
          <w:rFonts w:ascii="Times New Roman" w:hAnsi="Times New Roman"/>
          <w:i/>
          <w:sz w:val="24"/>
          <w:szCs w:val="24"/>
          <w:lang w:val="es-ES" w:eastAsia="es-ES"/>
        </w:rPr>
        <w:t>Anales de la Facultad de Medicina</w:t>
      </w:r>
      <w:r w:rsidR="003253E1" w:rsidRPr="00495A0D">
        <w:rPr>
          <w:rFonts w:ascii="Times New Roman" w:hAnsi="Times New Roman"/>
          <w:sz w:val="24"/>
          <w:szCs w:val="24"/>
          <w:lang w:val="es-ES" w:eastAsia="es-ES"/>
        </w:rPr>
        <w:t xml:space="preserve">, </w:t>
      </w:r>
      <w:r w:rsidR="003253E1" w:rsidRPr="00495A0D">
        <w:rPr>
          <w:rFonts w:ascii="Times New Roman" w:hAnsi="Times New Roman"/>
          <w:i/>
          <w:sz w:val="24"/>
          <w:szCs w:val="24"/>
          <w:lang w:val="es-ES" w:eastAsia="es-ES"/>
        </w:rPr>
        <w:t>74</w:t>
      </w:r>
      <w:r w:rsidR="003253E1" w:rsidRPr="00495A0D">
        <w:rPr>
          <w:rFonts w:ascii="Times New Roman" w:hAnsi="Times New Roman"/>
          <w:sz w:val="24"/>
          <w:szCs w:val="24"/>
          <w:lang w:val="es-ES" w:eastAsia="es-ES"/>
        </w:rPr>
        <w:t xml:space="preserve">(4), 315-320. Recuperado de </w:t>
      </w:r>
      <w:hyperlink r:id="rId18" w:history="1">
        <w:r w:rsidR="003253E1" w:rsidRPr="00495A0D">
          <w:rPr>
            <w:rStyle w:val="Hipervnculo"/>
            <w:rFonts w:ascii="Times New Roman" w:hAnsi="Times New Roman"/>
            <w:sz w:val="24"/>
            <w:szCs w:val="24"/>
            <w:lang w:val="es-ES" w:eastAsia="es-ES"/>
          </w:rPr>
          <w:t>http://www.scielo.org.pe/scielo.php?script=sci_arttext&amp;pid=S1025-55832013000400009&amp;lng=es&amp;tlng=es</w:t>
        </w:r>
      </w:hyperlink>
      <w:r w:rsidR="003253E1" w:rsidRPr="00495A0D">
        <w:rPr>
          <w:rFonts w:ascii="Times New Roman" w:hAnsi="Times New Roman"/>
          <w:sz w:val="24"/>
          <w:szCs w:val="24"/>
          <w:lang w:val="es-ES" w:eastAsia="es-ES"/>
        </w:rPr>
        <w:t xml:space="preserve">. </w:t>
      </w:r>
    </w:p>
    <w:p w14:paraId="41AB9E50" w14:textId="472D3B06" w:rsidR="004B0DB0" w:rsidRPr="00495A0D" w:rsidRDefault="00993B73" w:rsidP="00495A0D">
      <w:pPr>
        <w:pStyle w:val="Prrafodelista"/>
        <w:spacing w:after="0" w:line="360" w:lineRule="auto"/>
        <w:ind w:left="567" w:hanging="567"/>
        <w:jc w:val="both"/>
        <w:rPr>
          <w:rFonts w:ascii="Times New Roman" w:hAnsi="Times New Roman"/>
          <w:color w:val="000000" w:themeColor="text1"/>
          <w:sz w:val="24"/>
          <w:szCs w:val="24"/>
          <w:lang w:val="es-ES" w:eastAsia="es-ES"/>
        </w:rPr>
      </w:pPr>
      <w:r w:rsidRPr="00EE1BD6">
        <w:rPr>
          <w:rFonts w:ascii="Times New Roman" w:hAnsi="Times New Roman"/>
          <w:sz w:val="24"/>
          <w:szCs w:val="24"/>
          <w:lang w:val="en-US" w:eastAsia="es-ES"/>
        </w:rPr>
        <w:t xml:space="preserve">Lozano, R., </w:t>
      </w:r>
      <w:proofErr w:type="spellStart"/>
      <w:r w:rsidRPr="00EE1BD6">
        <w:rPr>
          <w:rFonts w:ascii="Times New Roman" w:hAnsi="Times New Roman"/>
          <w:sz w:val="24"/>
          <w:szCs w:val="24"/>
          <w:lang w:val="en-US" w:eastAsia="es-ES"/>
        </w:rPr>
        <w:t>Naghavi</w:t>
      </w:r>
      <w:proofErr w:type="spellEnd"/>
      <w:r w:rsidRPr="00EE1BD6">
        <w:rPr>
          <w:rFonts w:ascii="Times New Roman" w:hAnsi="Times New Roman"/>
          <w:sz w:val="24"/>
          <w:szCs w:val="24"/>
          <w:lang w:val="en-US" w:eastAsia="es-ES"/>
        </w:rPr>
        <w:t xml:space="preserve">, M., Foreman, K., Lim, S., Shibuya, K., </w:t>
      </w:r>
      <w:proofErr w:type="spellStart"/>
      <w:r w:rsidRPr="00EE1BD6">
        <w:rPr>
          <w:rFonts w:ascii="Times New Roman" w:hAnsi="Times New Roman"/>
          <w:sz w:val="24"/>
          <w:szCs w:val="24"/>
          <w:lang w:val="en-US" w:eastAsia="es-ES"/>
        </w:rPr>
        <w:t>Aboyans</w:t>
      </w:r>
      <w:proofErr w:type="spellEnd"/>
      <w:r w:rsidRPr="00EE1BD6">
        <w:rPr>
          <w:rFonts w:ascii="Times New Roman" w:hAnsi="Times New Roman"/>
          <w:sz w:val="24"/>
          <w:szCs w:val="24"/>
          <w:lang w:val="en-US" w:eastAsia="es-ES"/>
        </w:rPr>
        <w:t>, V., ...</w:t>
      </w:r>
      <w:r w:rsidR="00476AC0" w:rsidRPr="00EE1BD6">
        <w:rPr>
          <w:rFonts w:ascii="Times New Roman" w:hAnsi="Times New Roman"/>
          <w:sz w:val="24"/>
          <w:szCs w:val="24"/>
          <w:lang w:val="en-US" w:eastAsia="es-ES"/>
        </w:rPr>
        <w:t>,</w:t>
      </w:r>
      <w:r w:rsidR="00C372C0" w:rsidRPr="00EE1BD6">
        <w:rPr>
          <w:rFonts w:ascii="Times New Roman" w:hAnsi="Times New Roman"/>
          <w:sz w:val="24"/>
          <w:szCs w:val="24"/>
          <w:lang w:val="en-US" w:eastAsia="es-ES"/>
        </w:rPr>
        <w:t xml:space="preserve"> </w:t>
      </w:r>
      <w:r w:rsidRPr="00EE1BD6">
        <w:rPr>
          <w:rFonts w:ascii="Times New Roman" w:hAnsi="Times New Roman"/>
          <w:sz w:val="24"/>
          <w:szCs w:val="24"/>
          <w:lang w:val="en-US" w:eastAsia="es-ES"/>
        </w:rPr>
        <w:t>Murray, C.</w:t>
      </w:r>
      <w:r w:rsidR="00476AC0" w:rsidRPr="00EE1BD6">
        <w:rPr>
          <w:rFonts w:ascii="Times New Roman" w:hAnsi="Times New Roman"/>
          <w:sz w:val="24"/>
          <w:szCs w:val="24"/>
          <w:lang w:val="en-US" w:eastAsia="es-ES"/>
        </w:rPr>
        <w:t xml:space="preserve"> </w:t>
      </w:r>
      <w:r w:rsidRPr="00EE1BD6">
        <w:rPr>
          <w:rFonts w:ascii="Times New Roman" w:hAnsi="Times New Roman"/>
          <w:sz w:val="24"/>
          <w:szCs w:val="24"/>
          <w:lang w:val="en-US" w:eastAsia="es-ES"/>
        </w:rPr>
        <w:t>J.</w:t>
      </w:r>
      <w:r w:rsidR="00476AC0" w:rsidRPr="00EE1BD6">
        <w:rPr>
          <w:rFonts w:ascii="Times New Roman" w:hAnsi="Times New Roman"/>
          <w:sz w:val="24"/>
          <w:szCs w:val="24"/>
          <w:lang w:val="en-US" w:eastAsia="es-ES"/>
        </w:rPr>
        <w:t xml:space="preserve"> </w:t>
      </w:r>
      <w:r w:rsidRPr="00EE1BD6">
        <w:rPr>
          <w:rFonts w:ascii="Times New Roman" w:hAnsi="Times New Roman"/>
          <w:sz w:val="24"/>
          <w:szCs w:val="24"/>
          <w:lang w:val="en-US" w:eastAsia="es-ES"/>
        </w:rPr>
        <w:t>L. (2012</w:t>
      </w:r>
      <w:r w:rsidRPr="00EE1BD6">
        <w:rPr>
          <w:rFonts w:ascii="Times New Roman" w:hAnsi="Times New Roman"/>
          <w:color w:val="000000" w:themeColor="text1"/>
          <w:sz w:val="24"/>
          <w:szCs w:val="24"/>
          <w:lang w:val="en-US" w:eastAsia="es-ES"/>
        </w:rPr>
        <w:t xml:space="preserve">). </w:t>
      </w:r>
      <w:r w:rsidRPr="00EE1BD6">
        <w:rPr>
          <w:rFonts w:ascii="Times New Roman" w:hAnsi="Times New Roman"/>
          <w:color w:val="000000" w:themeColor="text1"/>
          <w:sz w:val="24"/>
          <w:szCs w:val="24"/>
          <w:shd w:val="clear" w:color="auto" w:fill="FFFFFF"/>
          <w:lang w:val="en-US"/>
        </w:rPr>
        <w:t>Global and regional mortality from 235 causes of death for 20 age groups in 1990 and 2010: A systematic analysis for the Global Burden of Disease Study 2010. </w:t>
      </w:r>
      <w:r w:rsidRPr="00495A0D">
        <w:rPr>
          <w:rStyle w:val="nfasis"/>
          <w:rFonts w:ascii="Times New Roman" w:hAnsi="Times New Roman"/>
          <w:color w:val="000000" w:themeColor="text1"/>
          <w:sz w:val="24"/>
          <w:szCs w:val="24"/>
          <w:shd w:val="clear" w:color="auto" w:fill="FFFFFF"/>
        </w:rPr>
        <w:t>The Lancet</w:t>
      </w:r>
      <w:r w:rsidRPr="00495A0D">
        <w:rPr>
          <w:rFonts w:ascii="Times New Roman" w:hAnsi="Times New Roman"/>
          <w:color w:val="000000" w:themeColor="text1"/>
          <w:sz w:val="24"/>
          <w:szCs w:val="24"/>
          <w:shd w:val="clear" w:color="auto" w:fill="FFFFFF"/>
        </w:rPr>
        <w:t>, </w:t>
      </w:r>
      <w:r w:rsidRPr="00495A0D">
        <w:rPr>
          <w:rStyle w:val="nfasis"/>
          <w:rFonts w:ascii="Times New Roman" w:hAnsi="Times New Roman"/>
          <w:color w:val="000000" w:themeColor="text1"/>
          <w:sz w:val="24"/>
          <w:szCs w:val="24"/>
          <w:shd w:val="clear" w:color="auto" w:fill="FFFFFF"/>
        </w:rPr>
        <w:t>380</w:t>
      </w:r>
      <w:r w:rsidRPr="00495A0D">
        <w:rPr>
          <w:rFonts w:ascii="Times New Roman" w:hAnsi="Times New Roman"/>
          <w:color w:val="000000" w:themeColor="text1"/>
          <w:sz w:val="24"/>
          <w:szCs w:val="24"/>
          <w:shd w:val="clear" w:color="auto" w:fill="FFFFFF"/>
        </w:rPr>
        <w:t xml:space="preserve">(9859), 2095-2128. </w:t>
      </w:r>
      <w:r w:rsidR="00BA090A" w:rsidRPr="00495A0D">
        <w:rPr>
          <w:rFonts w:ascii="Times New Roman" w:hAnsi="Times New Roman"/>
          <w:color w:val="000000" w:themeColor="text1"/>
          <w:sz w:val="24"/>
          <w:szCs w:val="24"/>
          <w:shd w:val="clear" w:color="auto" w:fill="FFFFFF"/>
        </w:rPr>
        <w:t>doi</w:t>
      </w:r>
      <w:r w:rsidRPr="00495A0D">
        <w:rPr>
          <w:rFonts w:ascii="Times New Roman" w:hAnsi="Times New Roman"/>
          <w:color w:val="000000" w:themeColor="text1"/>
          <w:sz w:val="24"/>
          <w:szCs w:val="24"/>
          <w:shd w:val="clear" w:color="auto" w:fill="FFFFFF"/>
        </w:rPr>
        <w:t>: </w:t>
      </w:r>
      <w:hyperlink r:id="rId19" w:history="1">
        <w:r w:rsidRPr="00495A0D">
          <w:rPr>
            <w:rStyle w:val="Hipervnculo"/>
            <w:rFonts w:ascii="Times New Roman" w:hAnsi="Times New Roman"/>
            <w:color w:val="000000" w:themeColor="text1"/>
            <w:sz w:val="24"/>
            <w:szCs w:val="24"/>
            <w:shd w:val="clear" w:color="auto" w:fill="FFFFFF"/>
          </w:rPr>
          <w:t>10.1016/S0140-6736(12)61728-0</w:t>
        </w:r>
      </w:hyperlink>
      <w:r w:rsidRPr="00495A0D">
        <w:rPr>
          <w:rFonts w:ascii="Times New Roman" w:hAnsi="Times New Roman"/>
          <w:color w:val="000000" w:themeColor="text1"/>
          <w:sz w:val="24"/>
          <w:szCs w:val="24"/>
        </w:rPr>
        <w:t xml:space="preserve"> </w:t>
      </w:r>
      <w:r w:rsidR="004B0DB0" w:rsidRPr="00495A0D">
        <w:rPr>
          <w:rFonts w:ascii="Times New Roman" w:hAnsi="Times New Roman"/>
          <w:color w:val="000000" w:themeColor="text1"/>
          <w:sz w:val="24"/>
          <w:szCs w:val="24"/>
          <w:lang w:val="es-ES" w:eastAsia="es-ES"/>
        </w:rPr>
        <w:t xml:space="preserve">  </w:t>
      </w:r>
    </w:p>
    <w:p w14:paraId="4998D8E0" w14:textId="04301D47" w:rsidR="006F46F5" w:rsidRPr="00495A0D" w:rsidRDefault="006F46F5" w:rsidP="00495A0D">
      <w:pPr>
        <w:pStyle w:val="Prrafodelista"/>
        <w:spacing w:after="0" w:line="360" w:lineRule="auto"/>
        <w:ind w:left="567" w:hanging="567"/>
        <w:jc w:val="both"/>
        <w:rPr>
          <w:rFonts w:ascii="Times New Roman" w:hAnsi="Times New Roman"/>
          <w:sz w:val="24"/>
          <w:szCs w:val="24"/>
          <w:lang w:val="es-ES" w:eastAsia="es-ES"/>
        </w:rPr>
      </w:pPr>
      <w:r w:rsidRPr="00495A0D">
        <w:rPr>
          <w:rFonts w:ascii="Times New Roman" w:hAnsi="Times New Roman"/>
          <w:sz w:val="24"/>
          <w:szCs w:val="24"/>
          <w:lang w:val="es-ES" w:eastAsia="es-ES"/>
        </w:rPr>
        <w:lastRenderedPageBreak/>
        <w:t xml:space="preserve">Luengo Pérez, L.M., Urbano </w:t>
      </w:r>
      <w:proofErr w:type="spellStart"/>
      <w:r w:rsidRPr="00495A0D">
        <w:rPr>
          <w:rFonts w:ascii="Times New Roman" w:hAnsi="Times New Roman"/>
          <w:sz w:val="24"/>
          <w:szCs w:val="24"/>
          <w:lang w:val="es-ES" w:eastAsia="es-ES"/>
        </w:rPr>
        <w:t>Galvéz</w:t>
      </w:r>
      <w:proofErr w:type="spellEnd"/>
      <w:r w:rsidRPr="00495A0D">
        <w:rPr>
          <w:rFonts w:ascii="Times New Roman" w:hAnsi="Times New Roman"/>
          <w:sz w:val="24"/>
          <w:szCs w:val="24"/>
          <w:lang w:val="es-ES" w:eastAsia="es-ES"/>
        </w:rPr>
        <w:t xml:space="preserve">, J.M. </w:t>
      </w:r>
      <w:r w:rsidR="00476AC0" w:rsidRPr="00495A0D">
        <w:rPr>
          <w:rFonts w:ascii="Times New Roman" w:hAnsi="Times New Roman"/>
          <w:sz w:val="24"/>
          <w:szCs w:val="24"/>
          <w:lang w:val="es-ES" w:eastAsia="es-ES"/>
        </w:rPr>
        <w:t xml:space="preserve">y </w:t>
      </w:r>
      <w:r w:rsidRPr="00495A0D">
        <w:rPr>
          <w:rFonts w:ascii="Times New Roman" w:hAnsi="Times New Roman"/>
          <w:sz w:val="24"/>
          <w:szCs w:val="24"/>
          <w:lang w:val="es-ES" w:eastAsia="es-ES"/>
        </w:rPr>
        <w:t>Pérez Miranda, M. (2009).</w:t>
      </w:r>
      <w:r w:rsidR="00476AC0" w:rsidRPr="00495A0D">
        <w:rPr>
          <w:rFonts w:ascii="Times New Roman" w:hAnsi="Times New Roman"/>
          <w:sz w:val="24"/>
          <w:szCs w:val="24"/>
          <w:lang w:val="es-ES" w:eastAsia="es-ES"/>
        </w:rPr>
        <w:t xml:space="preserve"> </w:t>
      </w:r>
      <w:r w:rsidRPr="00495A0D">
        <w:rPr>
          <w:rFonts w:ascii="Times New Roman" w:hAnsi="Times New Roman"/>
          <w:sz w:val="24"/>
          <w:szCs w:val="24"/>
          <w:lang w:val="es-ES" w:eastAsia="es-ES"/>
        </w:rPr>
        <w:t xml:space="preserve">Validación de índices antropométricos alternativos como marcadores del riesgo cardiovascular. </w:t>
      </w:r>
      <w:r w:rsidRPr="00495A0D">
        <w:rPr>
          <w:rFonts w:ascii="Times New Roman" w:hAnsi="Times New Roman"/>
          <w:i/>
          <w:sz w:val="24"/>
          <w:szCs w:val="24"/>
          <w:lang w:val="es-ES" w:eastAsia="es-ES"/>
        </w:rPr>
        <w:t>Endocrinología y Nutrición</w:t>
      </w:r>
      <w:r w:rsidR="00476AC0" w:rsidRPr="00495A0D">
        <w:rPr>
          <w:rFonts w:ascii="Times New Roman" w:hAnsi="Times New Roman"/>
          <w:sz w:val="24"/>
          <w:szCs w:val="24"/>
          <w:lang w:val="es-ES" w:eastAsia="es-ES"/>
        </w:rPr>
        <w:t xml:space="preserve">, </w:t>
      </w:r>
      <w:r w:rsidRPr="00495A0D">
        <w:rPr>
          <w:rFonts w:ascii="Times New Roman" w:hAnsi="Times New Roman"/>
          <w:i/>
          <w:sz w:val="24"/>
          <w:szCs w:val="24"/>
          <w:lang w:val="es-ES" w:eastAsia="es-ES"/>
        </w:rPr>
        <w:t>56</w:t>
      </w:r>
      <w:r w:rsidRPr="00495A0D">
        <w:rPr>
          <w:rFonts w:ascii="Times New Roman" w:hAnsi="Times New Roman"/>
          <w:sz w:val="24"/>
          <w:szCs w:val="24"/>
          <w:lang w:val="es-ES" w:eastAsia="es-ES"/>
        </w:rPr>
        <w:t>(9</w:t>
      </w:r>
      <w:r w:rsidR="00476AC0" w:rsidRPr="00495A0D">
        <w:rPr>
          <w:rFonts w:ascii="Times New Roman" w:hAnsi="Times New Roman"/>
          <w:sz w:val="24"/>
          <w:szCs w:val="24"/>
          <w:lang w:val="es-ES" w:eastAsia="es-ES"/>
        </w:rPr>
        <w:t xml:space="preserve">), </w:t>
      </w:r>
      <w:r w:rsidRPr="00495A0D">
        <w:rPr>
          <w:rFonts w:ascii="Times New Roman" w:hAnsi="Times New Roman"/>
          <w:sz w:val="24"/>
          <w:szCs w:val="24"/>
          <w:lang w:val="es-ES" w:eastAsia="es-ES"/>
        </w:rPr>
        <w:t>439-446.</w:t>
      </w:r>
    </w:p>
    <w:p w14:paraId="4D8C5DAD" w14:textId="5CBA6FE5" w:rsidR="00B74A13" w:rsidRPr="00495A0D" w:rsidRDefault="00BA2FC9" w:rsidP="00495A0D">
      <w:pPr>
        <w:spacing w:after="0" w:line="360" w:lineRule="auto"/>
        <w:ind w:left="567" w:hanging="567"/>
        <w:jc w:val="both"/>
        <w:rPr>
          <w:rFonts w:ascii="Times New Roman" w:hAnsi="Times New Roman"/>
          <w:sz w:val="24"/>
          <w:szCs w:val="24"/>
          <w:lang w:val="es-ES" w:eastAsia="es-ES"/>
        </w:rPr>
      </w:pPr>
      <w:r w:rsidRPr="00495A0D">
        <w:rPr>
          <w:rFonts w:ascii="Times New Roman" w:hAnsi="Times New Roman"/>
          <w:sz w:val="24"/>
          <w:szCs w:val="24"/>
          <w:lang w:val="es-ES" w:eastAsia="es-ES"/>
        </w:rPr>
        <w:t>Magg</w:t>
      </w:r>
      <w:r w:rsidR="00B74A13" w:rsidRPr="00495A0D">
        <w:rPr>
          <w:rFonts w:ascii="Times New Roman" w:hAnsi="Times New Roman"/>
          <w:sz w:val="24"/>
          <w:szCs w:val="24"/>
          <w:lang w:val="es-ES" w:eastAsia="es-ES"/>
        </w:rPr>
        <w:t>i, D.</w:t>
      </w:r>
      <w:r w:rsidR="00476AC0" w:rsidRPr="00495A0D">
        <w:rPr>
          <w:rFonts w:ascii="Times New Roman" w:hAnsi="Times New Roman"/>
          <w:sz w:val="24"/>
          <w:szCs w:val="24"/>
          <w:lang w:val="es-ES" w:eastAsia="es-ES"/>
        </w:rPr>
        <w:t xml:space="preserve"> </w:t>
      </w:r>
      <w:r w:rsidR="00B74A13" w:rsidRPr="00495A0D">
        <w:rPr>
          <w:rFonts w:ascii="Times New Roman" w:hAnsi="Times New Roman"/>
          <w:sz w:val="24"/>
          <w:szCs w:val="24"/>
          <w:lang w:val="es-ES" w:eastAsia="es-ES"/>
        </w:rPr>
        <w:t xml:space="preserve">L., </w:t>
      </w:r>
      <w:proofErr w:type="spellStart"/>
      <w:r w:rsidR="00B74A13" w:rsidRPr="00495A0D">
        <w:rPr>
          <w:rFonts w:ascii="Times New Roman" w:hAnsi="Times New Roman"/>
          <w:sz w:val="24"/>
          <w:szCs w:val="24"/>
          <w:lang w:val="es-ES" w:eastAsia="es-ES"/>
        </w:rPr>
        <w:t>Quadros</w:t>
      </w:r>
      <w:proofErr w:type="spellEnd"/>
      <w:r w:rsidR="00B74A13" w:rsidRPr="00495A0D">
        <w:rPr>
          <w:rFonts w:ascii="Times New Roman" w:hAnsi="Times New Roman"/>
          <w:sz w:val="24"/>
          <w:szCs w:val="24"/>
          <w:lang w:val="es-ES" w:eastAsia="es-ES"/>
        </w:rPr>
        <w:t>, L.</w:t>
      </w:r>
      <w:r w:rsidR="00476AC0" w:rsidRPr="00495A0D">
        <w:rPr>
          <w:rFonts w:ascii="Times New Roman" w:hAnsi="Times New Roman"/>
          <w:sz w:val="24"/>
          <w:szCs w:val="24"/>
          <w:lang w:val="es-ES" w:eastAsia="es-ES"/>
        </w:rPr>
        <w:t xml:space="preserve"> </w:t>
      </w:r>
      <w:r w:rsidR="00B74A13" w:rsidRPr="00495A0D">
        <w:rPr>
          <w:rFonts w:ascii="Times New Roman" w:hAnsi="Times New Roman"/>
          <w:sz w:val="24"/>
          <w:szCs w:val="24"/>
          <w:lang w:val="es-ES" w:eastAsia="es-ES"/>
        </w:rPr>
        <w:t xml:space="preserve">R., </w:t>
      </w:r>
      <w:proofErr w:type="spellStart"/>
      <w:r w:rsidR="00B74A13" w:rsidRPr="00495A0D">
        <w:rPr>
          <w:rFonts w:ascii="Times New Roman" w:hAnsi="Times New Roman"/>
          <w:sz w:val="24"/>
          <w:szCs w:val="24"/>
          <w:lang w:val="es-ES" w:eastAsia="es-ES"/>
        </w:rPr>
        <w:t>Azzolin</w:t>
      </w:r>
      <w:proofErr w:type="spellEnd"/>
      <w:r w:rsidR="00B74A13" w:rsidRPr="00495A0D">
        <w:rPr>
          <w:rFonts w:ascii="Times New Roman" w:hAnsi="Times New Roman"/>
          <w:sz w:val="24"/>
          <w:szCs w:val="24"/>
          <w:lang w:val="es-ES" w:eastAsia="es-ES"/>
        </w:rPr>
        <w:t>, K.</w:t>
      </w:r>
      <w:r w:rsidR="00476AC0" w:rsidRPr="00495A0D">
        <w:rPr>
          <w:rFonts w:ascii="Times New Roman" w:hAnsi="Times New Roman"/>
          <w:sz w:val="24"/>
          <w:szCs w:val="24"/>
          <w:lang w:val="es-ES" w:eastAsia="es-ES"/>
        </w:rPr>
        <w:t xml:space="preserve"> </w:t>
      </w:r>
      <w:r w:rsidR="00B74A13" w:rsidRPr="00495A0D">
        <w:rPr>
          <w:rFonts w:ascii="Times New Roman" w:hAnsi="Times New Roman"/>
          <w:sz w:val="24"/>
          <w:szCs w:val="24"/>
          <w:lang w:val="es-ES" w:eastAsia="es-ES"/>
        </w:rPr>
        <w:t xml:space="preserve">O., </w:t>
      </w:r>
      <w:r w:rsidR="00476AC0" w:rsidRPr="00495A0D">
        <w:rPr>
          <w:rFonts w:ascii="Times New Roman" w:hAnsi="Times New Roman"/>
          <w:sz w:val="24"/>
          <w:szCs w:val="24"/>
          <w:lang w:val="es-ES" w:eastAsia="es-ES"/>
        </w:rPr>
        <w:t xml:space="preserve">and </w:t>
      </w:r>
      <w:proofErr w:type="spellStart"/>
      <w:r w:rsidR="00B74A13" w:rsidRPr="00495A0D">
        <w:rPr>
          <w:rFonts w:ascii="Times New Roman" w:hAnsi="Times New Roman"/>
          <w:sz w:val="24"/>
          <w:szCs w:val="24"/>
          <w:lang w:val="es-ES" w:eastAsia="es-ES"/>
        </w:rPr>
        <w:t>Golmeier</w:t>
      </w:r>
      <w:proofErr w:type="spellEnd"/>
      <w:r w:rsidR="00B74A13" w:rsidRPr="00495A0D">
        <w:rPr>
          <w:rFonts w:ascii="Times New Roman" w:hAnsi="Times New Roman"/>
          <w:sz w:val="24"/>
          <w:szCs w:val="24"/>
          <w:lang w:val="es-ES" w:eastAsia="es-ES"/>
        </w:rPr>
        <w:t xml:space="preserve">, S. (2014). </w:t>
      </w:r>
      <w:r w:rsidR="00B74A13" w:rsidRPr="00EE1BD6">
        <w:rPr>
          <w:rFonts w:ascii="Times New Roman" w:hAnsi="Times New Roman"/>
          <w:sz w:val="24"/>
          <w:szCs w:val="24"/>
          <w:lang w:val="en-US" w:eastAsia="es-ES"/>
        </w:rPr>
        <w:t xml:space="preserve">Ankle - Brachial Index: Nurses Strategy to Cardiovascular Disease Risk Factors Identification. </w:t>
      </w:r>
      <w:r w:rsidR="00B74A13" w:rsidRPr="00495A0D">
        <w:rPr>
          <w:rFonts w:ascii="Times New Roman" w:hAnsi="Times New Roman"/>
          <w:i/>
          <w:sz w:val="24"/>
          <w:szCs w:val="24"/>
          <w:lang w:val="es-ES" w:eastAsia="es-ES"/>
        </w:rPr>
        <w:t xml:space="preserve">Revista da Escola da </w:t>
      </w:r>
      <w:proofErr w:type="spellStart"/>
      <w:r w:rsidR="00B74A13" w:rsidRPr="00495A0D">
        <w:rPr>
          <w:rFonts w:ascii="Times New Roman" w:hAnsi="Times New Roman"/>
          <w:i/>
          <w:sz w:val="24"/>
          <w:szCs w:val="24"/>
          <w:lang w:val="es-ES" w:eastAsia="es-ES"/>
        </w:rPr>
        <w:t>Enfermagem</w:t>
      </w:r>
      <w:proofErr w:type="spellEnd"/>
      <w:r w:rsidR="00B74A13" w:rsidRPr="00495A0D">
        <w:rPr>
          <w:rFonts w:ascii="Times New Roman" w:hAnsi="Times New Roman"/>
          <w:i/>
          <w:sz w:val="24"/>
          <w:szCs w:val="24"/>
          <w:lang w:val="es-ES" w:eastAsia="es-ES"/>
        </w:rPr>
        <w:t xml:space="preserve"> da USP, 48</w:t>
      </w:r>
      <w:r w:rsidR="00B74A13" w:rsidRPr="00495A0D">
        <w:rPr>
          <w:rFonts w:ascii="Times New Roman" w:hAnsi="Times New Roman"/>
          <w:sz w:val="24"/>
          <w:szCs w:val="24"/>
          <w:lang w:val="es-ES" w:eastAsia="es-ES"/>
        </w:rPr>
        <w:t xml:space="preserve">(2), 223-227. </w:t>
      </w:r>
      <w:hyperlink r:id="rId20" w:history="1">
        <w:r w:rsidR="00B74A13" w:rsidRPr="00495A0D">
          <w:rPr>
            <w:rStyle w:val="Hipervnculo"/>
            <w:rFonts w:ascii="Times New Roman" w:hAnsi="Times New Roman"/>
            <w:sz w:val="24"/>
            <w:szCs w:val="24"/>
            <w:lang w:val="es-ES" w:eastAsia="es-ES"/>
          </w:rPr>
          <w:t>http://dx.doi.org/10.1590/S0080-623420140000200004</w:t>
        </w:r>
      </w:hyperlink>
      <w:r w:rsidR="00B74A13" w:rsidRPr="00495A0D">
        <w:rPr>
          <w:rFonts w:ascii="Times New Roman" w:hAnsi="Times New Roman"/>
          <w:sz w:val="24"/>
          <w:szCs w:val="24"/>
          <w:lang w:val="es-ES" w:eastAsia="es-ES"/>
        </w:rPr>
        <w:t>.</w:t>
      </w:r>
    </w:p>
    <w:p w14:paraId="4DDC563F" w14:textId="42218753" w:rsidR="000576EF" w:rsidRPr="00495A0D" w:rsidRDefault="000576EF" w:rsidP="00495A0D">
      <w:pPr>
        <w:pStyle w:val="Prrafodelista"/>
        <w:spacing w:after="0" w:line="360" w:lineRule="auto"/>
        <w:ind w:left="567" w:hanging="567"/>
        <w:jc w:val="both"/>
        <w:rPr>
          <w:rFonts w:ascii="Times New Roman" w:hAnsi="Times New Roman"/>
          <w:sz w:val="24"/>
          <w:szCs w:val="24"/>
        </w:rPr>
      </w:pPr>
      <w:r w:rsidRPr="00495A0D">
        <w:rPr>
          <w:rFonts w:ascii="Times New Roman" w:hAnsi="Times New Roman"/>
          <w:sz w:val="24"/>
          <w:szCs w:val="24"/>
        </w:rPr>
        <w:t>Mayta Calderón, J., Morales Moreno, A., Cárdenas Rojas, A., Mogollón Lavi, J., Armas Rodríguez, V., Luis, N.</w:t>
      </w:r>
      <w:r w:rsidR="008470B8" w:rsidRPr="00495A0D">
        <w:rPr>
          <w:rFonts w:ascii="Times New Roman" w:hAnsi="Times New Roman"/>
          <w:sz w:val="24"/>
          <w:szCs w:val="24"/>
        </w:rPr>
        <w:t xml:space="preserve"> </w:t>
      </w:r>
      <w:r w:rsidR="00476AC0" w:rsidRPr="00495A0D">
        <w:rPr>
          <w:rFonts w:ascii="Times New Roman" w:hAnsi="Times New Roman"/>
          <w:sz w:val="24"/>
          <w:szCs w:val="24"/>
        </w:rPr>
        <w:t xml:space="preserve">y </w:t>
      </w:r>
      <w:r w:rsidRPr="00495A0D">
        <w:rPr>
          <w:rFonts w:ascii="Times New Roman" w:hAnsi="Times New Roman"/>
          <w:sz w:val="24"/>
          <w:szCs w:val="24"/>
        </w:rPr>
        <w:t>Ruíz Mori, C. (2015). Determinación de riesgo cardiovascular y edad vascular según el score de Framingham en pacientes del Hospital Nacional Arzobispo Loayza. </w:t>
      </w:r>
      <w:r w:rsidRPr="00495A0D">
        <w:rPr>
          <w:rFonts w:ascii="Times New Roman" w:hAnsi="Times New Roman"/>
          <w:i/>
          <w:iCs/>
          <w:sz w:val="24"/>
          <w:szCs w:val="24"/>
        </w:rPr>
        <w:t>Horizonte Médico, 15 </w:t>
      </w:r>
      <w:r w:rsidRPr="00495A0D">
        <w:rPr>
          <w:rFonts w:ascii="Times New Roman" w:hAnsi="Times New Roman"/>
          <w:sz w:val="24"/>
          <w:szCs w:val="24"/>
        </w:rPr>
        <w:t>(2), 27-34. </w:t>
      </w:r>
    </w:p>
    <w:p w14:paraId="0F0B9A30" w14:textId="5F248C78" w:rsidR="00525BB7" w:rsidRPr="00495A0D" w:rsidRDefault="00337BD3" w:rsidP="00495A0D">
      <w:pPr>
        <w:pStyle w:val="Prrafodelista"/>
        <w:spacing w:after="0" w:line="360" w:lineRule="auto"/>
        <w:ind w:left="567" w:hanging="567"/>
        <w:jc w:val="both"/>
        <w:rPr>
          <w:rFonts w:ascii="Times New Roman" w:hAnsi="Times New Roman"/>
          <w:sz w:val="24"/>
          <w:szCs w:val="24"/>
          <w:lang w:val="es-ES" w:eastAsia="es-ES"/>
        </w:rPr>
      </w:pPr>
      <w:r w:rsidRPr="00495A0D">
        <w:rPr>
          <w:rFonts w:ascii="Times New Roman" w:hAnsi="Times New Roman"/>
          <w:sz w:val="24"/>
          <w:szCs w:val="24"/>
          <w:lang w:val="es-ES" w:eastAsia="es-ES"/>
        </w:rPr>
        <w:t>Nieves Ruíz, E.</w:t>
      </w:r>
      <w:r w:rsidR="00476AC0" w:rsidRPr="00495A0D">
        <w:rPr>
          <w:rFonts w:ascii="Times New Roman" w:hAnsi="Times New Roman"/>
          <w:sz w:val="24"/>
          <w:szCs w:val="24"/>
          <w:lang w:val="es-ES" w:eastAsia="es-ES"/>
        </w:rPr>
        <w:t xml:space="preserve"> </w:t>
      </w:r>
      <w:r w:rsidRPr="00495A0D">
        <w:rPr>
          <w:rFonts w:ascii="Times New Roman" w:hAnsi="Times New Roman"/>
          <w:sz w:val="24"/>
          <w:szCs w:val="24"/>
          <w:lang w:val="es-ES" w:eastAsia="es-ES"/>
        </w:rPr>
        <w:t>R., Hernández Durán, A.</w:t>
      </w:r>
      <w:r w:rsidR="00476AC0" w:rsidRPr="00495A0D">
        <w:rPr>
          <w:rFonts w:ascii="Times New Roman" w:hAnsi="Times New Roman"/>
          <w:sz w:val="24"/>
          <w:szCs w:val="24"/>
          <w:lang w:val="es-ES" w:eastAsia="es-ES"/>
        </w:rPr>
        <w:t xml:space="preserve"> </w:t>
      </w:r>
      <w:r w:rsidRPr="00495A0D">
        <w:rPr>
          <w:rFonts w:ascii="Times New Roman" w:hAnsi="Times New Roman"/>
          <w:sz w:val="24"/>
          <w:szCs w:val="24"/>
          <w:lang w:val="es-ES" w:eastAsia="es-ES"/>
        </w:rPr>
        <w:t xml:space="preserve">G. </w:t>
      </w:r>
      <w:r w:rsidR="00476AC0" w:rsidRPr="00495A0D">
        <w:rPr>
          <w:rFonts w:ascii="Times New Roman" w:hAnsi="Times New Roman"/>
          <w:sz w:val="24"/>
          <w:szCs w:val="24"/>
          <w:lang w:val="es-ES" w:eastAsia="es-ES"/>
        </w:rPr>
        <w:t xml:space="preserve">y </w:t>
      </w:r>
      <w:r w:rsidRPr="00495A0D">
        <w:rPr>
          <w:rFonts w:ascii="Times New Roman" w:hAnsi="Times New Roman"/>
          <w:sz w:val="24"/>
          <w:szCs w:val="24"/>
          <w:lang w:val="es-ES" w:eastAsia="es-ES"/>
        </w:rPr>
        <w:t>Aguilar Martínez, N.C. (2011)</w:t>
      </w:r>
      <w:r w:rsidR="00476AC0" w:rsidRPr="00495A0D">
        <w:rPr>
          <w:rFonts w:ascii="Times New Roman" w:hAnsi="Times New Roman"/>
          <w:sz w:val="24"/>
          <w:szCs w:val="24"/>
          <w:lang w:val="es-ES" w:eastAsia="es-ES"/>
        </w:rPr>
        <w:t>.</w:t>
      </w:r>
      <w:r w:rsidR="004D56E3" w:rsidRPr="00495A0D">
        <w:rPr>
          <w:rFonts w:ascii="Times New Roman" w:hAnsi="Times New Roman"/>
          <w:sz w:val="24"/>
          <w:szCs w:val="24"/>
          <w:lang w:val="es-ES" w:eastAsia="es-ES"/>
        </w:rPr>
        <w:t xml:space="preserve"> </w:t>
      </w:r>
      <w:r w:rsidRPr="00495A0D">
        <w:rPr>
          <w:rFonts w:ascii="Times New Roman" w:hAnsi="Times New Roman"/>
          <w:sz w:val="24"/>
          <w:szCs w:val="24"/>
          <w:lang w:val="es-ES" w:eastAsia="es-ES"/>
        </w:rPr>
        <w:t xml:space="preserve">Obesidad en personal de enfermería </w:t>
      </w:r>
      <w:r w:rsidR="009328A8" w:rsidRPr="00495A0D">
        <w:rPr>
          <w:rFonts w:ascii="Times New Roman" w:hAnsi="Times New Roman"/>
          <w:sz w:val="24"/>
          <w:szCs w:val="24"/>
          <w:lang w:val="es-ES" w:eastAsia="es-ES"/>
        </w:rPr>
        <w:t xml:space="preserve">de una unidad de medicina familiar. </w:t>
      </w:r>
      <w:r w:rsidR="009328A8" w:rsidRPr="00495A0D">
        <w:rPr>
          <w:rFonts w:ascii="Times New Roman" w:hAnsi="Times New Roman"/>
          <w:i/>
          <w:sz w:val="24"/>
          <w:szCs w:val="24"/>
          <w:lang w:val="es-ES" w:eastAsia="es-ES"/>
        </w:rPr>
        <w:t xml:space="preserve">Rev. </w:t>
      </w:r>
      <w:proofErr w:type="spellStart"/>
      <w:r w:rsidR="009328A8" w:rsidRPr="00495A0D">
        <w:rPr>
          <w:rFonts w:ascii="Times New Roman" w:hAnsi="Times New Roman"/>
          <w:i/>
          <w:sz w:val="24"/>
          <w:szCs w:val="24"/>
          <w:lang w:val="es-ES" w:eastAsia="es-ES"/>
        </w:rPr>
        <w:t>Enferm</w:t>
      </w:r>
      <w:proofErr w:type="spellEnd"/>
      <w:r w:rsidR="009328A8" w:rsidRPr="00495A0D">
        <w:rPr>
          <w:rFonts w:ascii="Times New Roman" w:hAnsi="Times New Roman"/>
          <w:i/>
          <w:sz w:val="24"/>
          <w:szCs w:val="24"/>
          <w:lang w:val="es-ES" w:eastAsia="es-ES"/>
        </w:rPr>
        <w:t xml:space="preserve">. </w:t>
      </w:r>
      <w:proofErr w:type="spellStart"/>
      <w:r w:rsidR="009328A8" w:rsidRPr="00495A0D">
        <w:rPr>
          <w:rFonts w:ascii="Times New Roman" w:hAnsi="Times New Roman"/>
          <w:i/>
          <w:sz w:val="24"/>
          <w:szCs w:val="24"/>
          <w:lang w:val="es-ES" w:eastAsia="es-ES"/>
        </w:rPr>
        <w:t>Instit</w:t>
      </w:r>
      <w:proofErr w:type="spellEnd"/>
      <w:r w:rsidR="009328A8" w:rsidRPr="00495A0D">
        <w:rPr>
          <w:rFonts w:ascii="Times New Roman" w:hAnsi="Times New Roman"/>
          <w:i/>
          <w:sz w:val="24"/>
          <w:szCs w:val="24"/>
          <w:lang w:val="es-ES" w:eastAsia="es-ES"/>
        </w:rPr>
        <w:t xml:space="preserve">. Mex. Seguro </w:t>
      </w:r>
      <w:proofErr w:type="spellStart"/>
      <w:r w:rsidR="009328A8" w:rsidRPr="00495A0D">
        <w:rPr>
          <w:rFonts w:ascii="Times New Roman" w:hAnsi="Times New Roman"/>
          <w:i/>
          <w:sz w:val="24"/>
          <w:szCs w:val="24"/>
          <w:lang w:val="es-ES" w:eastAsia="es-ES"/>
        </w:rPr>
        <w:t>Soc</w:t>
      </w:r>
      <w:proofErr w:type="spellEnd"/>
      <w:r w:rsidR="00476AC0" w:rsidRPr="00495A0D">
        <w:rPr>
          <w:rFonts w:ascii="Times New Roman" w:hAnsi="Times New Roman"/>
          <w:i/>
          <w:sz w:val="24"/>
          <w:szCs w:val="24"/>
          <w:lang w:val="es-ES" w:eastAsia="es-ES"/>
        </w:rPr>
        <w:t xml:space="preserve">, </w:t>
      </w:r>
      <w:r w:rsidR="009328A8" w:rsidRPr="00495A0D">
        <w:rPr>
          <w:rFonts w:ascii="Times New Roman" w:hAnsi="Times New Roman"/>
          <w:i/>
          <w:sz w:val="24"/>
          <w:szCs w:val="24"/>
          <w:lang w:val="es-ES" w:eastAsia="es-ES"/>
        </w:rPr>
        <w:t>19</w:t>
      </w:r>
      <w:r w:rsidR="009328A8" w:rsidRPr="00495A0D">
        <w:rPr>
          <w:rFonts w:ascii="Times New Roman" w:hAnsi="Times New Roman"/>
          <w:sz w:val="24"/>
          <w:szCs w:val="24"/>
          <w:lang w:val="es-ES" w:eastAsia="es-ES"/>
        </w:rPr>
        <w:t>(2)</w:t>
      </w:r>
      <w:r w:rsidR="00D3500A" w:rsidRPr="00495A0D">
        <w:rPr>
          <w:rFonts w:ascii="Times New Roman" w:hAnsi="Times New Roman"/>
          <w:sz w:val="24"/>
          <w:szCs w:val="24"/>
          <w:lang w:val="es-ES" w:eastAsia="es-ES"/>
        </w:rPr>
        <w:t>, 87-90.</w:t>
      </w:r>
    </w:p>
    <w:p w14:paraId="4C8A6600" w14:textId="38F8794E" w:rsidR="009770D8" w:rsidRPr="00495A0D" w:rsidRDefault="00F0279B" w:rsidP="00495A0D">
      <w:pPr>
        <w:pStyle w:val="Prrafodelista"/>
        <w:spacing w:after="0" w:line="360" w:lineRule="auto"/>
        <w:ind w:left="567" w:hanging="567"/>
        <w:jc w:val="both"/>
        <w:rPr>
          <w:rFonts w:ascii="Times New Roman" w:hAnsi="Times New Roman"/>
          <w:sz w:val="24"/>
          <w:szCs w:val="24"/>
        </w:rPr>
      </w:pPr>
      <w:r w:rsidRPr="00495A0D">
        <w:rPr>
          <w:rFonts w:ascii="Times New Roman" w:hAnsi="Times New Roman"/>
          <w:sz w:val="24"/>
          <w:szCs w:val="24"/>
        </w:rPr>
        <w:t xml:space="preserve">Organización Mundial de la Salud </w:t>
      </w:r>
      <w:r w:rsidR="009770D8" w:rsidRPr="00495A0D">
        <w:rPr>
          <w:rFonts w:ascii="Times New Roman" w:hAnsi="Times New Roman"/>
          <w:sz w:val="24"/>
          <w:szCs w:val="24"/>
        </w:rPr>
        <w:t xml:space="preserve">(OMS). </w:t>
      </w:r>
      <w:r w:rsidRPr="00495A0D">
        <w:rPr>
          <w:rFonts w:ascii="Times New Roman" w:hAnsi="Times New Roman"/>
          <w:sz w:val="24"/>
          <w:szCs w:val="24"/>
        </w:rPr>
        <w:t xml:space="preserve">(2008). </w:t>
      </w:r>
      <w:r w:rsidRPr="00495A0D">
        <w:rPr>
          <w:rFonts w:ascii="Times New Roman" w:hAnsi="Times New Roman"/>
          <w:i/>
          <w:sz w:val="24"/>
          <w:szCs w:val="24"/>
        </w:rPr>
        <w:t>Guía de bolsillo para la</w:t>
      </w:r>
      <w:r w:rsidR="004D56E3" w:rsidRPr="00495A0D">
        <w:rPr>
          <w:rFonts w:ascii="Times New Roman" w:hAnsi="Times New Roman"/>
          <w:i/>
          <w:sz w:val="24"/>
          <w:szCs w:val="24"/>
        </w:rPr>
        <w:t xml:space="preserve"> </w:t>
      </w:r>
      <w:r w:rsidRPr="00495A0D">
        <w:rPr>
          <w:rFonts w:ascii="Times New Roman" w:hAnsi="Times New Roman"/>
          <w:i/>
          <w:sz w:val="24"/>
          <w:szCs w:val="24"/>
        </w:rPr>
        <w:t xml:space="preserve">estimación y manejo del riesgo cardiovascular. </w:t>
      </w:r>
      <w:r w:rsidRPr="00495A0D">
        <w:rPr>
          <w:rFonts w:ascii="Times New Roman" w:hAnsi="Times New Roman"/>
          <w:sz w:val="24"/>
          <w:szCs w:val="24"/>
        </w:rPr>
        <w:t>Recuperado de</w:t>
      </w:r>
      <w:r w:rsidR="009770D8" w:rsidRPr="00495A0D">
        <w:rPr>
          <w:rFonts w:ascii="Times New Roman" w:hAnsi="Times New Roman"/>
          <w:sz w:val="24"/>
          <w:szCs w:val="24"/>
        </w:rPr>
        <w:t xml:space="preserve"> </w:t>
      </w:r>
      <w:hyperlink r:id="rId21" w:history="1">
        <w:r w:rsidR="009770D8" w:rsidRPr="00495A0D">
          <w:rPr>
            <w:rStyle w:val="Hipervnculo"/>
            <w:rFonts w:ascii="Times New Roman" w:hAnsi="Times New Roman"/>
            <w:sz w:val="24"/>
            <w:szCs w:val="24"/>
          </w:rPr>
          <w:t>http://www.who.int/publications/list/PocketGL_spanish.pdf?ua=1</w:t>
        </w:r>
      </w:hyperlink>
      <w:r w:rsidR="009770D8" w:rsidRPr="00495A0D">
        <w:rPr>
          <w:rFonts w:ascii="Times New Roman" w:hAnsi="Times New Roman"/>
          <w:sz w:val="24"/>
          <w:szCs w:val="24"/>
        </w:rPr>
        <w:t xml:space="preserve"> </w:t>
      </w:r>
    </w:p>
    <w:p w14:paraId="748B069F" w14:textId="2F5282B3" w:rsidR="00B055F7" w:rsidRPr="00495A0D" w:rsidRDefault="00B055F7" w:rsidP="00495A0D">
      <w:pPr>
        <w:pStyle w:val="Prrafodelista"/>
        <w:spacing w:after="0" w:line="360" w:lineRule="auto"/>
        <w:ind w:left="567" w:hanging="567"/>
        <w:jc w:val="both"/>
        <w:rPr>
          <w:rFonts w:ascii="Times New Roman" w:hAnsi="Times New Roman"/>
          <w:sz w:val="24"/>
          <w:szCs w:val="24"/>
        </w:rPr>
      </w:pPr>
      <w:r w:rsidRPr="00495A0D">
        <w:rPr>
          <w:rFonts w:ascii="Times New Roman" w:hAnsi="Times New Roman"/>
          <w:sz w:val="24"/>
          <w:szCs w:val="24"/>
        </w:rPr>
        <w:t>Organización Mundial de la Salud</w:t>
      </w:r>
      <w:r w:rsidR="009770D8" w:rsidRPr="00495A0D">
        <w:rPr>
          <w:rFonts w:ascii="Times New Roman" w:hAnsi="Times New Roman"/>
          <w:sz w:val="24"/>
          <w:szCs w:val="24"/>
        </w:rPr>
        <w:t xml:space="preserve"> (OMS).</w:t>
      </w:r>
      <w:r w:rsidRPr="00495A0D">
        <w:rPr>
          <w:rFonts w:ascii="Times New Roman" w:hAnsi="Times New Roman"/>
          <w:sz w:val="24"/>
          <w:szCs w:val="24"/>
        </w:rPr>
        <w:t xml:space="preserve"> (2013). </w:t>
      </w:r>
      <w:r w:rsidRPr="00495A0D">
        <w:rPr>
          <w:rFonts w:ascii="Times New Roman" w:hAnsi="Times New Roman"/>
          <w:i/>
          <w:sz w:val="24"/>
          <w:szCs w:val="24"/>
        </w:rPr>
        <w:t xml:space="preserve">Información general sobre la hipertensión en el mundo. </w:t>
      </w:r>
      <w:r w:rsidRPr="00495A0D">
        <w:rPr>
          <w:rFonts w:ascii="Times New Roman" w:hAnsi="Times New Roman"/>
          <w:sz w:val="24"/>
          <w:szCs w:val="24"/>
        </w:rPr>
        <w:t xml:space="preserve">Recuperado de </w:t>
      </w:r>
      <w:hyperlink r:id="rId22" w:history="1">
        <w:r w:rsidRPr="00495A0D">
          <w:rPr>
            <w:rStyle w:val="Hipervnculo"/>
            <w:rFonts w:ascii="Times New Roman" w:hAnsi="Times New Roman"/>
            <w:sz w:val="24"/>
            <w:szCs w:val="24"/>
          </w:rPr>
          <w:t>http://apps.who.int/iris/bitstream/10665/87679/1/WHO_DCO_WHD_2013.2_spa.pdf</w:t>
        </w:r>
      </w:hyperlink>
      <w:r w:rsidRPr="00495A0D">
        <w:rPr>
          <w:rFonts w:ascii="Times New Roman" w:hAnsi="Times New Roman"/>
          <w:sz w:val="24"/>
          <w:szCs w:val="24"/>
        </w:rPr>
        <w:t xml:space="preserve"> </w:t>
      </w:r>
    </w:p>
    <w:p w14:paraId="37B19106" w14:textId="35DF49A3" w:rsidR="00FF3D0A" w:rsidRPr="00495A0D" w:rsidRDefault="00FF3D0A" w:rsidP="00495A0D">
      <w:pPr>
        <w:pStyle w:val="Prrafodelista"/>
        <w:spacing w:after="0" w:line="360" w:lineRule="auto"/>
        <w:ind w:left="567" w:hanging="567"/>
        <w:jc w:val="both"/>
        <w:rPr>
          <w:rFonts w:ascii="Times New Roman" w:hAnsi="Times New Roman"/>
          <w:sz w:val="24"/>
          <w:szCs w:val="24"/>
        </w:rPr>
      </w:pPr>
      <w:r w:rsidRPr="00495A0D">
        <w:rPr>
          <w:rFonts w:ascii="Times New Roman" w:hAnsi="Times New Roman"/>
          <w:sz w:val="24"/>
          <w:szCs w:val="24"/>
        </w:rPr>
        <w:t xml:space="preserve">Sifuentes Contreras, A., Sosa Gil, E., Pérez Moreno, A.R. </w:t>
      </w:r>
      <w:r w:rsidR="009770D8" w:rsidRPr="00495A0D">
        <w:rPr>
          <w:rFonts w:ascii="Times New Roman" w:hAnsi="Times New Roman"/>
          <w:sz w:val="24"/>
          <w:szCs w:val="24"/>
        </w:rPr>
        <w:t xml:space="preserve">y </w:t>
      </w:r>
      <w:r w:rsidRPr="00495A0D">
        <w:rPr>
          <w:rFonts w:ascii="Times New Roman" w:hAnsi="Times New Roman"/>
          <w:sz w:val="24"/>
          <w:szCs w:val="24"/>
        </w:rPr>
        <w:t xml:space="preserve">Parra Falcón, F.M. (2011). Riesgo cardiovascular del personal de enfermería en el área quirúrgica. </w:t>
      </w:r>
      <w:r w:rsidRPr="00495A0D">
        <w:rPr>
          <w:rFonts w:ascii="Times New Roman" w:hAnsi="Times New Roman"/>
          <w:i/>
          <w:sz w:val="24"/>
          <w:szCs w:val="24"/>
        </w:rPr>
        <w:t>Enfermería Global, 10</w:t>
      </w:r>
      <w:r w:rsidRPr="00495A0D">
        <w:rPr>
          <w:rFonts w:ascii="Times New Roman" w:hAnsi="Times New Roman"/>
          <w:sz w:val="24"/>
          <w:szCs w:val="24"/>
        </w:rPr>
        <w:t>(21)</w:t>
      </w:r>
      <w:r w:rsidR="009770D8" w:rsidRPr="00495A0D">
        <w:rPr>
          <w:rFonts w:ascii="Times New Roman" w:hAnsi="Times New Roman"/>
          <w:sz w:val="24"/>
          <w:szCs w:val="24"/>
        </w:rPr>
        <w:t>.</w:t>
      </w:r>
      <w:r w:rsidRPr="00495A0D">
        <w:rPr>
          <w:rFonts w:ascii="Times New Roman" w:hAnsi="Times New Roman"/>
          <w:sz w:val="24"/>
          <w:szCs w:val="24"/>
        </w:rPr>
        <w:t xml:space="preserve"> Recuperado de </w:t>
      </w:r>
      <w:hyperlink r:id="rId23" w:history="1">
        <w:r w:rsidRPr="00495A0D">
          <w:rPr>
            <w:rStyle w:val="Hipervnculo"/>
            <w:rFonts w:ascii="Times New Roman" w:hAnsi="Times New Roman"/>
            <w:sz w:val="24"/>
            <w:szCs w:val="24"/>
          </w:rPr>
          <w:t>http://scielo.isciii.es/scielo.php?script=sci_arttext&amp;pid=S1695-61412011000100005&amp;lng=es&amp;tlng=es</w:t>
        </w:r>
      </w:hyperlink>
      <w:r w:rsidRPr="00495A0D">
        <w:rPr>
          <w:rFonts w:ascii="Times New Roman" w:hAnsi="Times New Roman"/>
          <w:sz w:val="24"/>
          <w:szCs w:val="24"/>
        </w:rPr>
        <w:t xml:space="preserve">. </w:t>
      </w:r>
    </w:p>
    <w:p w14:paraId="3C7D9BF9" w14:textId="627E90D6" w:rsidR="00F868F6" w:rsidRPr="00495A0D" w:rsidRDefault="00F868F6" w:rsidP="00495A0D">
      <w:pPr>
        <w:spacing w:after="0" w:line="360" w:lineRule="auto"/>
        <w:ind w:left="567" w:hanging="567"/>
        <w:jc w:val="both"/>
        <w:rPr>
          <w:rFonts w:ascii="Times New Roman" w:hAnsi="Times New Roman"/>
          <w:sz w:val="24"/>
          <w:szCs w:val="24"/>
        </w:rPr>
      </w:pPr>
      <w:r w:rsidRPr="00495A0D">
        <w:rPr>
          <w:rFonts w:ascii="Times New Roman" w:hAnsi="Times New Roman"/>
          <w:sz w:val="24"/>
          <w:szCs w:val="24"/>
        </w:rPr>
        <w:t>Suárez Cuba, M.A. (2010). La importancia del análisis de los acontecimientos</w:t>
      </w:r>
      <w:r w:rsidR="009770D8" w:rsidRPr="00495A0D">
        <w:rPr>
          <w:rFonts w:ascii="Times New Roman" w:hAnsi="Times New Roman"/>
          <w:sz w:val="24"/>
          <w:szCs w:val="24"/>
        </w:rPr>
        <w:t xml:space="preserve"> </w:t>
      </w:r>
      <w:r w:rsidRPr="00495A0D">
        <w:rPr>
          <w:rFonts w:ascii="Times New Roman" w:hAnsi="Times New Roman"/>
          <w:sz w:val="24"/>
          <w:szCs w:val="24"/>
        </w:rPr>
        <w:t xml:space="preserve">vitales estresantes en la práctica clínica. </w:t>
      </w:r>
      <w:r w:rsidRPr="00495A0D">
        <w:rPr>
          <w:rFonts w:ascii="Times New Roman" w:hAnsi="Times New Roman"/>
          <w:i/>
          <w:sz w:val="24"/>
          <w:szCs w:val="24"/>
        </w:rPr>
        <w:t>Revista Médica La Paz,</w:t>
      </w:r>
      <w:r w:rsidR="009770D8" w:rsidRPr="00495A0D">
        <w:rPr>
          <w:rFonts w:ascii="Times New Roman" w:hAnsi="Times New Roman"/>
          <w:sz w:val="24"/>
          <w:szCs w:val="24"/>
        </w:rPr>
        <w:t xml:space="preserve"> </w:t>
      </w:r>
      <w:r w:rsidRPr="00495A0D">
        <w:rPr>
          <w:rFonts w:ascii="Times New Roman" w:hAnsi="Times New Roman"/>
          <w:i/>
          <w:sz w:val="24"/>
          <w:szCs w:val="24"/>
        </w:rPr>
        <w:t>16</w:t>
      </w:r>
      <w:r w:rsidRPr="00495A0D">
        <w:rPr>
          <w:rFonts w:ascii="Times New Roman" w:hAnsi="Times New Roman"/>
          <w:sz w:val="24"/>
          <w:szCs w:val="24"/>
        </w:rPr>
        <w:t xml:space="preserve">(2), 58-62.  </w:t>
      </w:r>
    </w:p>
    <w:p w14:paraId="2424E9A5" w14:textId="27C69818" w:rsidR="005F2B2D" w:rsidRPr="00495A0D" w:rsidRDefault="005F2B2D" w:rsidP="00495A0D">
      <w:pPr>
        <w:pStyle w:val="Prrafodelista"/>
        <w:spacing w:after="0" w:line="360" w:lineRule="auto"/>
        <w:ind w:left="567" w:hanging="567"/>
        <w:jc w:val="both"/>
        <w:rPr>
          <w:rFonts w:ascii="Times New Roman" w:hAnsi="Times New Roman"/>
          <w:color w:val="000000"/>
          <w:sz w:val="24"/>
          <w:szCs w:val="24"/>
        </w:rPr>
      </w:pPr>
      <w:r w:rsidRPr="00495A0D">
        <w:rPr>
          <w:rFonts w:ascii="Times New Roman" w:hAnsi="Times New Roman"/>
          <w:color w:val="000000"/>
          <w:sz w:val="24"/>
          <w:szCs w:val="24"/>
        </w:rPr>
        <w:t>Vega Abascal, J., Guimará Mosqueda, M.</w:t>
      </w:r>
      <w:r w:rsidR="00150377" w:rsidRPr="00495A0D">
        <w:rPr>
          <w:rFonts w:ascii="Times New Roman" w:hAnsi="Times New Roman"/>
          <w:color w:val="000000"/>
          <w:sz w:val="24"/>
          <w:szCs w:val="24"/>
        </w:rPr>
        <w:t xml:space="preserve"> </w:t>
      </w:r>
      <w:r w:rsidRPr="00495A0D">
        <w:rPr>
          <w:rFonts w:ascii="Times New Roman" w:hAnsi="Times New Roman"/>
          <w:color w:val="000000"/>
          <w:sz w:val="24"/>
          <w:szCs w:val="24"/>
        </w:rPr>
        <w:t>R., Garcés   Hernández, Y., Vega</w:t>
      </w:r>
      <w:r w:rsidR="004D56E3" w:rsidRPr="00495A0D">
        <w:rPr>
          <w:rFonts w:ascii="Times New Roman" w:hAnsi="Times New Roman"/>
          <w:color w:val="000000"/>
          <w:sz w:val="24"/>
          <w:szCs w:val="24"/>
        </w:rPr>
        <w:t xml:space="preserve"> </w:t>
      </w:r>
      <w:r w:rsidRPr="00495A0D">
        <w:rPr>
          <w:rFonts w:ascii="Times New Roman" w:hAnsi="Times New Roman"/>
          <w:sz w:val="24"/>
          <w:szCs w:val="24"/>
        </w:rPr>
        <w:t>Abascal, L.</w:t>
      </w:r>
      <w:r w:rsidR="00150377" w:rsidRPr="00495A0D">
        <w:rPr>
          <w:rFonts w:ascii="Times New Roman" w:hAnsi="Times New Roman"/>
          <w:sz w:val="24"/>
          <w:szCs w:val="24"/>
        </w:rPr>
        <w:t xml:space="preserve"> </w:t>
      </w:r>
      <w:r w:rsidRPr="00495A0D">
        <w:rPr>
          <w:rFonts w:ascii="Times New Roman" w:hAnsi="Times New Roman"/>
          <w:sz w:val="24"/>
          <w:szCs w:val="24"/>
        </w:rPr>
        <w:t>A</w:t>
      </w:r>
      <w:r w:rsidR="00150377" w:rsidRPr="00495A0D">
        <w:rPr>
          <w:rFonts w:ascii="Times New Roman" w:hAnsi="Times New Roman"/>
          <w:sz w:val="24"/>
          <w:szCs w:val="24"/>
        </w:rPr>
        <w:t>. y</w:t>
      </w:r>
      <w:r w:rsidR="00150377" w:rsidRPr="00495A0D">
        <w:rPr>
          <w:rFonts w:ascii="Times New Roman" w:hAnsi="Times New Roman"/>
          <w:color w:val="000000"/>
          <w:sz w:val="24"/>
          <w:szCs w:val="24"/>
        </w:rPr>
        <w:t xml:space="preserve"> </w:t>
      </w:r>
      <w:r w:rsidRPr="00495A0D">
        <w:rPr>
          <w:rFonts w:ascii="Times New Roman" w:hAnsi="Times New Roman"/>
          <w:color w:val="000000"/>
          <w:sz w:val="24"/>
          <w:szCs w:val="24"/>
        </w:rPr>
        <w:t>Rivas Estévez, M. (2015). Predicción de riesgo coronario y cardiovascular global en la atención primaria de salud. </w:t>
      </w:r>
      <w:r w:rsidRPr="00495A0D">
        <w:rPr>
          <w:rFonts w:ascii="Times New Roman" w:hAnsi="Times New Roman"/>
          <w:i/>
          <w:iCs/>
          <w:color w:val="000000"/>
          <w:sz w:val="24"/>
          <w:szCs w:val="24"/>
        </w:rPr>
        <w:t>Correo Científico Médico</w:t>
      </w:r>
      <w:r w:rsidRPr="00495A0D">
        <w:rPr>
          <w:rFonts w:ascii="Times New Roman" w:hAnsi="Times New Roman"/>
          <w:color w:val="000000"/>
          <w:sz w:val="24"/>
          <w:szCs w:val="24"/>
        </w:rPr>
        <w:t>, </w:t>
      </w:r>
      <w:r w:rsidRPr="00495A0D">
        <w:rPr>
          <w:rFonts w:ascii="Times New Roman" w:hAnsi="Times New Roman"/>
          <w:i/>
          <w:iCs/>
          <w:color w:val="000000"/>
          <w:sz w:val="24"/>
          <w:szCs w:val="24"/>
        </w:rPr>
        <w:t>19</w:t>
      </w:r>
      <w:r w:rsidRPr="00495A0D">
        <w:rPr>
          <w:rFonts w:ascii="Times New Roman" w:hAnsi="Times New Roman"/>
          <w:color w:val="000000"/>
          <w:sz w:val="24"/>
          <w:szCs w:val="24"/>
        </w:rPr>
        <w:t xml:space="preserve">(2), 202-211. Recuperado </w:t>
      </w:r>
      <w:r w:rsidRPr="00495A0D">
        <w:rPr>
          <w:rFonts w:ascii="Times New Roman" w:hAnsi="Times New Roman"/>
          <w:color w:val="000000"/>
          <w:sz w:val="24"/>
          <w:szCs w:val="24"/>
        </w:rPr>
        <w:lastRenderedPageBreak/>
        <w:t xml:space="preserve">de </w:t>
      </w:r>
      <w:hyperlink r:id="rId24" w:history="1">
        <w:r w:rsidRPr="00495A0D">
          <w:rPr>
            <w:rStyle w:val="Hipervnculo"/>
            <w:rFonts w:ascii="Times New Roman" w:hAnsi="Times New Roman"/>
            <w:sz w:val="24"/>
            <w:szCs w:val="24"/>
          </w:rPr>
          <w:t>http://scielo.sld.cu/scielo.php?script=sci_arttext&amp;pid=S1560-43812015000200003&amp;lng=es&amp;tlng=es</w:t>
        </w:r>
      </w:hyperlink>
      <w:r w:rsidRPr="00495A0D">
        <w:rPr>
          <w:rFonts w:ascii="Times New Roman" w:hAnsi="Times New Roman"/>
          <w:color w:val="000000"/>
          <w:sz w:val="24"/>
          <w:szCs w:val="24"/>
        </w:rPr>
        <w:t xml:space="preserve">. </w:t>
      </w:r>
    </w:p>
    <w:p w14:paraId="280DC40A" w14:textId="7D5F85E2" w:rsidR="00992C3F" w:rsidRPr="00EE1BD6" w:rsidRDefault="001B2188" w:rsidP="00495A0D">
      <w:pPr>
        <w:pStyle w:val="Prrafodelista"/>
        <w:spacing w:after="0" w:line="360" w:lineRule="auto"/>
        <w:ind w:left="567" w:hanging="567"/>
        <w:jc w:val="both"/>
        <w:rPr>
          <w:rFonts w:ascii="Times New Roman" w:hAnsi="Times New Roman"/>
          <w:sz w:val="24"/>
          <w:szCs w:val="24"/>
          <w:lang w:val="en-US" w:eastAsia="es-ES"/>
        </w:rPr>
      </w:pPr>
      <w:r w:rsidRPr="00EE1BD6">
        <w:rPr>
          <w:rFonts w:ascii="Times New Roman" w:hAnsi="Times New Roman"/>
          <w:sz w:val="24"/>
          <w:szCs w:val="24"/>
          <w:lang w:val="en-US"/>
        </w:rPr>
        <w:t xml:space="preserve">Wehr, E., </w:t>
      </w:r>
      <w:proofErr w:type="spellStart"/>
      <w:r w:rsidRPr="00EE1BD6">
        <w:rPr>
          <w:rFonts w:ascii="Times New Roman" w:hAnsi="Times New Roman"/>
          <w:sz w:val="24"/>
          <w:szCs w:val="24"/>
          <w:lang w:val="en-US"/>
        </w:rPr>
        <w:t>Pilz</w:t>
      </w:r>
      <w:proofErr w:type="spellEnd"/>
      <w:r w:rsidRPr="00EE1BD6">
        <w:rPr>
          <w:rFonts w:ascii="Times New Roman" w:hAnsi="Times New Roman"/>
          <w:sz w:val="24"/>
          <w:szCs w:val="24"/>
          <w:lang w:val="en-US"/>
        </w:rPr>
        <w:t xml:space="preserve">, S., Boehm, B.O., </w:t>
      </w:r>
      <w:proofErr w:type="spellStart"/>
      <w:r w:rsidRPr="00EE1BD6">
        <w:rPr>
          <w:rFonts w:ascii="Times New Roman" w:hAnsi="Times New Roman"/>
          <w:sz w:val="24"/>
          <w:szCs w:val="24"/>
          <w:lang w:val="en-US"/>
        </w:rPr>
        <w:t>Marz</w:t>
      </w:r>
      <w:proofErr w:type="spellEnd"/>
      <w:r w:rsidRPr="00EE1BD6">
        <w:rPr>
          <w:rFonts w:ascii="Times New Roman" w:hAnsi="Times New Roman"/>
          <w:sz w:val="24"/>
          <w:szCs w:val="24"/>
          <w:lang w:val="en-US"/>
        </w:rPr>
        <w:t xml:space="preserve">, W., </w:t>
      </w:r>
      <w:r w:rsidR="00150377" w:rsidRPr="00EE1BD6">
        <w:rPr>
          <w:rFonts w:ascii="Times New Roman" w:hAnsi="Times New Roman"/>
          <w:sz w:val="24"/>
          <w:szCs w:val="24"/>
          <w:lang w:val="en-US"/>
        </w:rPr>
        <w:t xml:space="preserve">and </w:t>
      </w:r>
      <w:proofErr w:type="spellStart"/>
      <w:r w:rsidRPr="00EE1BD6">
        <w:rPr>
          <w:rFonts w:ascii="Times New Roman" w:hAnsi="Times New Roman"/>
          <w:sz w:val="24"/>
          <w:szCs w:val="24"/>
          <w:lang w:val="en-US"/>
        </w:rPr>
        <w:t>Obermayer</w:t>
      </w:r>
      <w:proofErr w:type="spellEnd"/>
      <w:r w:rsidRPr="00EE1BD6">
        <w:rPr>
          <w:rFonts w:ascii="Times New Roman" w:hAnsi="Times New Roman"/>
          <w:sz w:val="24"/>
          <w:szCs w:val="24"/>
          <w:lang w:val="en-US"/>
        </w:rPr>
        <w:t xml:space="preserve"> Pietsch, B. </w:t>
      </w:r>
      <w:r w:rsidR="005C604B" w:rsidRPr="00EE1BD6">
        <w:rPr>
          <w:rFonts w:ascii="Times New Roman" w:hAnsi="Times New Roman"/>
          <w:sz w:val="24"/>
          <w:szCs w:val="24"/>
          <w:lang w:val="en-US"/>
        </w:rPr>
        <w:t>(201</w:t>
      </w:r>
      <w:r w:rsidR="00476501" w:rsidRPr="00EE1BD6">
        <w:rPr>
          <w:rFonts w:ascii="Times New Roman" w:hAnsi="Times New Roman"/>
          <w:sz w:val="24"/>
          <w:szCs w:val="24"/>
          <w:lang w:val="en-US"/>
        </w:rPr>
        <w:t>1</w:t>
      </w:r>
      <w:r w:rsidR="005C604B" w:rsidRPr="00EE1BD6">
        <w:rPr>
          <w:rFonts w:ascii="Times New Roman" w:hAnsi="Times New Roman"/>
          <w:sz w:val="24"/>
          <w:szCs w:val="24"/>
          <w:lang w:val="en-US"/>
        </w:rPr>
        <w:t xml:space="preserve">). </w:t>
      </w:r>
      <w:r w:rsidRPr="00EE1BD6">
        <w:rPr>
          <w:rFonts w:ascii="Times New Roman" w:hAnsi="Times New Roman"/>
          <w:sz w:val="24"/>
          <w:szCs w:val="24"/>
          <w:lang w:val="en-US"/>
        </w:rPr>
        <w:t xml:space="preserve">The Lipid Accumulation </w:t>
      </w:r>
      <w:r w:rsidRPr="00EE1BD6">
        <w:rPr>
          <w:rFonts w:ascii="Times New Roman" w:hAnsi="Times New Roman"/>
          <w:sz w:val="24"/>
          <w:szCs w:val="24"/>
          <w:lang w:val="en-US" w:eastAsia="es-ES"/>
        </w:rPr>
        <w:t>Product Is Associated With Increased Mortality in Normal Weight Postmenopausal Women</w:t>
      </w:r>
      <w:r w:rsidR="005C604B" w:rsidRPr="00EE1BD6">
        <w:rPr>
          <w:rFonts w:ascii="Times New Roman" w:hAnsi="Times New Roman"/>
          <w:sz w:val="24"/>
          <w:szCs w:val="24"/>
          <w:lang w:val="en-US" w:eastAsia="es-ES"/>
        </w:rPr>
        <w:t xml:space="preserve">. </w:t>
      </w:r>
      <w:r w:rsidR="00476501" w:rsidRPr="00EE1BD6">
        <w:rPr>
          <w:rFonts w:ascii="Times New Roman" w:hAnsi="Times New Roman"/>
          <w:i/>
          <w:sz w:val="24"/>
          <w:szCs w:val="24"/>
          <w:lang w:val="en-US" w:eastAsia="es-ES"/>
        </w:rPr>
        <w:t>Obesity</w:t>
      </w:r>
      <w:r w:rsidR="00150377" w:rsidRPr="00EE1BD6">
        <w:rPr>
          <w:rFonts w:ascii="Times New Roman" w:hAnsi="Times New Roman"/>
          <w:sz w:val="24"/>
          <w:szCs w:val="24"/>
          <w:lang w:val="en-US" w:eastAsia="es-ES"/>
        </w:rPr>
        <w:t>,</w:t>
      </w:r>
      <w:r w:rsidR="00476501" w:rsidRPr="00EE1BD6">
        <w:rPr>
          <w:rFonts w:ascii="Times New Roman" w:hAnsi="Times New Roman"/>
          <w:sz w:val="24"/>
          <w:szCs w:val="24"/>
          <w:lang w:val="en-US" w:eastAsia="es-ES"/>
        </w:rPr>
        <w:t xml:space="preserve"> </w:t>
      </w:r>
      <w:r w:rsidR="00476501" w:rsidRPr="00EE1BD6">
        <w:rPr>
          <w:rFonts w:ascii="Times New Roman" w:hAnsi="Times New Roman"/>
          <w:i/>
          <w:sz w:val="24"/>
          <w:szCs w:val="24"/>
          <w:lang w:val="en-US" w:eastAsia="es-ES"/>
        </w:rPr>
        <w:t>19</w:t>
      </w:r>
      <w:r w:rsidR="00150377" w:rsidRPr="00EE1BD6">
        <w:rPr>
          <w:rFonts w:ascii="Times New Roman" w:hAnsi="Times New Roman"/>
          <w:sz w:val="24"/>
          <w:szCs w:val="24"/>
          <w:lang w:val="en-US" w:eastAsia="es-ES"/>
        </w:rPr>
        <w:t>(9)</w:t>
      </w:r>
      <w:r w:rsidR="00476501" w:rsidRPr="00EE1BD6">
        <w:rPr>
          <w:rFonts w:ascii="Times New Roman" w:hAnsi="Times New Roman"/>
          <w:sz w:val="24"/>
          <w:szCs w:val="24"/>
          <w:lang w:val="en-US" w:eastAsia="es-ES"/>
        </w:rPr>
        <w:t>, 1873-1880.</w:t>
      </w:r>
      <w:r w:rsidR="0086479F" w:rsidRPr="00EE1BD6">
        <w:rPr>
          <w:rFonts w:ascii="Times New Roman" w:hAnsi="Times New Roman"/>
          <w:sz w:val="24"/>
          <w:szCs w:val="24"/>
          <w:lang w:val="en-US" w:eastAsia="es-ES"/>
        </w:rPr>
        <w:t xml:space="preserve"> </w:t>
      </w:r>
      <w:r w:rsidR="00B9446B" w:rsidRPr="00EE1BD6">
        <w:rPr>
          <w:rFonts w:ascii="Times New Roman" w:hAnsi="Times New Roman"/>
          <w:sz w:val="24"/>
          <w:szCs w:val="24"/>
          <w:lang w:val="en-US" w:eastAsia="es-ES"/>
        </w:rPr>
        <w:t>doi:10.1038/oby.2011.42.</w:t>
      </w:r>
    </w:p>
    <w:p w14:paraId="094FFD58" w14:textId="2C6B7FC3" w:rsidR="002E747E" w:rsidRPr="00277923" w:rsidRDefault="007A4405" w:rsidP="00495A0D">
      <w:pPr>
        <w:pStyle w:val="Prrafodelista"/>
        <w:spacing w:after="0" w:line="360" w:lineRule="auto"/>
        <w:ind w:left="567" w:hanging="567"/>
        <w:jc w:val="both"/>
        <w:rPr>
          <w:rFonts w:ascii="Arial" w:hAnsi="Arial" w:cs="Arial"/>
          <w:sz w:val="24"/>
          <w:szCs w:val="24"/>
          <w:lang w:val="es-ES" w:eastAsia="es-ES"/>
        </w:rPr>
      </w:pPr>
      <w:r w:rsidRPr="00EE1BD6">
        <w:rPr>
          <w:rFonts w:ascii="Times New Roman" w:hAnsi="Times New Roman"/>
          <w:sz w:val="24"/>
          <w:szCs w:val="24"/>
          <w:lang w:val="en-US" w:eastAsia="es-ES"/>
        </w:rPr>
        <w:t>Zhang, Xiao-Chun, De-Sheng Huang, Peng Guan, Chun-Mei Gu, Li-Huan</w:t>
      </w:r>
      <w:r w:rsidR="00150377" w:rsidRPr="00EE1BD6">
        <w:rPr>
          <w:rFonts w:ascii="Times New Roman" w:hAnsi="Times New Roman"/>
          <w:sz w:val="24"/>
          <w:szCs w:val="24"/>
          <w:lang w:val="en-US" w:eastAsia="es-ES"/>
        </w:rPr>
        <w:t xml:space="preserve"> </w:t>
      </w:r>
      <w:r w:rsidRPr="00EE1BD6">
        <w:rPr>
          <w:rFonts w:ascii="Times New Roman" w:hAnsi="Times New Roman"/>
          <w:sz w:val="24"/>
          <w:szCs w:val="24"/>
          <w:lang w:val="en-US" w:eastAsia="es-ES"/>
        </w:rPr>
        <w:t xml:space="preserve">Hu, Hong-Fei Li, </w:t>
      </w:r>
      <w:r w:rsidR="00150377" w:rsidRPr="00EE1BD6">
        <w:rPr>
          <w:rFonts w:ascii="Times New Roman" w:hAnsi="Times New Roman"/>
          <w:sz w:val="24"/>
          <w:szCs w:val="24"/>
          <w:lang w:val="en-US" w:eastAsia="es-ES"/>
        </w:rPr>
        <w:t xml:space="preserve">and </w:t>
      </w:r>
      <w:r w:rsidRPr="00EE1BD6">
        <w:rPr>
          <w:rFonts w:ascii="Times New Roman" w:hAnsi="Times New Roman"/>
          <w:sz w:val="24"/>
          <w:szCs w:val="24"/>
          <w:lang w:val="en-US" w:eastAsia="es-ES"/>
        </w:rPr>
        <w:t>Li-Hong Liu.</w:t>
      </w:r>
      <w:r w:rsidR="0023404E" w:rsidRPr="00EE1BD6">
        <w:rPr>
          <w:rFonts w:ascii="Times New Roman" w:hAnsi="Times New Roman"/>
          <w:sz w:val="24"/>
          <w:szCs w:val="24"/>
          <w:lang w:val="en-US" w:eastAsia="es-ES"/>
        </w:rPr>
        <w:t xml:space="preserve"> (2014).</w:t>
      </w:r>
      <w:r w:rsidRPr="00EE1BD6">
        <w:rPr>
          <w:rFonts w:ascii="Times New Roman" w:hAnsi="Times New Roman"/>
          <w:sz w:val="24"/>
          <w:szCs w:val="24"/>
          <w:lang w:val="en-US" w:eastAsia="es-ES"/>
        </w:rPr>
        <w:t xml:space="preserve"> “Job Burnout among Critical</w:t>
      </w:r>
      <w:r w:rsidR="0023404E" w:rsidRPr="00EE1BD6">
        <w:rPr>
          <w:rFonts w:ascii="Times New Roman" w:hAnsi="Times New Roman"/>
          <w:sz w:val="24"/>
          <w:szCs w:val="24"/>
          <w:lang w:val="en-US" w:eastAsia="es-ES"/>
        </w:rPr>
        <w:t xml:space="preserve"> Care</w:t>
      </w:r>
      <w:r w:rsidRPr="00EE1BD6">
        <w:rPr>
          <w:rFonts w:ascii="Times New Roman" w:hAnsi="Times New Roman"/>
          <w:sz w:val="24"/>
          <w:szCs w:val="24"/>
          <w:lang w:val="en-US" w:eastAsia="es-ES"/>
        </w:rPr>
        <w:t xml:space="preserve"> Nurses from 14 Adult Intensive Care Units in Northeastern China: A Cross-Sectional Survey.” </w:t>
      </w:r>
      <w:r w:rsidR="00174316" w:rsidRPr="00495A0D">
        <w:rPr>
          <w:rFonts w:ascii="Times New Roman" w:hAnsi="Times New Roman"/>
          <w:i/>
          <w:sz w:val="24"/>
          <w:szCs w:val="24"/>
          <w:lang w:val="es-ES" w:eastAsia="es-ES"/>
        </w:rPr>
        <w:t xml:space="preserve">BMJ  Open </w:t>
      </w:r>
      <w:proofErr w:type="spellStart"/>
      <w:r w:rsidR="00150377" w:rsidRPr="00495A0D">
        <w:rPr>
          <w:rFonts w:ascii="Times New Roman" w:hAnsi="Times New Roman"/>
          <w:sz w:val="24"/>
          <w:szCs w:val="24"/>
          <w:lang w:val="es-ES" w:eastAsia="es-ES"/>
        </w:rPr>
        <w:t>doi</w:t>
      </w:r>
      <w:proofErr w:type="spellEnd"/>
      <w:r w:rsidR="00150377" w:rsidRPr="00495A0D">
        <w:rPr>
          <w:rFonts w:ascii="Times New Roman" w:hAnsi="Times New Roman"/>
          <w:sz w:val="24"/>
          <w:szCs w:val="24"/>
          <w:lang w:val="es-ES" w:eastAsia="es-ES"/>
        </w:rPr>
        <w:t>:</w:t>
      </w:r>
      <w:r w:rsidR="00150377" w:rsidRPr="00495A0D">
        <w:rPr>
          <w:rFonts w:ascii="Times New Roman" w:hAnsi="Times New Roman"/>
          <w:i/>
          <w:sz w:val="24"/>
          <w:szCs w:val="24"/>
          <w:lang w:val="es-ES" w:eastAsia="es-ES"/>
        </w:rPr>
        <w:t xml:space="preserve"> </w:t>
      </w:r>
      <w:hyperlink r:id="rId25" w:history="1">
        <w:r w:rsidR="002E747E" w:rsidRPr="00495A0D">
          <w:rPr>
            <w:rStyle w:val="Hipervnculo"/>
            <w:rFonts w:ascii="Times New Roman" w:hAnsi="Times New Roman"/>
            <w:sz w:val="24"/>
            <w:szCs w:val="24"/>
            <w:lang w:val="es-ES" w:eastAsia="es-ES"/>
          </w:rPr>
          <w:t>http://dx.doi.org/10.1136/bmjopen-2014-004813</w:t>
        </w:r>
      </w:hyperlink>
      <w:r w:rsidR="00174316" w:rsidRPr="00495A0D">
        <w:rPr>
          <w:rFonts w:ascii="Times New Roman" w:hAnsi="Times New Roman"/>
          <w:sz w:val="24"/>
          <w:szCs w:val="24"/>
          <w:lang w:val="es-ES" w:eastAsia="es-ES"/>
        </w:rPr>
        <w:t>.</w:t>
      </w:r>
    </w:p>
    <w:p w14:paraId="4ED9A567" w14:textId="2F4F1E73" w:rsidR="003E1BD1" w:rsidRPr="00174316" w:rsidRDefault="000728C5" w:rsidP="00495A0D">
      <w:pPr>
        <w:pStyle w:val="Prrafodelista"/>
        <w:spacing w:after="0"/>
        <w:ind w:left="567" w:hanging="567"/>
        <w:jc w:val="both"/>
        <w:rPr>
          <w:rFonts w:ascii="Arial" w:hAnsi="Arial" w:cs="Arial"/>
          <w:sz w:val="24"/>
          <w:szCs w:val="24"/>
          <w:lang w:val="es-ES" w:eastAsia="es-ES"/>
        </w:rPr>
      </w:pPr>
      <w:r w:rsidRPr="00174316">
        <w:rPr>
          <w:rFonts w:ascii="Arial" w:hAnsi="Arial" w:cs="Arial"/>
          <w:sz w:val="24"/>
          <w:szCs w:val="24"/>
          <w:lang w:val="es-ES" w:eastAsia="es-ES"/>
        </w:rPr>
        <w:t xml:space="preserve"> </w:t>
      </w:r>
    </w:p>
    <w:tbl>
      <w:tblPr>
        <w:tblStyle w:val="Tablaconcuadrcula"/>
        <w:tblW w:w="0" w:type="auto"/>
        <w:tblLook w:val="04A0" w:firstRow="1" w:lastRow="0" w:firstColumn="1" w:lastColumn="0" w:noHBand="0" w:noVBand="1"/>
      </w:tblPr>
      <w:tblGrid>
        <w:gridCol w:w="3335"/>
        <w:gridCol w:w="5493"/>
      </w:tblGrid>
      <w:tr w:rsidR="008B4EBB" w:rsidRPr="00D819CE" w14:paraId="09DCCA5F" w14:textId="77777777" w:rsidTr="00DF2DB3">
        <w:tc>
          <w:tcPr>
            <w:tcW w:w="3369" w:type="dxa"/>
          </w:tcPr>
          <w:p w14:paraId="40BAC4B4" w14:textId="77777777" w:rsidR="008B4EBB" w:rsidRPr="00A85BD1" w:rsidRDefault="008B4EBB" w:rsidP="00DF2DB3">
            <w:pPr>
              <w:rPr>
                <w:rFonts w:ascii="Times New Roman" w:hAnsi="Times New Roman"/>
                <w:b/>
              </w:rPr>
            </w:pPr>
            <w:r w:rsidRPr="00A85BD1">
              <w:rPr>
                <w:rFonts w:ascii="Times New Roman" w:hAnsi="Times New Roman"/>
                <w:b/>
              </w:rPr>
              <w:t>Rol de contribución</w:t>
            </w:r>
          </w:p>
          <w:p w14:paraId="5819050E" w14:textId="77777777" w:rsidR="008B4EBB" w:rsidRPr="00A85BD1" w:rsidRDefault="008B4EBB" w:rsidP="00DF2DB3">
            <w:pPr>
              <w:rPr>
                <w:rFonts w:ascii="Times New Roman" w:hAnsi="Times New Roman"/>
                <w:b/>
              </w:rPr>
            </w:pPr>
          </w:p>
        </w:tc>
        <w:tc>
          <w:tcPr>
            <w:tcW w:w="5609" w:type="dxa"/>
          </w:tcPr>
          <w:p w14:paraId="52E3D7DB" w14:textId="77777777" w:rsidR="008B4EBB" w:rsidRPr="00A85BD1" w:rsidRDefault="008B4EBB" w:rsidP="00DF2DB3">
            <w:pPr>
              <w:rPr>
                <w:rFonts w:ascii="Times New Roman" w:hAnsi="Times New Roman"/>
                <w:b/>
              </w:rPr>
            </w:pPr>
            <w:r w:rsidRPr="00A85BD1">
              <w:rPr>
                <w:rFonts w:ascii="Times New Roman" w:hAnsi="Times New Roman"/>
                <w:b/>
              </w:rPr>
              <w:t>Autor (es)</w:t>
            </w:r>
          </w:p>
        </w:tc>
      </w:tr>
      <w:tr w:rsidR="008B4EBB" w:rsidRPr="00D819CE" w14:paraId="7F5B667C" w14:textId="77777777" w:rsidTr="00DF2DB3">
        <w:tc>
          <w:tcPr>
            <w:tcW w:w="3369" w:type="dxa"/>
          </w:tcPr>
          <w:p w14:paraId="764C61DF" w14:textId="77777777" w:rsidR="008B4EBB" w:rsidRPr="00A85BD1" w:rsidRDefault="008B4EBB" w:rsidP="00DF2DB3">
            <w:pPr>
              <w:rPr>
                <w:rFonts w:ascii="Times New Roman" w:hAnsi="Times New Roman"/>
                <w:b/>
              </w:rPr>
            </w:pPr>
            <w:r w:rsidRPr="00A85BD1">
              <w:rPr>
                <w:rFonts w:ascii="Times New Roman" w:hAnsi="Times New Roman"/>
                <w:b/>
              </w:rPr>
              <w:t>Conceptualización</w:t>
            </w:r>
          </w:p>
        </w:tc>
        <w:tc>
          <w:tcPr>
            <w:tcW w:w="5609" w:type="dxa"/>
          </w:tcPr>
          <w:p w14:paraId="6B538D2A" w14:textId="77777777" w:rsidR="008B4EBB" w:rsidRPr="00A85BD1" w:rsidRDefault="008B4EBB" w:rsidP="00DF2DB3">
            <w:pPr>
              <w:rPr>
                <w:rFonts w:ascii="Times New Roman" w:hAnsi="Times New Roman"/>
                <w:b/>
              </w:rPr>
            </w:pPr>
            <w:r w:rsidRPr="00A85BD1">
              <w:rPr>
                <w:rFonts w:ascii="Times New Roman" w:hAnsi="Times New Roman"/>
                <w:b/>
              </w:rPr>
              <w:t>Rafael Antonio (principal) y Eduardo</w:t>
            </w:r>
          </w:p>
        </w:tc>
      </w:tr>
      <w:tr w:rsidR="008B4EBB" w:rsidRPr="00D819CE" w14:paraId="4EC0FAA2" w14:textId="77777777" w:rsidTr="00DF2DB3">
        <w:tc>
          <w:tcPr>
            <w:tcW w:w="3369" w:type="dxa"/>
          </w:tcPr>
          <w:p w14:paraId="7077A857" w14:textId="77777777" w:rsidR="008B4EBB" w:rsidRPr="00A85BD1" w:rsidRDefault="008B4EBB" w:rsidP="00DF2DB3">
            <w:pPr>
              <w:rPr>
                <w:rFonts w:ascii="Times New Roman" w:hAnsi="Times New Roman"/>
                <w:b/>
              </w:rPr>
            </w:pPr>
            <w:r w:rsidRPr="00A85BD1">
              <w:rPr>
                <w:rFonts w:ascii="Times New Roman" w:hAnsi="Times New Roman"/>
                <w:b/>
              </w:rPr>
              <w:t>Metodología</w:t>
            </w:r>
          </w:p>
        </w:tc>
        <w:tc>
          <w:tcPr>
            <w:tcW w:w="5609" w:type="dxa"/>
          </w:tcPr>
          <w:p w14:paraId="39821734" w14:textId="77777777" w:rsidR="008B4EBB" w:rsidRPr="00A85BD1" w:rsidRDefault="008B4EBB" w:rsidP="00DF2DB3">
            <w:pPr>
              <w:rPr>
                <w:rFonts w:ascii="Times New Roman" w:hAnsi="Times New Roman"/>
                <w:b/>
              </w:rPr>
            </w:pPr>
            <w:r w:rsidRPr="00A85BD1">
              <w:rPr>
                <w:rFonts w:ascii="Times New Roman" w:hAnsi="Times New Roman"/>
                <w:b/>
              </w:rPr>
              <w:t>Rafael Antonio</w:t>
            </w:r>
          </w:p>
        </w:tc>
      </w:tr>
      <w:tr w:rsidR="008B4EBB" w:rsidRPr="00D819CE" w14:paraId="52980477" w14:textId="77777777" w:rsidTr="00DF2DB3">
        <w:tc>
          <w:tcPr>
            <w:tcW w:w="3369" w:type="dxa"/>
          </w:tcPr>
          <w:p w14:paraId="5C5C0366" w14:textId="77777777" w:rsidR="008B4EBB" w:rsidRPr="00A85BD1" w:rsidRDefault="008B4EBB" w:rsidP="00DF2DB3">
            <w:pPr>
              <w:rPr>
                <w:rFonts w:ascii="Times New Roman" w:hAnsi="Times New Roman"/>
                <w:b/>
              </w:rPr>
            </w:pPr>
            <w:r w:rsidRPr="00A85BD1">
              <w:rPr>
                <w:rFonts w:ascii="Times New Roman" w:hAnsi="Times New Roman"/>
                <w:b/>
              </w:rPr>
              <w:t>Software</w:t>
            </w:r>
          </w:p>
        </w:tc>
        <w:tc>
          <w:tcPr>
            <w:tcW w:w="5609" w:type="dxa"/>
          </w:tcPr>
          <w:p w14:paraId="50FB4522" w14:textId="77777777" w:rsidR="008B4EBB" w:rsidRPr="00A85BD1" w:rsidRDefault="008B4EBB" w:rsidP="00DF2DB3">
            <w:pPr>
              <w:rPr>
                <w:rFonts w:ascii="Times New Roman" w:hAnsi="Times New Roman"/>
                <w:b/>
              </w:rPr>
            </w:pPr>
            <w:r w:rsidRPr="00A85BD1">
              <w:rPr>
                <w:rFonts w:ascii="Times New Roman" w:hAnsi="Times New Roman"/>
                <w:b/>
              </w:rPr>
              <w:t>No aplica</w:t>
            </w:r>
          </w:p>
        </w:tc>
      </w:tr>
      <w:tr w:rsidR="008B4EBB" w:rsidRPr="00D819CE" w14:paraId="5B17E701" w14:textId="77777777" w:rsidTr="00DF2DB3">
        <w:tc>
          <w:tcPr>
            <w:tcW w:w="3369" w:type="dxa"/>
          </w:tcPr>
          <w:p w14:paraId="2CF01E47" w14:textId="77777777" w:rsidR="008B4EBB" w:rsidRPr="00A85BD1" w:rsidRDefault="008B4EBB" w:rsidP="00DF2DB3">
            <w:pPr>
              <w:rPr>
                <w:rFonts w:ascii="Times New Roman" w:hAnsi="Times New Roman"/>
                <w:b/>
              </w:rPr>
            </w:pPr>
            <w:r w:rsidRPr="00A85BD1">
              <w:rPr>
                <w:rFonts w:ascii="Times New Roman" w:hAnsi="Times New Roman"/>
                <w:b/>
              </w:rPr>
              <w:t>Validación</w:t>
            </w:r>
          </w:p>
        </w:tc>
        <w:tc>
          <w:tcPr>
            <w:tcW w:w="5609" w:type="dxa"/>
          </w:tcPr>
          <w:p w14:paraId="12C6437E" w14:textId="77777777" w:rsidR="008B4EBB" w:rsidRPr="00A85BD1" w:rsidRDefault="008B4EBB" w:rsidP="00DF2DB3">
            <w:pPr>
              <w:rPr>
                <w:rFonts w:ascii="Times New Roman" w:hAnsi="Times New Roman"/>
                <w:b/>
              </w:rPr>
            </w:pPr>
            <w:r w:rsidRPr="00A85BD1">
              <w:rPr>
                <w:rFonts w:ascii="Times New Roman" w:hAnsi="Times New Roman"/>
                <w:b/>
              </w:rPr>
              <w:t>Rafael Antonio y Eduardo (igual)</w:t>
            </w:r>
          </w:p>
        </w:tc>
      </w:tr>
      <w:tr w:rsidR="008B4EBB" w:rsidRPr="00D819CE" w14:paraId="2018EAA9" w14:textId="77777777" w:rsidTr="00DF2DB3">
        <w:tc>
          <w:tcPr>
            <w:tcW w:w="3369" w:type="dxa"/>
          </w:tcPr>
          <w:p w14:paraId="3F05EDFA" w14:textId="77777777" w:rsidR="008B4EBB" w:rsidRPr="00A85BD1" w:rsidRDefault="008B4EBB" w:rsidP="00DF2DB3">
            <w:pPr>
              <w:rPr>
                <w:rFonts w:ascii="Times New Roman" w:hAnsi="Times New Roman"/>
                <w:b/>
              </w:rPr>
            </w:pPr>
            <w:r w:rsidRPr="00A85BD1">
              <w:rPr>
                <w:rFonts w:ascii="Times New Roman" w:hAnsi="Times New Roman"/>
                <w:b/>
              </w:rPr>
              <w:t>Análisis Formal</w:t>
            </w:r>
          </w:p>
        </w:tc>
        <w:tc>
          <w:tcPr>
            <w:tcW w:w="5609" w:type="dxa"/>
          </w:tcPr>
          <w:p w14:paraId="618756C7" w14:textId="77777777" w:rsidR="008B4EBB" w:rsidRPr="00A85BD1" w:rsidRDefault="008B4EBB" w:rsidP="00DF2DB3">
            <w:pPr>
              <w:rPr>
                <w:rFonts w:ascii="Times New Roman" w:hAnsi="Times New Roman"/>
                <w:b/>
              </w:rPr>
            </w:pPr>
            <w:r w:rsidRPr="00A85BD1">
              <w:rPr>
                <w:rFonts w:ascii="Times New Roman" w:hAnsi="Times New Roman"/>
                <w:b/>
              </w:rPr>
              <w:t>Rafael Antonio (principal) y Ihosvany (apoyo)</w:t>
            </w:r>
          </w:p>
        </w:tc>
      </w:tr>
      <w:tr w:rsidR="008B4EBB" w:rsidRPr="00D819CE" w14:paraId="16B08FB0" w14:textId="77777777" w:rsidTr="00DF2DB3">
        <w:tc>
          <w:tcPr>
            <w:tcW w:w="3369" w:type="dxa"/>
          </w:tcPr>
          <w:p w14:paraId="76EF0B1D" w14:textId="77777777" w:rsidR="008B4EBB" w:rsidRPr="00A85BD1" w:rsidRDefault="008B4EBB" w:rsidP="00DF2DB3">
            <w:pPr>
              <w:rPr>
                <w:rFonts w:ascii="Times New Roman" w:hAnsi="Times New Roman"/>
                <w:b/>
              </w:rPr>
            </w:pPr>
            <w:r w:rsidRPr="00A85BD1">
              <w:rPr>
                <w:rFonts w:ascii="Times New Roman" w:hAnsi="Times New Roman"/>
                <w:b/>
              </w:rPr>
              <w:t>Investigación</w:t>
            </w:r>
          </w:p>
        </w:tc>
        <w:tc>
          <w:tcPr>
            <w:tcW w:w="5609" w:type="dxa"/>
          </w:tcPr>
          <w:p w14:paraId="4B8A60CE" w14:textId="77777777" w:rsidR="008B4EBB" w:rsidRPr="00A85BD1" w:rsidRDefault="008B4EBB" w:rsidP="00DF2DB3">
            <w:pPr>
              <w:rPr>
                <w:rFonts w:ascii="Times New Roman" w:hAnsi="Times New Roman"/>
                <w:b/>
              </w:rPr>
            </w:pPr>
            <w:r w:rsidRPr="00A85BD1">
              <w:rPr>
                <w:rFonts w:ascii="Times New Roman" w:hAnsi="Times New Roman"/>
                <w:b/>
              </w:rPr>
              <w:t>Eduardo y Rafael Antonio (igual)</w:t>
            </w:r>
          </w:p>
        </w:tc>
      </w:tr>
      <w:tr w:rsidR="008B4EBB" w:rsidRPr="00D819CE" w14:paraId="25B8C6A6" w14:textId="77777777" w:rsidTr="00DF2DB3">
        <w:tc>
          <w:tcPr>
            <w:tcW w:w="3369" w:type="dxa"/>
          </w:tcPr>
          <w:p w14:paraId="0E85060B" w14:textId="77777777" w:rsidR="008B4EBB" w:rsidRPr="00A85BD1" w:rsidRDefault="008B4EBB" w:rsidP="00DF2DB3">
            <w:pPr>
              <w:rPr>
                <w:rFonts w:ascii="Times New Roman" w:hAnsi="Times New Roman"/>
                <w:b/>
              </w:rPr>
            </w:pPr>
            <w:r w:rsidRPr="00A85BD1">
              <w:rPr>
                <w:rFonts w:ascii="Times New Roman" w:hAnsi="Times New Roman"/>
                <w:b/>
              </w:rPr>
              <w:t>Recursos</w:t>
            </w:r>
          </w:p>
        </w:tc>
        <w:tc>
          <w:tcPr>
            <w:tcW w:w="5609" w:type="dxa"/>
          </w:tcPr>
          <w:p w14:paraId="204582D4" w14:textId="77777777" w:rsidR="008B4EBB" w:rsidRPr="00A85BD1" w:rsidRDefault="008B4EBB" w:rsidP="00DF2DB3">
            <w:pPr>
              <w:rPr>
                <w:rFonts w:ascii="Times New Roman" w:hAnsi="Times New Roman"/>
                <w:b/>
              </w:rPr>
            </w:pPr>
            <w:r w:rsidRPr="00A85BD1">
              <w:rPr>
                <w:rFonts w:ascii="Times New Roman" w:hAnsi="Times New Roman"/>
                <w:b/>
              </w:rPr>
              <w:t>María Cristina y Gloria (igual)</w:t>
            </w:r>
          </w:p>
        </w:tc>
      </w:tr>
      <w:tr w:rsidR="008B4EBB" w:rsidRPr="00D819CE" w14:paraId="5B456E9B" w14:textId="77777777" w:rsidTr="00DF2DB3">
        <w:tc>
          <w:tcPr>
            <w:tcW w:w="3369" w:type="dxa"/>
          </w:tcPr>
          <w:p w14:paraId="3CA99AA8" w14:textId="77777777" w:rsidR="008B4EBB" w:rsidRPr="00A85BD1" w:rsidRDefault="008B4EBB" w:rsidP="00DF2DB3">
            <w:pPr>
              <w:rPr>
                <w:rFonts w:ascii="Times New Roman" w:hAnsi="Times New Roman"/>
                <w:b/>
              </w:rPr>
            </w:pPr>
            <w:r w:rsidRPr="00A85BD1">
              <w:rPr>
                <w:rFonts w:ascii="Times New Roman" w:hAnsi="Times New Roman"/>
                <w:b/>
              </w:rPr>
              <w:t>Curación de Datos</w:t>
            </w:r>
          </w:p>
        </w:tc>
        <w:tc>
          <w:tcPr>
            <w:tcW w:w="5609" w:type="dxa"/>
          </w:tcPr>
          <w:p w14:paraId="519EFC64" w14:textId="77777777" w:rsidR="008B4EBB" w:rsidRPr="00A85BD1" w:rsidRDefault="008B4EBB" w:rsidP="00DF2DB3">
            <w:pPr>
              <w:rPr>
                <w:rFonts w:ascii="Times New Roman" w:hAnsi="Times New Roman"/>
                <w:b/>
              </w:rPr>
            </w:pPr>
            <w:r w:rsidRPr="00A85BD1">
              <w:rPr>
                <w:rFonts w:ascii="Times New Roman" w:hAnsi="Times New Roman"/>
                <w:b/>
              </w:rPr>
              <w:t>Eduardo y María Cristina (igual)</w:t>
            </w:r>
          </w:p>
        </w:tc>
      </w:tr>
      <w:tr w:rsidR="008B4EBB" w:rsidRPr="00D819CE" w14:paraId="6426C019" w14:textId="77777777" w:rsidTr="00DF2DB3">
        <w:tc>
          <w:tcPr>
            <w:tcW w:w="3369" w:type="dxa"/>
          </w:tcPr>
          <w:p w14:paraId="11B107D4" w14:textId="77777777" w:rsidR="008B4EBB" w:rsidRPr="00A85BD1" w:rsidRDefault="008B4EBB" w:rsidP="00DF2DB3">
            <w:pPr>
              <w:rPr>
                <w:rFonts w:ascii="Times New Roman" w:hAnsi="Times New Roman"/>
                <w:b/>
              </w:rPr>
            </w:pPr>
            <w:r w:rsidRPr="00A85BD1">
              <w:rPr>
                <w:rFonts w:ascii="Times New Roman" w:hAnsi="Times New Roman"/>
                <w:b/>
              </w:rPr>
              <w:t>Escritura-Preparación del borrador original</w:t>
            </w:r>
          </w:p>
        </w:tc>
        <w:tc>
          <w:tcPr>
            <w:tcW w:w="5609" w:type="dxa"/>
          </w:tcPr>
          <w:p w14:paraId="4F86097C" w14:textId="77777777" w:rsidR="008B4EBB" w:rsidRPr="00A85BD1" w:rsidRDefault="008B4EBB" w:rsidP="00DF2DB3">
            <w:pPr>
              <w:rPr>
                <w:rFonts w:ascii="Times New Roman" w:hAnsi="Times New Roman"/>
                <w:b/>
              </w:rPr>
            </w:pPr>
            <w:r w:rsidRPr="00A85BD1">
              <w:rPr>
                <w:rFonts w:ascii="Times New Roman" w:hAnsi="Times New Roman"/>
                <w:b/>
              </w:rPr>
              <w:t>Eduardo (principal) Ihosvany (apoyo)</w:t>
            </w:r>
          </w:p>
        </w:tc>
      </w:tr>
      <w:tr w:rsidR="008B4EBB" w:rsidRPr="00D819CE" w14:paraId="09282817" w14:textId="77777777" w:rsidTr="00DF2DB3">
        <w:tc>
          <w:tcPr>
            <w:tcW w:w="3369" w:type="dxa"/>
          </w:tcPr>
          <w:p w14:paraId="3DA4680F" w14:textId="77777777" w:rsidR="008B4EBB" w:rsidRPr="00A85BD1" w:rsidRDefault="008B4EBB" w:rsidP="00DF2DB3">
            <w:pPr>
              <w:rPr>
                <w:rFonts w:ascii="Times New Roman" w:hAnsi="Times New Roman"/>
                <w:b/>
              </w:rPr>
            </w:pPr>
            <w:r w:rsidRPr="00A85BD1">
              <w:rPr>
                <w:rFonts w:ascii="Times New Roman" w:hAnsi="Times New Roman"/>
                <w:b/>
              </w:rPr>
              <w:t>Escritura-Revisión y edición</w:t>
            </w:r>
          </w:p>
        </w:tc>
        <w:tc>
          <w:tcPr>
            <w:tcW w:w="5609" w:type="dxa"/>
          </w:tcPr>
          <w:p w14:paraId="6738CD48" w14:textId="77777777" w:rsidR="008B4EBB" w:rsidRPr="00A85BD1" w:rsidRDefault="008B4EBB" w:rsidP="00DF2DB3">
            <w:pPr>
              <w:rPr>
                <w:rFonts w:ascii="Times New Roman" w:hAnsi="Times New Roman"/>
                <w:b/>
              </w:rPr>
            </w:pPr>
            <w:r w:rsidRPr="00A85BD1">
              <w:rPr>
                <w:rFonts w:ascii="Times New Roman" w:hAnsi="Times New Roman"/>
                <w:b/>
              </w:rPr>
              <w:t>Rafael Antonio y Eduardo (igual)</w:t>
            </w:r>
          </w:p>
        </w:tc>
      </w:tr>
      <w:tr w:rsidR="008B4EBB" w:rsidRPr="00D819CE" w14:paraId="1CE86298" w14:textId="77777777" w:rsidTr="00DF2DB3">
        <w:tc>
          <w:tcPr>
            <w:tcW w:w="3369" w:type="dxa"/>
          </w:tcPr>
          <w:p w14:paraId="6496A12B" w14:textId="77777777" w:rsidR="008B4EBB" w:rsidRPr="00A85BD1" w:rsidRDefault="008B4EBB" w:rsidP="00DF2DB3">
            <w:pPr>
              <w:rPr>
                <w:rFonts w:ascii="Times New Roman" w:hAnsi="Times New Roman"/>
                <w:b/>
              </w:rPr>
            </w:pPr>
            <w:r w:rsidRPr="00A85BD1">
              <w:rPr>
                <w:rFonts w:ascii="Times New Roman" w:hAnsi="Times New Roman"/>
                <w:b/>
              </w:rPr>
              <w:t>Visualización</w:t>
            </w:r>
          </w:p>
        </w:tc>
        <w:tc>
          <w:tcPr>
            <w:tcW w:w="5609" w:type="dxa"/>
          </w:tcPr>
          <w:p w14:paraId="01B1CBE9" w14:textId="77777777" w:rsidR="008B4EBB" w:rsidRPr="00A85BD1" w:rsidRDefault="008B4EBB" w:rsidP="00DF2DB3">
            <w:pPr>
              <w:rPr>
                <w:rFonts w:ascii="Times New Roman" w:hAnsi="Times New Roman"/>
                <w:b/>
              </w:rPr>
            </w:pPr>
            <w:r w:rsidRPr="00A85BD1">
              <w:rPr>
                <w:rFonts w:ascii="Times New Roman" w:hAnsi="Times New Roman"/>
                <w:b/>
              </w:rPr>
              <w:t>Ihosvany y Gloria (igual)</w:t>
            </w:r>
          </w:p>
        </w:tc>
      </w:tr>
      <w:tr w:rsidR="008B4EBB" w:rsidRPr="00D819CE" w14:paraId="18399C4F" w14:textId="77777777" w:rsidTr="00DF2DB3">
        <w:tc>
          <w:tcPr>
            <w:tcW w:w="3369" w:type="dxa"/>
          </w:tcPr>
          <w:p w14:paraId="1A1B167F" w14:textId="77777777" w:rsidR="008B4EBB" w:rsidRPr="00A85BD1" w:rsidRDefault="008B4EBB" w:rsidP="00DF2DB3">
            <w:pPr>
              <w:rPr>
                <w:rFonts w:ascii="Times New Roman" w:hAnsi="Times New Roman"/>
                <w:b/>
              </w:rPr>
            </w:pPr>
            <w:r w:rsidRPr="00A85BD1">
              <w:rPr>
                <w:rFonts w:ascii="Times New Roman" w:hAnsi="Times New Roman"/>
                <w:b/>
              </w:rPr>
              <w:t>Supervisión</w:t>
            </w:r>
          </w:p>
        </w:tc>
        <w:tc>
          <w:tcPr>
            <w:tcW w:w="5609" w:type="dxa"/>
          </w:tcPr>
          <w:p w14:paraId="1C3AD63D" w14:textId="77777777" w:rsidR="008B4EBB" w:rsidRPr="00A85BD1" w:rsidRDefault="008B4EBB" w:rsidP="00DF2DB3">
            <w:pPr>
              <w:rPr>
                <w:rFonts w:ascii="Times New Roman" w:hAnsi="Times New Roman"/>
                <w:b/>
              </w:rPr>
            </w:pPr>
            <w:r w:rsidRPr="00A85BD1">
              <w:rPr>
                <w:rFonts w:ascii="Times New Roman" w:hAnsi="Times New Roman"/>
                <w:b/>
              </w:rPr>
              <w:t>Rafael Antonio (principal) y Gloria (apoyo)</w:t>
            </w:r>
          </w:p>
        </w:tc>
      </w:tr>
      <w:tr w:rsidR="008B4EBB" w:rsidRPr="00D819CE" w14:paraId="6B1561FA" w14:textId="77777777" w:rsidTr="00DF2DB3">
        <w:tc>
          <w:tcPr>
            <w:tcW w:w="3369" w:type="dxa"/>
          </w:tcPr>
          <w:p w14:paraId="752E3460" w14:textId="77777777" w:rsidR="008B4EBB" w:rsidRPr="00A85BD1" w:rsidRDefault="008B4EBB" w:rsidP="00DF2DB3">
            <w:pPr>
              <w:rPr>
                <w:rFonts w:ascii="Times New Roman" w:hAnsi="Times New Roman"/>
                <w:b/>
              </w:rPr>
            </w:pPr>
            <w:r w:rsidRPr="00A85BD1">
              <w:rPr>
                <w:rFonts w:ascii="Times New Roman" w:hAnsi="Times New Roman"/>
                <w:b/>
              </w:rPr>
              <w:t>Administración de Proyectos</w:t>
            </w:r>
          </w:p>
        </w:tc>
        <w:tc>
          <w:tcPr>
            <w:tcW w:w="5609" w:type="dxa"/>
          </w:tcPr>
          <w:p w14:paraId="089C3121" w14:textId="77777777" w:rsidR="008B4EBB" w:rsidRPr="00A85BD1" w:rsidRDefault="008B4EBB" w:rsidP="00DF2DB3">
            <w:pPr>
              <w:rPr>
                <w:rFonts w:ascii="Times New Roman" w:hAnsi="Times New Roman"/>
                <w:b/>
              </w:rPr>
            </w:pPr>
            <w:r w:rsidRPr="00A85BD1">
              <w:rPr>
                <w:rFonts w:ascii="Times New Roman" w:hAnsi="Times New Roman"/>
                <w:b/>
              </w:rPr>
              <w:t>Rafael Antonio y Eduardo (igual)</w:t>
            </w:r>
          </w:p>
        </w:tc>
      </w:tr>
      <w:tr w:rsidR="008B4EBB" w:rsidRPr="00D819CE" w14:paraId="458B430F" w14:textId="77777777" w:rsidTr="00DF2DB3">
        <w:tc>
          <w:tcPr>
            <w:tcW w:w="3369" w:type="dxa"/>
          </w:tcPr>
          <w:p w14:paraId="2E5CAD5B" w14:textId="77777777" w:rsidR="008B4EBB" w:rsidRPr="00A85BD1" w:rsidRDefault="008B4EBB" w:rsidP="00DF2DB3">
            <w:pPr>
              <w:rPr>
                <w:rFonts w:ascii="Times New Roman" w:hAnsi="Times New Roman"/>
                <w:b/>
              </w:rPr>
            </w:pPr>
            <w:r w:rsidRPr="00A85BD1">
              <w:rPr>
                <w:rFonts w:ascii="Times New Roman" w:hAnsi="Times New Roman"/>
                <w:b/>
              </w:rPr>
              <w:t>Adquisición de fondos</w:t>
            </w:r>
          </w:p>
        </w:tc>
        <w:tc>
          <w:tcPr>
            <w:tcW w:w="5609" w:type="dxa"/>
          </w:tcPr>
          <w:p w14:paraId="34734783" w14:textId="77777777" w:rsidR="008B4EBB" w:rsidRPr="00A85BD1" w:rsidRDefault="008B4EBB" w:rsidP="00DF2DB3">
            <w:pPr>
              <w:rPr>
                <w:rFonts w:ascii="Times New Roman" w:hAnsi="Times New Roman"/>
                <w:b/>
              </w:rPr>
            </w:pPr>
            <w:r w:rsidRPr="00A85BD1">
              <w:rPr>
                <w:rFonts w:ascii="Times New Roman" w:hAnsi="Times New Roman"/>
                <w:b/>
              </w:rPr>
              <w:t>No aplica</w:t>
            </w:r>
          </w:p>
        </w:tc>
      </w:tr>
    </w:tbl>
    <w:p w14:paraId="523B58AB" w14:textId="77777777" w:rsidR="000728C5" w:rsidRPr="0023404E" w:rsidRDefault="000728C5" w:rsidP="00495A0D">
      <w:pPr>
        <w:pStyle w:val="Prrafodelista"/>
        <w:spacing w:after="0"/>
        <w:ind w:left="567" w:hanging="567"/>
        <w:jc w:val="both"/>
        <w:rPr>
          <w:rFonts w:ascii="Arial" w:hAnsi="Arial" w:cs="Arial"/>
          <w:sz w:val="24"/>
          <w:szCs w:val="24"/>
          <w:lang w:val="es-ES" w:eastAsia="es-ES"/>
        </w:rPr>
      </w:pPr>
    </w:p>
    <w:sectPr w:rsidR="000728C5" w:rsidRPr="0023404E" w:rsidSect="00495A0D">
      <w:headerReference w:type="default" r:id="rId26"/>
      <w:footerReference w:type="default" r:id="rId27"/>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E2434" w14:textId="77777777" w:rsidR="00425459" w:rsidRDefault="00425459" w:rsidP="00937413">
      <w:pPr>
        <w:spacing w:after="0" w:line="240" w:lineRule="auto"/>
      </w:pPr>
      <w:r>
        <w:separator/>
      </w:r>
    </w:p>
  </w:endnote>
  <w:endnote w:type="continuationSeparator" w:id="0">
    <w:p w14:paraId="6CB525F6" w14:textId="77777777" w:rsidR="00425459" w:rsidRDefault="00425459" w:rsidP="0093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219345"/>
      <w:docPartObj>
        <w:docPartGallery w:val="Page Numbers (Bottom of Page)"/>
        <w:docPartUnique/>
      </w:docPartObj>
    </w:sdtPr>
    <w:sdtEndPr/>
    <w:sdtContent>
      <w:p w14:paraId="6B1FF9F1" w14:textId="6EA77552" w:rsidR="00E4194D" w:rsidRDefault="00495A0D" w:rsidP="00495A0D">
        <w:pPr>
          <w:pStyle w:val="Piedepgina"/>
          <w:jc w:val="center"/>
        </w:pPr>
        <w:r w:rsidRPr="00B47E30">
          <w:rPr>
            <w:b/>
          </w:rPr>
          <w:t>Vol. 7, Núm. 1</w:t>
        </w:r>
        <w:r w:rsidR="007F7CFC">
          <w:rPr>
            <w:b/>
          </w:rPr>
          <w:t>4</w:t>
        </w:r>
        <w:r w:rsidRPr="00B47E30">
          <w:rPr>
            <w:b/>
          </w:rPr>
          <w:t xml:space="preserve">                   </w:t>
        </w:r>
        <w:r w:rsidR="007F7CFC">
          <w:rPr>
            <w:b/>
          </w:rPr>
          <w:t>Julio - Diciembre</w:t>
        </w:r>
        <w:r w:rsidRPr="00B47E30">
          <w:rPr>
            <w:b/>
          </w:rPr>
          <w:t xml:space="preserve"> 2018                   DOI:</w:t>
        </w:r>
        <w:r w:rsidR="000D3274">
          <w:rPr>
            <w:b/>
          </w:rPr>
          <w:t xml:space="preserve"> </w:t>
        </w:r>
        <w:hyperlink r:id="rId1" w:history="1">
          <w:r w:rsidR="000D3274" w:rsidRPr="000D3274">
            <w:rPr>
              <w:b/>
            </w:rPr>
            <w:t>10.23913/</w:t>
          </w:r>
          <w:proofErr w:type="gramStart"/>
          <w:r w:rsidR="000D3274" w:rsidRPr="000D3274">
            <w:rPr>
              <w:b/>
            </w:rPr>
            <w:t>rics.v</w:t>
          </w:r>
          <w:proofErr w:type="gramEnd"/>
          <w:r w:rsidR="000D3274" w:rsidRPr="000D3274">
            <w:rPr>
              <w:b/>
            </w:rPr>
            <w:t>7i14.69</w:t>
          </w:r>
        </w:hyperlink>
      </w:p>
    </w:sdtContent>
  </w:sdt>
  <w:p w14:paraId="44C47E5F" w14:textId="77777777" w:rsidR="00E4194D" w:rsidRDefault="00E419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112EB" w14:textId="77777777" w:rsidR="00425459" w:rsidRDefault="00425459" w:rsidP="00937413">
      <w:pPr>
        <w:spacing w:after="0" w:line="240" w:lineRule="auto"/>
      </w:pPr>
      <w:r>
        <w:separator/>
      </w:r>
    </w:p>
  </w:footnote>
  <w:footnote w:type="continuationSeparator" w:id="0">
    <w:p w14:paraId="53D1968D" w14:textId="77777777" w:rsidR="00425459" w:rsidRDefault="00425459" w:rsidP="00937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F3919" w14:textId="76E8E369" w:rsidR="00495A0D" w:rsidRDefault="00495A0D" w:rsidP="00495A0D">
    <w:pPr>
      <w:pStyle w:val="Encabezado"/>
      <w:jc w:val="center"/>
    </w:pPr>
    <w:r>
      <w:rPr>
        <w:noProof/>
        <w:lang w:eastAsia="es-MX"/>
      </w:rPr>
      <w:drawing>
        <wp:inline distT="0" distB="0" distL="0" distR="0" wp14:anchorId="5F692BED" wp14:editId="60C71BCE">
          <wp:extent cx="5610225" cy="666750"/>
          <wp:effectExtent l="0" t="0" r="952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180A"/>
    <w:multiLevelType w:val="hybridMultilevel"/>
    <w:tmpl w:val="2B1C5434"/>
    <w:lvl w:ilvl="0" w:tplc="53EAC0C0">
      <w:start w:val="1"/>
      <w:numFmt w:val="decimal"/>
      <w:lvlText w:val="%1."/>
      <w:lvlJc w:val="left"/>
      <w:pPr>
        <w:ind w:left="786" w:hanging="360"/>
      </w:pPr>
      <w:rPr>
        <w:rFonts w:ascii="Arial" w:hAnsi="Arial" w:cs="Arial" w:hint="default"/>
        <w:b w:val="0"/>
        <w:sz w:val="24"/>
        <w:lang w:val="en-US"/>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15:restartNumberingAfterBreak="0">
    <w:nsid w:val="09B33B34"/>
    <w:multiLevelType w:val="hybridMultilevel"/>
    <w:tmpl w:val="D84A2A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0862BB"/>
    <w:multiLevelType w:val="hybridMultilevel"/>
    <w:tmpl w:val="B2666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2349CA"/>
    <w:multiLevelType w:val="hybridMultilevel"/>
    <w:tmpl w:val="3EEE954C"/>
    <w:lvl w:ilvl="0" w:tplc="23303076">
      <w:start w:val="1"/>
      <w:numFmt w:val="decimal"/>
      <w:lvlText w:val="%1."/>
      <w:lvlJc w:val="left"/>
      <w:pPr>
        <w:ind w:left="786" w:hanging="360"/>
      </w:pPr>
      <w:rPr>
        <w:rFonts w:cs="Times New Roman"/>
        <w:b w:val="0"/>
        <w:lang w:val="en-U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33F323D6"/>
    <w:multiLevelType w:val="hybridMultilevel"/>
    <w:tmpl w:val="DF5A223A"/>
    <w:lvl w:ilvl="0" w:tplc="080A000F">
      <w:start w:val="1"/>
      <w:numFmt w:val="decimal"/>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5" w15:restartNumberingAfterBreak="0">
    <w:nsid w:val="37237E35"/>
    <w:multiLevelType w:val="hybridMultilevel"/>
    <w:tmpl w:val="040C7D5E"/>
    <w:lvl w:ilvl="0" w:tplc="53EAC0C0">
      <w:start w:val="1"/>
      <w:numFmt w:val="decimal"/>
      <w:lvlText w:val="%1."/>
      <w:lvlJc w:val="left"/>
      <w:pPr>
        <w:ind w:left="786" w:hanging="360"/>
      </w:pPr>
      <w:rPr>
        <w:rFonts w:ascii="Arial" w:hAnsi="Arial" w:cs="Arial" w:hint="default"/>
        <w:b w:val="0"/>
        <w:sz w:val="24"/>
        <w:lang w:val="en-US"/>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50EA6E78"/>
    <w:multiLevelType w:val="hybridMultilevel"/>
    <w:tmpl w:val="2B1C5434"/>
    <w:lvl w:ilvl="0" w:tplc="53EAC0C0">
      <w:start w:val="1"/>
      <w:numFmt w:val="decimal"/>
      <w:lvlText w:val="%1."/>
      <w:lvlJc w:val="left"/>
      <w:pPr>
        <w:ind w:left="786" w:hanging="360"/>
      </w:pPr>
      <w:rPr>
        <w:rFonts w:ascii="Arial" w:hAnsi="Arial" w:cs="Arial" w:hint="default"/>
        <w:b w:val="0"/>
        <w:sz w:val="24"/>
        <w:lang w:val="en-US"/>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546F7172"/>
    <w:multiLevelType w:val="hybridMultilevel"/>
    <w:tmpl w:val="0860C0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D03161"/>
    <w:multiLevelType w:val="hybridMultilevel"/>
    <w:tmpl w:val="B472082E"/>
    <w:lvl w:ilvl="0" w:tplc="20FA68CC">
      <w:start w:val="1"/>
      <w:numFmt w:val="decimal"/>
      <w:lvlText w:val="%1."/>
      <w:lvlJc w:val="left"/>
      <w:pPr>
        <w:ind w:left="786"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67F9049A"/>
    <w:multiLevelType w:val="hybridMultilevel"/>
    <w:tmpl w:val="3EEE954C"/>
    <w:lvl w:ilvl="0" w:tplc="23303076">
      <w:start w:val="1"/>
      <w:numFmt w:val="decimal"/>
      <w:lvlText w:val="%1."/>
      <w:lvlJc w:val="left"/>
      <w:pPr>
        <w:ind w:left="786" w:hanging="360"/>
      </w:pPr>
      <w:rPr>
        <w:rFonts w:cs="Times New Roman"/>
        <w:b w:val="0"/>
        <w:lang w:val="en-U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7F581796"/>
    <w:multiLevelType w:val="hybridMultilevel"/>
    <w:tmpl w:val="1F2EAC78"/>
    <w:lvl w:ilvl="0" w:tplc="080A0011">
      <w:start w:val="1"/>
      <w:numFmt w:val="decimal"/>
      <w:lvlText w:val="%1)"/>
      <w:lvlJc w:val="left"/>
      <w:pPr>
        <w:ind w:left="780" w:hanging="360"/>
      </w:pPr>
      <w:rPr>
        <w:rFonts w:cs="Times New Roman"/>
      </w:rPr>
    </w:lvl>
    <w:lvl w:ilvl="1" w:tplc="080A0019" w:tentative="1">
      <w:start w:val="1"/>
      <w:numFmt w:val="lowerLetter"/>
      <w:lvlText w:val="%2."/>
      <w:lvlJc w:val="left"/>
      <w:pPr>
        <w:ind w:left="1500" w:hanging="360"/>
      </w:pPr>
      <w:rPr>
        <w:rFonts w:cs="Times New Roman"/>
      </w:rPr>
    </w:lvl>
    <w:lvl w:ilvl="2" w:tplc="080A001B" w:tentative="1">
      <w:start w:val="1"/>
      <w:numFmt w:val="lowerRoman"/>
      <w:lvlText w:val="%3."/>
      <w:lvlJc w:val="right"/>
      <w:pPr>
        <w:ind w:left="2220" w:hanging="180"/>
      </w:pPr>
      <w:rPr>
        <w:rFonts w:cs="Times New Roman"/>
      </w:rPr>
    </w:lvl>
    <w:lvl w:ilvl="3" w:tplc="080A000F" w:tentative="1">
      <w:start w:val="1"/>
      <w:numFmt w:val="decimal"/>
      <w:lvlText w:val="%4."/>
      <w:lvlJc w:val="left"/>
      <w:pPr>
        <w:ind w:left="2940" w:hanging="360"/>
      </w:pPr>
      <w:rPr>
        <w:rFonts w:cs="Times New Roman"/>
      </w:rPr>
    </w:lvl>
    <w:lvl w:ilvl="4" w:tplc="080A0019" w:tentative="1">
      <w:start w:val="1"/>
      <w:numFmt w:val="lowerLetter"/>
      <w:lvlText w:val="%5."/>
      <w:lvlJc w:val="left"/>
      <w:pPr>
        <w:ind w:left="3660" w:hanging="360"/>
      </w:pPr>
      <w:rPr>
        <w:rFonts w:cs="Times New Roman"/>
      </w:rPr>
    </w:lvl>
    <w:lvl w:ilvl="5" w:tplc="080A001B" w:tentative="1">
      <w:start w:val="1"/>
      <w:numFmt w:val="lowerRoman"/>
      <w:lvlText w:val="%6."/>
      <w:lvlJc w:val="right"/>
      <w:pPr>
        <w:ind w:left="4380" w:hanging="180"/>
      </w:pPr>
      <w:rPr>
        <w:rFonts w:cs="Times New Roman"/>
      </w:rPr>
    </w:lvl>
    <w:lvl w:ilvl="6" w:tplc="080A000F" w:tentative="1">
      <w:start w:val="1"/>
      <w:numFmt w:val="decimal"/>
      <w:lvlText w:val="%7."/>
      <w:lvlJc w:val="left"/>
      <w:pPr>
        <w:ind w:left="5100" w:hanging="360"/>
      </w:pPr>
      <w:rPr>
        <w:rFonts w:cs="Times New Roman"/>
      </w:rPr>
    </w:lvl>
    <w:lvl w:ilvl="7" w:tplc="080A0019" w:tentative="1">
      <w:start w:val="1"/>
      <w:numFmt w:val="lowerLetter"/>
      <w:lvlText w:val="%8."/>
      <w:lvlJc w:val="left"/>
      <w:pPr>
        <w:ind w:left="5820" w:hanging="360"/>
      </w:pPr>
      <w:rPr>
        <w:rFonts w:cs="Times New Roman"/>
      </w:rPr>
    </w:lvl>
    <w:lvl w:ilvl="8" w:tplc="080A001B" w:tentative="1">
      <w:start w:val="1"/>
      <w:numFmt w:val="lowerRoman"/>
      <w:lvlText w:val="%9."/>
      <w:lvlJc w:val="right"/>
      <w:pPr>
        <w:ind w:left="6540" w:hanging="180"/>
      </w:pPr>
      <w:rPr>
        <w:rFonts w:cs="Times New Roman"/>
      </w:rPr>
    </w:lvl>
  </w:abstractNum>
  <w:num w:numId="1">
    <w:abstractNumId w:val="1"/>
  </w:num>
  <w:num w:numId="2">
    <w:abstractNumId w:val="6"/>
  </w:num>
  <w:num w:numId="3">
    <w:abstractNumId w:val="8"/>
  </w:num>
  <w:num w:numId="4">
    <w:abstractNumId w:val="10"/>
  </w:num>
  <w:num w:numId="5">
    <w:abstractNumId w:val="7"/>
  </w:num>
  <w:num w:numId="6">
    <w:abstractNumId w:val="3"/>
  </w:num>
  <w:num w:numId="7">
    <w:abstractNumId w:val="9"/>
  </w:num>
  <w:num w:numId="8">
    <w:abstractNumId w:val="2"/>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E1"/>
    <w:rsid w:val="0000214F"/>
    <w:rsid w:val="00003773"/>
    <w:rsid w:val="00004423"/>
    <w:rsid w:val="000052D0"/>
    <w:rsid w:val="000063E5"/>
    <w:rsid w:val="0001093B"/>
    <w:rsid w:val="000130AE"/>
    <w:rsid w:val="00014154"/>
    <w:rsid w:val="00014E10"/>
    <w:rsid w:val="00020DED"/>
    <w:rsid w:val="00021A4A"/>
    <w:rsid w:val="00022849"/>
    <w:rsid w:val="0002453E"/>
    <w:rsid w:val="00026827"/>
    <w:rsid w:val="000269A6"/>
    <w:rsid w:val="000318DD"/>
    <w:rsid w:val="00033F20"/>
    <w:rsid w:val="00034536"/>
    <w:rsid w:val="00034F5F"/>
    <w:rsid w:val="000360E7"/>
    <w:rsid w:val="0003671E"/>
    <w:rsid w:val="0003683A"/>
    <w:rsid w:val="00041652"/>
    <w:rsid w:val="00042BAA"/>
    <w:rsid w:val="00043EE0"/>
    <w:rsid w:val="000446C0"/>
    <w:rsid w:val="00045E7D"/>
    <w:rsid w:val="00050303"/>
    <w:rsid w:val="00052643"/>
    <w:rsid w:val="0005521E"/>
    <w:rsid w:val="000576EF"/>
    <w:rsid w:val="00060C4B"/>
    <w:rsid w:val="00061709"/>
    <w:rsid w:val="00062E7B"/>
    <w:rsid w:val="00064670"/>
    <w:rsid w:val="00064AD6"/>
    <w:rsid w:val="00071396"/>
    <w:rsid w:val="00072868"/>
    <w:rsid w:val="000728C5"/>
    <w:rsid w:val="000733F3"/>
    <w:rsid w:val="00073559"/>
    <w:rsid w:val="00086248"/>
    <w:rsid w:val="00087A21"/>
    <w:rsid w:val="0009012F"/>
    <w:rsid w:val="000918CD"/>
    <w:rsid w:val="0009256A"/>
    <w:rsid w:val="00092C3C"/>
    <w:rsid w:val="0009338E"/>
    <w:rsid w:val="00097097"/>
    <w:rsid w:val="000A0CC7"/>
    <w:rsid w:val="000A1A9B"/>
    <w:rsid w:val="000A1B9D"/>
    <w:rsid w:val="000A226E"/>
    <w:rsid w:val="000A2467"/>
    <w:rsid w:val="000A2B8C"/>
    <w:rsid w:val="000A4F89"/>
    <w:rsid w:val="000A615B"/>
    <w:rsid w:val="000B187F"/>
    <w:rsid w:val="000B1D21"/>
    <w:rsid w:val="000B2BA7"/>
    <w:rsid w:val="000B2F76"/>
    <w:rsid w:val="000B5DEC"/>
    <w:rsid w:val="000C1F90"/>
    <w:rsid w:val="000C3295"/>
    <w:rsid w:val="000C3701"/>
    <w:rsid w:val="000D000F"/>
    <w:rsid w:val="000D13E4"/>
    <w:rsid w:val="000D2EDE"/>
    <w:rsid w:val="000D3274"/>
    <w:rsid w:val="000D3A05"/>
    <w:rsid w:val="000D709D"/>
    <w:rsid w:val="000D720E"/>
    <w:rsid w:val="000E0307"/>
    <w:rsid w:val="000E0DE6"/>
    <w:rsid w:val="000E3948"/>
    <w:rsid w:val="000E42E3"/>
    <w:rsid w:val="000E4C9D"/>
    <w:rsid w:val="000F0693"/>
    <w:rsid w:val="000F0E6B"/>
    <w:rsid w:val="000F4890"/>
    <w:rsid w:val="0010219D"/>
    <w:rsid w:val="00102525"/>
    <w:rsid w:val="00104FB1"/>
    <w:rsid w:val="001055DA"/>
    <w:rsid w:val="00107B1F"/>
    <w:rsid w:val="00111FD9"/>
    <w:rsid w:val="0011207E"/>
    <w:rsid w:val="001124AB"/>
    <w:rsid w:val="00113612"/>
    <w:rsid w:val="001139B4"/>
    <w:rsid w:val="00114AD1"/>
    <w:rsid w:val="001167EA"/>
    <w:rsid w:val="00116848"/>
    <w:rsid w:val="00117B1E"/>
    <w:rsid w:val="001218B0"/>
    <w:rsid w:val="001230C4"/>
    <w:rsid w:val="00126C9F"/>
    <w:rsid w:val="0013049D"/>
    <w:rsid w:val="001308FB"/>
    <w:rsid w:val="00130EF7"/>
    <w:rsid w:val="0013178E"/>
    <w:rsid w:val="001317AF"/>
    <w:rsid w:val="00135F96"/>
    <w:rsid w:val="00137035"/>
    <w:rsid w:val="001377E0"/>
    <w:rsid w:val="00141FE3"/>
    <w:rsid w:val="001428E8"/>
    <w:rsid w:val="00147134"/>
    <w:rsid w:val="00150377"/>
    <w:rsid w:val="00150AD2"/>
    <w:rsid w:val="00150B22"/>
    <w:rsid w:val="00155463"/>
    <w:rsid w:val="001557DF"/>
    <w:rsid w:val="00155DC1"/>
    <w:rsid w:val="00160549"/>
    <w:rsid w:val="001614CA"/>
    <w:rsid w:val="00162A70"/>
    <w:rsid w:val="00166058"/>
    <w:rsid w:val="00166E30"/>
    <w:rsid w:val="00167234"/>
    <w:rsid w:val="00167D22"/>
    <w:rsid w:val="00171EEC"/>
    <w:rsid w:val="001731E1"/>
    <w:rsid w:val="00174316"/>
    <w:rsid w:val="00177553"/>
    <w:rsid w:val="001805E2"/>
    <w:rsid w:val="0018083A"/>
    <w:rsid w:val="001830CE"/>
    <w:rsid w:val="001832AD"/>
    <w:rsid w:val="00183499"/>
    <w:rsid w:val="00183A48"/>
    <w:rsid w:val="00185C7B"/>
    <w:rsid w:val="00186ACF"/>
    <w:rsid w:val="001911A4"/>
    <w:rsid w:val="00192D85"/>
    <w:rsid w:val="0019338F"/>
    <w:rsid w:val="00196189"/>
    <w:rsid w:val="001A133F"/>
    <w:rsid w:val="001A2330"/>
    <w:rsid w:val="001A3BDF"/>
    <w:rsid w:val="001A4D2A"/>
    <w:rsid w:val="001A4D72"/>
    <w:rsid w:val="001A776E"/>
    <w:rsid w:val="001B04E1"/>
    <w:rsid w:val="001B2188"/>
    <w:rsid w:val="001B32F2"/>
    <w:rsid w:val="001B379B"/>
    <w:rsid w:val="001B5DAF"/>
    <w:rsid w:val="001B7A71"/>
    <w:rsid w:val="001C122A"/>
    <w:rsid w:val="001C179F"/>
    <w:rsid w:val="001C4082"/>
    <w:rsid w:val="001C5227"/>
    <w:rsid w:val="001C53C1"/>
    <w:rsid w:val="001C6617"/>
    <w:rsid w:val="001C6B95"/>
    <w:rsid w:val="001C6D7C"/>
    <w:rsid w:val="001D0722"/>
    <w:rsid w:val="001D272F"/>
    <w:rsid w:val="001D284C"/>
    <w:rsid w:val="001D38C3"/>
    <w:rsid w:val="001D71A8"/>
    <w:rsid w:val="001E18EE"/>
    <w:rsid w:val="001E3047"/>
    <w:rsid w:val="001E32CF"/>
    <w:rsid w:val="001E64ED"/>
    <w:rsid w:val="001E6BD2"/>
    <w:rsid w:val="001E7BEE"/>
    <w:rsid w:val="001E7D9F"/>
    <w:rsid w:val="001F10B6"/>
    <w:rsid w:val="001F3ADB"/>
    <w:rsid w:val="001F5942"/>
    <w:rsid w:val="001F692A"/>
    <w:rsid w:val="00201D64"/>
    <w:rsid w:val="00202A7A"/>
    <w:rsid w:val="00206AFF"/>
    <w:rsid w:val="0020729C"/>
    <w:rsid w:val="00212122"/>
    <w:rsid w:val="002124BB"/>
    <w:rsid w:val="002129D2"/>
    <w:rsid w:val="002139F6"/>
    <w:rsid w:val="00214D2B"/>
    <w:rsid w:val="00216936"/>
    <w:rsid w:val="0021693B"/>
    <w:rsid w:val="0021729E"/>
    <w:rsid w:val="00220B62"/>
    <w:rsid w:val="00221B4B"/>
    <w:rsid w:val="0022258D"/>
    <w:rsid w:val="00224D66"/>
    <w:rsid w:val="002259DA"/>
    <w:rsid w:val="00231608"/>
    <w:rsid w:val="0023404E"/>
    <w:rsid w:val="002340D2"/>
    <w:rsid w:val="00234B7E"/>
    <w:rsid w:val="00234D31"/>
    <w:rsid w:val="00234F28"/>
    <w:rsid w:val="00237C51"/>
    <w:rsid w:val="00242378"/>
    <w:rsid w:val="002424AB"/>
    <w:rsid w:val="00242FD6"/>
    <w:rsid w:val="002443EE"/>
    <w:rsid w:val="0024440A"/>
    <w:rsid w:val="00246397"/>
    <w:rsid w:val="00246A25"/>
    <w:rsid w:val="00252EF4"/>
    <w:rsid w:val="0026127F"/>
    <w:rsid w:val="00262D45"/>
    <w:rsid w:val="00262EB4"/>
    <w:rsid w:val="002675A3"/>
    <w:rsid w:val="00271DBA"/>
    <w:rsid w:val="002722D2"/>
    <w:rsid w:val="002767BA"/>
    <w:rsid w:val="00277121"/>
    <w:rsid w:val="00277923"/>
    <w:rsid w:val="00283898"/>
    <w:rsid w:val="00285864"/>
    <w:rsid w:val="0029028B"/>
    <w:rsid w:val="002905C6"/>
    <w:rsid w:val="002912D6"/>
    <w:rsid w:val="002926D3"/>
    <w:rsid w:val="00292EFB"/>
    <w:rsid w:val="002943A2"/>
    <w:rsid w:val="00294F06"/>
    <w:rsid w:val="00295ED8"/>
    <w:rsid w:val="00296294"/>
    <w:rsid w:val="00297E84"/>
    <w:rsid w:val="002A09B1"/>
    <w:rsid w:val="002A117B"/>
    <w:rsid w:val="002A2245"/>
    <w:rsid w:val="002A29A6"/>
    <w:rsid w:val="002A354C"/>
    <w:rsid w:val="002A4762"/>
    <w:rsid w:val="002A554E"/>
    <w:rsid w:val="002A7816"/>
    <w:rsid w:val="002B03FE"/>
    <w:rsid w:val="002B3284"/>
    <w:rsid w:val="002C06E8"/>
    <w:rsid w:val="002C1B35"/>
    <w:rsid w:val="002C268E"/>
    <w:rsid w:val="002C32F1"/>
    <w:rsid w:val="002C57FF"/>
    <w:rsid w:val="002D0118"/>
    <w:rsid w:val="002D0E23"/>
    <w:rsid w:val="002D2FE8"/>
    <w:rsid w:val="002D3E7C"/>
    <w:rsid w:val="002D433E"/>
    <w:rsid w:val="002E1CD9"/>
    <w:rsid w:val="002E5108"/>
    <w:rsid w:val="002E54EF"/>
    <w:rsid w:val="002E6696"/>
    <w:rsid w:val="002E747E"/>
    <w:rsid w:val="002E7CFB"/>
    <w:rsid w:val="002F1E5E"/>
    <w:rsid w:val="002F66B0"/>
    <w:rsid w:val="002F74C4"/>
    <w:rsid w:val="002F7DB0"/>
    <w:rsid w:val="00300D3D"/>
    <w:rsid w:val="00307529"/>
    <w:rsid w:val="00307CAE"/>
    <w:rsid w:val="0031023F"/>
    <w:rsid w:val="00310E87"/>
    <w:rsid w:val="00313096"/>
    <w:rsid w:val="0031405B"/>
    <w:rsid w:val="003156F3"/>
    <w:rsid w:val="00315F49"/>
    <w:rsid w:val="003177FF"/>
    <w:rsid w:val="00321508"/>
    <w:rsid w:val="0032345B"/>
    <w:rsid w:val="00323462"/>
    <w:rsid w:val="00324B60"/>
    <w:rsid w:val="00324BCD"/>
    <w:rsid w:val="003253E1"/>
    <w:rsid w:val="00325F64"/>
    <w:rsid w:val="00327C1D"/>
    <w:rsid w:val="003301D6"/>
    <w:rsid w:val="003301FC"/>
    <w:rsid w:val="003308A3"/>
    <w:rsid w:val="00330CA2"/>
    <w:rsid w:val="00330F07"/>
    <w:rsid w:val="0033260B"/>
    <w:rsid w:val="00334AA6"/>
    <w:rsid w:val="00336099"/>
    <w:rsid w:val="003370C8"/>
    <w:rsid w:val="00337BD3"/>
    <w:rsid w:val="00342064"/>
    <w:rsid w:val="0034220B"/>
    <w:rsid w:val="003439BA"/>
    <w:rsid w:val="00344FAD"/>
    <w:rsid w:val="003450E3"/>
    <w:rsid w:val="00346196"/>
    <w:rsid w:val="00347B53"/>
    <w:rsid w:val="00347C09"/>
    <w:rsid w:val="0035148B"/>
    <w:rsid w:val="00355C05"/>
    <w:rsid w:val="003578EF"/>
    <w:rsid w:val="00367B45"/>
    <w:rsid w:val="00370C81"/>
    <w:rsid w:val="00371658"/>
    <w:rsid w:val="00371E8E"/>
    <w:rsid w:val="003722FA"/>
    <w:rsid w:val="00373141"/>
    <w:rsid w:val="00374567"/>
    <w:rsid w:val="00374E5B"/>
    <w:rsid w:val="00376F64"/>
    <w:rsid w:val="0038258E"/>
    <w:rsid w:val="003825AB"/>
    <w:rsid w:val="00383480"/>
    <w:rsid w:val="00383BFE"/>
    <w:rsid w:val="00384C6A"/>
    <w:rsid w:val="00391441"/>
    <w:rsid w:val="00392A50"/>
    <w:rsid w:val="003943A2"/>
    <w:rsid w:val="00395C37"/>
    <w:rsid w:val="003A0C39"/>
    <w:rsid w:val="003A0FDE"/>
    <w:rsid w:val="003A192C"/>
    <w:rsid w:val="003A233B"/>
    <w:rsid w:val="003A25EB"/>
    <w:rsid w:val="003A3DED"/>
    <w:rsid w:val="003A570C"/>
    <w:rsid w:val="003A75A8"/>
    <w:rsid w:val="003B004E"/>
    <w:rsid w:val="003B10BA"/>
    <w:rsid w:val="003B1470"/>
    <w:rsid w:val="003B4551"/>
    <w:rsid w:val="003B457D"/>
    <w:rsid w:val="003B4E37"/>
    <w:rsid w:val="003B52B7"/>
    <w:rsid w:val="003B5616"/>
    <w:rsid w:val="003B5B11"/>
    <w:rsid w:val="003B650E"/>
    <w:rsid w:val="003C02B6"/>
    <w:rsid w:val="003C0CAA"/>
    <w:rsid w:val="003C0E49"/>
    <w:rsid w:val="003C1A36"/>
    <w:rsid w:val="003C1CD0"/>
    <w:rsid w:val="003C2A05"/>
    <w:rsid w:val="003C3129"/>
    <w:rsid w:val="003D2D31"/>
    <w:rsid w:val="003D3700"/>
    <w:rsid w:val="003D6F63"/>
    <w:rsid w:val="003E1BD1"/>
    <w:rsid w:val="003E21DA"/>
    <w:rsid w:val="003E41D9"/>
    <w:rsid w:val="003E455C"/>
    <w:rsid w:val="003E650A"/>
    <w:rsid w:val="003F3321"/>
    <w:rsid w:val="003F3E6C"/>
    <w:rsid w:val="003F48AC"/>
    <w:rsid w:val="003F6C4C"/>
    <w:rsid w:val="00402D37"/>
    <w:rsid w:val="004035AE"/>
    <w:rsid w:val="0040396F"/>
    <w:rsid w:val="00404ACA"/>
    <w:rsid w:val="00405465"/>
    <w:rsid w:val="00405B37"/>
    <w:rsid w:val="00406589"/>
    <w:rsid w:val="00407134"/>
    <w:rsid w:val="00407588"/>
    <w:rsid w:val="004118E2"/>
    <w:rsid w:val="00414B29"/>
    <w:rsid w:val="00415342"/>
    <w:rsid w:val="00415F5D"/>
    <w:rsid w:val="004202C1"/>
    <w:rsid w:val="00423170"/>
    <w:rsid w:val="004242C9"/>
    <w:rsid w:val="00425459"/>
    <w:rsid w:val="004267C3"/>
    <w:rsid w:val="0043033F"/>
    <w:rsid w:val="00431E79"/>
    <w:rsid w:val="004322A6"/>
    <w:rsid w:val="0043261B"/>
    <w:rsid w:val="004330B1"/>
    <w:rsid w:val="00434018"/>
    <w:rsid w:val="004341F9"/>
    <w:rsid w:val="004343C1"/>
    <w:rsid w:val="004350F8"/>
    <w:rsid w:val="004359E0"/>
    <w:rsid w:val="00437EA6"/>
    <w:rsid w:val="00441A90"/>
    <w:rsid w:val="004422A7"/>
    <w:rsid w:val="00445601"/>
    <w:rsid w:val="00447037"/>
    <w:rsid w:val="00453253"/>
    <w:rsid w:val="00453678"/>
    <w:rsid w:val="00454755"/>
    <w:rsid w:val="00454BE1"/>
    <w:rsid w:val="004551D9"/>
    <w:rsid w:val="0046150F"/>
    <w:rsid w:val="00463B41"/>
    <w:rsid w:val="0046429B"/>
    <w:rsid w:val="0046508F"/>
    <w:rsid w:val="0046522D"/>
    <w:rsid w:val="004655F1"/>
    <w:rsid w:val="004659DB"/>
    <w:rsid w:val="00466390"/>
    <w:rsid w:val="00466A0E"/>
    <w:rsid w:val="0046725D"/>
    <w:rsid w:val="00467C86"/>
    <w:rsid w:val="0047072B"/>
    <w:rsid w:val="004719AD"/>
    <w:rsid w:val="00476501"/>
    <w:rsid w:val="0047699A"/>
    <w:rsid w:val="00476AC0"/>
    <w:rsid w:val="0048216F"/>
    <w:rsid w:val="00482182"/>
    <w:rsid w:val="0048399D"/>
    <w:rsid w:val="00484580"/>
    <w:rsid w:val="00484A0E"/>
    <w:rsid w:val="00486932"/>
    <w:rsid w:val="00486FE1"/>
    <w:rsid w:val="00491656"/>
    <w:rsid w:val="00492E24"/>
    <w:rsid w:val="00492F76"/>
    <w:rsid w:val="004937A7"/>
    <w:rsid w:val="00495A0D"/>
    <w:rsid w:val="0049610C"/>
    <w:rsid w:val="004A36D5"/>
    <w:rsid w:val="004A4CA6"/>
    <w:rsid w:val="004A6978"/>
    <w:rsid w:val="004B0DB0"/>
    <w:rsid w:val="004B3194"/>
    <w:rsid w:val="004B38E3"/>
    <w:rsid w:val="004B4545"/>
    <w:rsid w:val="004B51DB"/>
    <w:rsid w:val="004B5D78"/>
    <w:rsid w:val="004B7E4B"/>
    <w:rsid w:val="004C1360"/>
    <w:rsid w:val="004C2155"/>
    <w:rsid w:val="004C40B7"/>
    <w:rsid w:val="004C70A5"/>
    <w:rsid w:val="004C771E"/>
    <w:rsid w:val="004D0155"/>
    <w:rsid w:val="004D2268"/>
    <w:rsid w:val="004D3260"/>
    <w:rsid w:val="004D443E"/>
    <w:rsid w:val="004D56E3"/>
    <w:rsid w:val="004D5CEE"/>
    <w:rsid w:val="004D6EEC"/>
    <w:rsid w:val="004D7225"/>
    <w:rsid w:val="004D7B3A"/>
    <w:rsid w:val="004E068F"/>
    <w:rsid w:val="004E1016"/>
    <w:rsid w:val="004E119A"/>
    <w:rsid w:val="004E3C20"/>
    <w:rsid w:val="004E748B"/>
    <w:rsid w:val="004F00BA"/>
    <w:rsid w:val="004F04E3"/>
    <w:rsid w:val="004F09FE"/>
    <w:rsid w:val="004F166B"/>
    <w:rsid w:val="004F1A75"/>
    <w:rsid w:val="004F3A36"/>
    <w:rsid w:val="004F6D29"/>
    <w:rsid w:val="00500585"/>
    <w:rsid w:val="0050330C"/>
    <w:rsid w:val="00506EE1"/>
    <w:rsid w:val="005071DB"/>
    <w:rsid w:val="00507EBB"/>
    <w:rsid w:val="00512D09"/>
    <w:rsid w:val="00515981"/>
    <w:rsid w:val="00515DB3"/>
    <w:rsid w:val="00515E09"/>
    <w:rsid w:val="00516CA8"/>
    <w:rsid w:val="00520884"/>
    <w:rsid w:val="00521011"/>
    <w:rsid w:val="005211C1"/>
    <w:rsid w:val="005231AB"/>
    <w:rsid w:val="00525BB7"/>
    <w:rsid w:val="005269D1"/>
    <w:rsid w:val="005312C9"/>
    <w:rsid w:val="00533097"/>
    <w:rsid w:val="0053334F"/>
    <w:rsid w:val="005350DD"/>
    <w:rsid w:val="005407C1"/>
    <w:rsid w:val="005519C9"/>
    <w:rsid w:val="00554639"/>
    <w:rsid w:val="00554FE9"/>
    <w:rsid w:val="0056001B"/>
    <w:rsid w:val="00560C97"/>
    <w:rsid w:val="005658FB"/>
    <w:rsid w:val="00566AD3"/>
    <w:rsid w:val="005702F7"/>
    <w:rsid w:val="005703B4"/>
    <w:rsid w:val="00571267"/>
    <w:rsid w:val="005713D5"/>
    <w:rsid w:val="00573BD9"/>
    <w:rsid w:val="005803E1"/>
    <w:rsid w:val="00581E77"/>
    <w:rsid w:val="00581F05"/>
    <w:rsid w:val="005863F3"/>
    <w:rsid w:val="00587272"/>
    <w:rsid w:val="00587AF3"/>
    <w:rsid w:val="005901A6"/>
    <w:rsid w:val="00591F51"/>
    <w:rsid w:val="005A034B"/>
    <w:rsid w:val="005A0671"/>
    <w:rsid w:val="005A0B45"/>
    <w:rsid w:val="005A3162"/>
    <w:rsid w:val="005A32DA"/>
    <w:rsid w:val="005A3825"/>
    <w:rsid w:val="005A4347"/>
    <w:rsid w:val="005A63ED"/>
    <w:rsid w:val="005A6BD6"/>
    <w:rsid w:val="005B2420"/>
    <w:rsid w:val="005B3301"/>
    <w:rsid w:val="005B3413"/>
    <w:rsid w:val="005B43FF"/>
    <w:rsid w:val="005B5E99"/>
    <w:rsid w:val="005C0C42"/>
    <w:rsid w:val="005C0D5F"/>
    <w:rsid w:val="005C3953"/>
    <w:rsid w:val="005C5693"/>
    <w:rsid w:val="005C604B"/>
    <w:rsid w:val="005C7CC3"/>
    <w:rsid w:val="005D3A25"/>
    <w:rsid w:val="005D70DE"/>
    <w:rsid w:val="005E0FC7"/>
    <w:rsid w:val="005E5D77"/>
    <w:rsid w:val="005E66EF"/>
    <w:rsid w:val="005F1177"/>
    <w:rsid w:val="005F12E5"/>
    <w:rsid w:val="005F1E11"/>
    <w:rsid w:val="005F2987"/>
    <w:rsid w:val="005F2B2D"/>
    <w:rsid w:val="005F4F70"/>
    <w:rsid w:val="006043E2"/>
    <w:rsid w:val="00611A79"/>
    <w:rsid w:val="00611D3F"/>
    <w:rsid w:val="00613AAC"/>
    <w:rsid w:val="00613DE6"/>
    <w:rsid w:val="00614C17"/>
    <w:rsid w:val="0061503F"/>
    <w:rsid w:val="00616982"/>
    <w:rsid w:val="00617F3C"/>
    <w:rsid w:val="00622DCA"/>
    <w:rsid w:val="00623E63"/>
    <w:rsid w:val="00624C40"/>
    <w:rsid w:val="00624EDF"/>
    <w:rsid w:val="0062609E"/>
    <w:rsid w:val="006266F3"/>
    <w:rsid w:val="00626B21"/>
    <w:rsid w:val="00630325"/>
    <w:rsid w:val="0063132F"/>
    <w:rsid w:val="00631D6B"/>
    <w:rsid w:val="00632927"/>
    <w:rsid w:val="00632B44"/>
    <w:rsid w:val="00634080"/>
    <w:rsid w:val="00634963"/>
    <w:rsid w:val="00634ED0"/>
    <w:rsid w:val="006355AB"/>
    <w:rsid w:val="00640A6A"/>
    <w:rsid w:val="00642E01"/>
    <w:rsid w:val="00644721"/>
    <w:rsid w:val="006462DC"/>
    <w:rsid w:val="0065095D"/>
    <w:rsid w:val="0065149F"/>
    <w:rsid w:val="00653243"/>
    <w:rsid w:val="0065390C"/>
    <w:rsid w:val="00660813"/>
    <w:rsid w:val="00664456"/>
    <w:rsid w:val="00664FB9"/>
    <w:rsid w:val="006708B2"/>
    <w:rsid w:val="00671D42"/>
    <w:rsid w:val="006728CA"/>
    <w:rsid w:val="006779FA"/>
    <w:rsid w:val="00684AA8"/>
    <w:rsid w:val="006860FB"/>
    <w:rsid w:val="0069143F"/>
    <w:rsid w:val="00692966"/>
    <w:rsid w:val="00692B20"/>
    <w:rsid w:val="006A1C61"/>
    <w:rsid w:val="006A3FFD"/>
    <w:rsid w:val="006A4211"/>
    <w:rsid w:val="006A68E5"/>
    <w:rsid w:val="006A7106"/>
    <w:rsid w:val="006A7833"/>
    <w:rsid w:val="006B129C"/>
    <w:rsid w:val="006B214B"/>
    <w:rsid w:val="006B2F4E"/>
    <w:rsid w:val="006B62FD"/>
    <w:rsid w:val="006B64B2"/>
    <w:rsid w:val="006C1C1F"/>
    <w:rsid w:val="006C3C62"/>
    <w:rsid w:val="006C45A5"/>
    <w:rsid w:val="006C71AE"/>
    <w:rsid w:val="006D052D"/>
    <w:rsid w:val="006D23CF"/>
    <w:rsid w:val="006D2851"/>
    <w:rsid w:val="006D537F"/>
    <w:rsid w:val="006D5C11"/>
    <w:rsid w:val="006D71FD"/>
    <w:rsid w:val="006D75AF"/>
    <w:rsid w:val="006E0B62"/>
    <w:rsid w:val="006E173D"/>
    <w:rsid w:val="006E2668"/>
    <w:rsid w:val="006E3F55"/>
    <w:rsid w:val="006E6674"/>
    <w:rsid w:val="006E69F9"/>
    <w:rsid w:val="006E70B6"/>
    <w:rsid w:val="006F007D"/>
    <w:rsid w:val="006F11D1"/>
    <w:rsid w:val="006F25F1"/>
    <w:rsid w:val="006F34DE"/>
    <w:rsid w:val="006F367F"/>
    <w:rsid w:val="006F46F5"/>
    <w:rsid w:val="006F4B04"/>
    <w:rsid w:val="006F4B95"/>
    <w:rsid w:val="006F4D23"/>
    <w:rsid w:val="006F4DAF"/>
    <w:rsid w:val="006F5223"/>
    <w:rsid w:val="006F5AA3"/>
    <w:rsid w:val="006F74B8"/>
    <w:rsid w:val="007003CD"/>
    <w:rsid w:val="00700891"/>
    <w:rsid w:val="00703F4F"/>
    <w:rsid w:val="00704263"/>
    <w:rsid w:val="00705BAE"/>
    <w:rsid w:val="00705F7E"/>
    <w:rsid w:val="007075A5"/>
    <w:rsid w:val="00707FD7"/>
    <w:rsid w:val="00710298"/>
    <w:rsid w:val="00713456"/>
    <w:rsid w:val="0071761E"/>
    <w:rsid w:val="007209DB"/>
    <w:rsid w:val="007216BF"/>
    <w:rsid w:val="00722745"/>
    <w:rsid w:val="00723731"/>
    <w:rsid w:val="00724872"/>
    <w:rsid w:val="00725B80"/>
    <w:rsid w:val="00726167"/>
    <w:rsid w:val="00726329"/>
    <w:rsid w:val="007273CF"/>
    <w:rsid w:val="0073132B"/>
    <w:rsid w:val="0073186E"/>
    <w:rsid w:val="00731FDC"/>
    <w:rsid w:val="007354D0"/>
    <w:rsid w:val="00736037"/>
    <w:rsid w:val="007378A6"/>
    <w:rsid w:val="00741501"/>
    <w:rsid w:val="00742568"/>
    <w:rsid w:val="00744515"/>
    <w:rsid w:val="0074592E"/>
    <w:rsid w:val="00745C0C"/>
    <w:rsid w:val="00746439"/>
    <w:rsid w:val="007470B3"/>
    <w:rsid w:val="007519FC"/>
    <w:rsid w:val="00757360"/>
    <w:rsid w:val="0076397C"/>
    <w:rsid w:val="00764072"/>
    <w:rsid w:val="00764272"/>
    <w:rsid w:val="00764B3C"/>
    <w:rsid w:val="007659C5"/>
    <w:rsid w:val="00765E6F"/>
    <w:rsid w:val="0076654D"/>
    <w:rsid w:val="00766B48"/>
    <w:rsid w:val="00771F2C"/>
    <w:rsid w:val="00772C0E"/>
    <w:rsid w:val="007734A5"/>
    <w:rsid w:val="00777472"/>
    <w:rsid w:val="00782173"/>
    <w:rsid w:val="00782CEC"/>
    <w:rsid w:val="00782D16"/>
    <w:rsid w:val="0078681A"/>
    <w:rsid w:val="00786C19"/>
    <w:rsid w:val="00786F40"/>
    <w:rsid w:val="00790614"/>
    <w:rsid w:val="00790752"/>
    <w:rsid w:val="00791820"/>
    <w:rsid w:val="00792680"/>
    <w:rsid w:val="00792B53"/>
    <w:rsid w:val="007960E6"/>
    <w:rsid w:val="007A0E4D"/>
    <w:rsid w:val="007A1F41"/>
    <w:rsid w:val="007A24C2"/>
    <w:rsid w:val="007A2850"/>
    <w:rsid w:val="007A38D7"/>
    <w:rsid w:val="007A4405"/>
    <w:rsid w:val="007A70D9"/>
    <w:rsid w:val="007B301A"/>
    <w:rsid w:val="007B3B66"/>
    <w:rsid w:val="007B3D91"/>
    <w:rsid w:val="007B7C98"/>
    <w:rsid w:val="007C1D36"/>
    <w:rsid w:val="007C3A23"/>
    <w:rsid w:val="007C49BF"/>
    <w:rsid w:val="007C5808"/>
    <w:rsid w:val="007C5A50"/>
    <w:rsid w:val="007D039F"/>
    <w:rsid w:val="007D0E84"/>
    <w:rsid w:val="007D12FF"/>
    <w:rsid w:val="007D1360"/>
    <w:rsid w:val="007D1DDA"/>
    <w:rsid w:val="007D2487"/>
    <w:rsid w:val="007D5171"/>
    <w:rsid w:val="007D6CF8"/>
    <w:rsid w:val="007E0464"/>
    <w:rsid w:val="007E28EC"/>
    <w:rsid w:val="007E4345"/>
    <w:rsid w:val="007E502A"/>
    <w:rsid w:val="007F08F9"/>
    <w:rsid w:val="007F181C"/>
    <w:rsid w:val="007F207A"/>
    <w:rsid w:val="007F480B"/>
    <w:rsid w:val="007F769B"/>
    <w:rsid w:val="007F7CFC"/>
    <w:rsid w:val="00800386"/>
    <w:rsid w:val="00800416"/>
    <w:rsid w:val="00801738"/>
    <w:rsid w:val="00813E99"/>
    <w:rsid w:val="00815964"/>
    <w:rsid w:val="00816CB7"/>
    <w:rsid w:val="0081742E"/>
    <w:rsid w:val="00822AAD"/>
    <w:rsid w:val="00823A2F"/>
    <w:rsid w:val="008258BC"/>
    <w:rsid w:val="00826B81"/>
    <w:rsid w:val="00826E75"/>
    <w:rsid w:val="00827845"/>
    <w:rsid w:val="008301DD"/>
    <w:rsid w:val="00830725"/>
    <w:rsid w:val="00830CC3"/>
    <w:rsid w:val="008316A9"/>
    <w:rsid w:val="008322DB"/>
    <w:rsid w:val="00833FC1"/>
    <w:rsid w:val="00836C30"/>
    <w:rsid w:val="00842229"/>
    <w:rsid w:val="00845DCF"/>
    <w:rsid w:val="00845DDF"/>
    <w:rsid w:val="008470B8"/>
    <w:rsid w:val="00847450"/>
    <w:rsid w:val="008477F5"/>
    <w:rsid w:val="00851537"/>
    <w:rsid w:val="00851D4C"/>
    <w:rsid w:val="00852AC1"/>
    <w:rsid w:val="008554CE"/>
    <w:rsid w:val="008579CD"/>
    <w:rsid w:val="00857CD2"/>
    <w:rsid w:val="00861C44"/>
    <w:rsid w:val="008621E9"/>
    <w:rsid w:val="0086479F"/>
    <w:rsid w:val="00866538"/>
    <w:rsid w:val="008673C6"/>
    <w:rsid w:val="00871286"/>
    <w:rsid w:val="00876D0A"/>
    <w:rsid w:val="00881F91"/>
    <w:rsid w:val="00882C59"/>
    <w:rsid w:val="00882FC1"/>
    <w:rsid w:val="00883366"/>
    <w:rsid w:val="008842D7"/>
    <w:rsid w:val="008850A6"/>
    <w:rsid w:val="00885199"/>
    <w:rsid w:val="008857A4"/>
    <w:rsid w:val="008861C8"/>
    <w:rsid w:val="00894405"/>
    <w:rsid w:val="00896AC3"/>
    <w:rsid w:val="00896E62"/>
    <w:rsid w:val="008A0253"/>
    <w:rsid w:val="008A23E3"/>
    <w:rsid w:val="008A24D9"/>
    <w:rsid w:val="008A2E1F"/>
    <w:rsid w:val="008B054E"/>
    <w:rsid w:val="008B227E"/>
    <w:rsid w:val="008B2EE4"/>
    <w:rsid w:val="008B4EBB"/>
    <w:rsid w:val="008B5D14"/>
    <w:rsid w:val="008B7B77"/>
    <w:rsid w:val="008C04B5"/>
    <w:rsid w:val="008C1E6E"/>
    <w:rsid w:val="008C6492"/>
    <w:rsid w:val="008C6B53"/>
    <w:rsid w:val="008C72D2"/>
    <w:rsid w:val="008C7F5F"/>
    <w:rsid w:val="008D332D"/>
    <w:rsid w:val="008D390E"/>
    <w:rsid w:val="008D3C36"/>
    <w:rsid w:val="008D7CBB"/>
    <w:rsid w:val="008E17A6"/>
    <w:rsid w:val="008E1FAE"/>
    <w:rsid w:val="008E5ECF"/>
    <w:rsid w:val="008E6B41"/>
    <w:rsid w:val="008E6CFC"/>
    <w:rsid w:val="008F09F7"/>
    <w:rsid w:val="008F0F60"/>
    <w:rsid w:val="008F2878"/>
    <w:rsid w:val="008F7BDC"/>
    <w:rsid w:val="009021CC"/>
    <w:rsid w:val="00902A38"/>
    <w:rsid w:val="00902E89"/>
    <w:rsid w:val="0090326C"/>
    <w:rsid w:val="00905BCA"/>
    <w:rsid w:val="00907A0F"/>
    <w:rsid w:val="009114E9"/>
    <w:rsid w:val="009124E2"/>
    <w:rsid w:val="00912522"/>
    <w:rsid w:val="009148FD"/>
    <w:rsid w:val="0091569A"/>
    <w:rsid w:val="00915AD8"/>
    <w:rsid w:val="00915F66"/>
    <w:rsid w:val="009232E6"/>
    <w:rsid w:val="0092368E"/>
    <w:rsid w:val="00924D73"/>
    <w:rsid w:val="009328A8"/>
    <w:rsid w:val="00937413"/>
    <w:rsid w:val="00937752"/>
    <w:rsid w:val="0094110F"/>
    <w:rsid w:val="009414E2"/>
    <w:rsid w:val="009417F5"/>
    <w:rsid w:val="00941E17"/>
    <w:rsid w:val="009425CB"/>
    <w:rsid w:val="00945F79"/>
    <w:rsid w:val="00946020"/>
    <w:rsid w:val="009504BD"/>
    <w:rsid w:val="00952279"/>
    <w:rsid w:val="00955133"/>
    <w:rsid w:val="0095642A"/>
    <w:rsid w:val="00961761"/>
    <w:rsid w:val="00961C72"/>
    <w:rsid w:val="009627D8"/>
    <w:rsid w:val="0096281D"/>
    <w:rsid w:val="0096348A"/>
    <w:rsid w:val="009636B5"/>
    <w:rsid w:val="00965169"/>
    <w:rsid w:val="00965AA1"/>
    <w:rsid w:val="00967314"/>
    <w:rsid w:val="00967AC6"/>
    <w:rsid w:val="009740A8"/>
    <w:rsid w:val="00975966"/>
    <w:rsid w:val="00976E25"/>
    <w:rsid w:val="009770D8"/>
    <w:rsid w:val="00983078"/>
    <w:rsid w:val="00983D0B"/>
    <w:rsid w:val="009863B3"/>
    <w:rsid w:val="00986E35"/>
    <w:rsid w:val="00990BE9"/>
    <w:rsid w:val="0099149C"/>
    <w:rsid w:val="009919A7"/>
    <w:rsid w:val="00992C3F"/>
    <w:rsid w:val="00993B73"/>
    <w:rsid w:val="00996072"/>
    <w:rsid w:val="00997A8C"/>
    <w:rsid w:val="00997AC5"/>
    <w:rsid w:val="009A0205"/>
    <w:rsid w:val="009A02E3"/>
    <w:rsid w:val="009A0F8D"/>
    <w:rsid w:val="009A35E5"/>
    <w:rsid w:val="009A38D6"/>
    <w:rsid w:val="009A59E7"/>
    <w:rsid w:val="009B2793"/>
    <w:rsid w:val="009B53D7"/>
    <w:rsid w:val="009B5996"/>
    <w:rsid w:val="009B6C59"/>
    <w:rsid w:val="009B76D6"/>
    <w:rsid w:val="009C08D1"/>
    <w:rsid w:val="009C27FF"/>
    <w:rsid w:val="009C2DB7"/>
    <w:rsid w:val="009C6493"/>
    <w:rsid w:val="009C64ED"/>
    <w:rsid w:val="009C748A"/>
    <w:rsid w:val="009D0F39"/>
    <w:rsid w:val="009D2284"/>
    <w:rsid w:val="009D30FF"/>
    <w:rsid w:val="009D4D83"/>
    <w:rsid w:val="009D6C0A"/>
    <w:rsid w:val="009E0D44"/>
    <w:rsid w:val="009E1296"/>
    <w:rsid w:val="009E34F1"/>
    <w:rsid w:val="009E37A7"/>
    <w:rsid w:val="009E3AAE"/>
    <w:rsid w:val="009E6354"/>
    <w:rsid w:val="009F118A"/>
    <w:rsid w:val="009F3B99"/>
    <w:rsid w:val="009F4916"/>
    <w:rsid w:val="009F4F91"/>
    <w:rsid w:val="009F5010"/>
    <w:rsid w:val="009F7209"/>
    <w:rsid w:val="00A0173D"/>
    <w:rsid w:val="00A023DE"/>
    <w:rsid w:val="00A05F34"/>
    <w:rsid w:val="00A10756"/>
    <w:rsid w:val="00A120AF"/>
    <w:rsid w:val="00A12A2C"/>
    <w:rsid w:val="00A1355B"/>
    <w:rsid w:val="00A16076"/>
    <w:rsid w:val="00A16393"/>
    <w:rsid w:val="00A17B2F"/>
    <w:rsid w:val="00A17D86"/>
    <w:rsid w:val="00A17DD8"/>
    <w:rsid w:val="00A20D47"/>
    <w:rsid w:val="00A20E43"/>
    <w:rsid w:val="00A225C7"/>
    <w:rsid w:val="00A230A2"/>
    <w:rsid w:val="00A239AB"/>
    <w:rsid w:val="00A23B8B"/>
    <w:rsid w:val="00A24225"/>
    <w:rsid w:val="00A24409"/>
    <w:rsid w:val="00A26882"/>
    <w:rsid w:val="00A2710C"/>
    <w:rsid w:val="00A27C71"/>
    <w:rsid w:val="00A31B56"/>
    <w:rsid w:val="00A357B7"/>
    <w:rsid w:val="00A36793"/>
    <w:rsid w:val="00A36A91"/>
    <w:rsid w:val="00A462B2"/>
    <w:rsid w:val="00A46623"/>
    <w:rsid w:val="00A47213"/>
    <w:rsid w:val="00A51058"/>
    <w:rsid w:val="00A56EC2"/>
    <w:rsid w:val="00A5730E"/>
    <w:rsid w:val="00A57695"/>
    <w:rsid w:val="00A57EB1"/>
    <w:rsid w:val="00A6025B"/>
    <w:rsid w:val="00A60870"/>
    <w:rsid w:val="00A60E46"/>
    <w:rsid w:val="00A62754"/>
    <w:rsid w:val="00A64A7C"/>
    <w:rsid w:val="00A64CE0"/>
    <w:rsid w:val="00A65AA6"/>
    <w:rsid w:val="00A676D5"/>
    <w:rsid w:val="00A7106E"/>
    <w:rsid w:val="00A73130"/>
    <w:rsid w:val="00A74382"/>
    <w:rsid w:val="00A7583F"/>
    <w:rsid w:val="00A81870"/>
    <w:rsid w:val="00A8312E"/>
    <w:rsid w:val="00A85871"/>
    <w:rsid w:val="00A8594E"/>
    <w:rsid w:val="00A85BD1"/>
    <w:rsid w:val="00A8683A"/>
    <w:rsid w:val="00A8745B"/>
    <w:rsid w:val="00A87877"/>
    <w:rsid w:val="00A87CA1"/>
    <w:rsid w:val="00A90B87"/>
    <w:rsid w:val="00A919D0"/>
    <w:rsid w:val="00A943AE"/>
    <w:rsid w:val="00A94EBD"/>
    <w:rsid w:val="00A96132"/>
    <w:rsid w:val="00AA0A50"/>
    <w:rsid w:val="00AA0E9C"/>
    <w:rsid w:val="00AA1E53"/>
    <w:rsid w:val="00AA2FE6"/>
    <w:rsid w:val="00AA3C50"/>
    <w:rsid w:val="00AA70F3"/>
    <w:rsid w:val="00AA7E90"/>
    <w:rsid w:val="00AB07C1"/>
    <w:rsid w:val="00AB2100"/>
    <w:rsid w:val="00AB2D18"/>
    <w:rsid w:val="00AB2F7E"/>
    <w:rsid w:val="00AB56FA"/>
    <w:rsid w:val="00AB58C7"/>
    <w:rsid w:val="00AB6D1B"/>
    <w:rsid w:val="00AB6FE3"/>
    <w:rsid w:val="00AB7DDB"/>
    <w:rsid w:val="00AC0D5E"/>
    <w:rsid w:val="00AC0F97"/>
    <w:rsid w:val="00AC2D75"/>
    <w:rsid w:val="00AC39C6"/>
    <w:rsid w:val="00AC4D60"/>
    <w:rsid w:val="00AC5F32"/>
    <w:rsid w:val="00AC680C"/>
    <w:rsid w:val="00AC6B01"/>
    <w:rsid w:val="00AC75F8"/>
    <w:rsid w:val="00AD00E5"/>
    <w:rsid w:val="00AD1A44"/>
    <w:rsid w:val="00AD54F2"/>
    <w:rsid w:val="00AD5EED"/>
    <w:rsid w:val="00AD5F51"/>
    <w:rsid w:val="00AD79B8"/>
    <w:rsid w:val="00AE221F"/>
    <w:rsid w:val="00AE26DB"/>
    <w:rsid w:val="00AE33D1"/>
    <w:rsid w:val="00AE48B6"/>
    <w:rsid w:val="00AE5BC9"/>
    <w:rsid w:val="00AE730D"/>
    <w:rsid w:val="00AE7B45"/>
    <w:rsid w:val="00AE7C2F"/>
    <w:rsid w:val="00AF0807"/>
    <w:rsid w:val="00AF0D9D"/>
    <w:rsid w:val="00AF24DF"/>
    <w:rsid w:val="00AF381C"/>
    <w:rsid w:val="00AF39E8"/>
    <w:rsid w:val="00AF447E"/>
    <w:rsid w:val="00AF6C57"/>
    <w:rsid w:val="00B01B5C"/>
    <w:rsid w:val="00B02209"/>
    <w:rsid w:val="00B0235B"/>
    <w:rsid w:val="00B055F7"/>
    <w:rsid w:val="00B06243"/>
    <w:rsid w:val="00B06E20"/>
    <w:rsid w:val="00B0702A"/>
    <w:rsid w:val="00B07455"/>
    <w:rsid w:val="00B1104A"/>
    <w:rsid w:val="00B110B3"/>
    <w:rsid w:val="00B11F46"/>
    <w:rsid w:val="00B1265B"/>
    <w:rsid w:val="00B132FC"/>
    <w:rsid w:val="00B1491E"/>
    <w:rsid w:val="00B15992"/>
    <w:rsid w:val="00B17057"/>
    <w:rsid w:val="00B17DF2"/>
    <w:rsid w:val="00B23498"/>
    <w:rsid w:val="00B248C4"/>
    <w:rsid w:val="00B24A93"/>
    <w:rsid w:val="00B24C01"/>
    <w:rsid w:val="00B263F2"/>
    <w:rsid w:val="00B278F9"/>
    <w:rsid w:val="00B27AC5"/>
    <w:rsid w:val="00B27FCE"/>
    <w:rsid w:val="00B3099D"/>
    <w:rsid w:val="00B30D52"/>
    <w:rsid w:val="00B332BF"/>
    <w:rsid w:val="00B359E7"/>
    <w:rsid w:val="00B369D8"/>
    <w:rsid w:val="00B40042"/>
    <w:rsid w:val="00B40B50"/>
    <w:rsid w:val="00B41261"/>
    <w:rsid w:val="00B435FE"/>
    <w:rsid w:val="00B43D63"/>
    <w:rsid w:val="00B43F96"/>
    <w:rsid w:val="00B45E43"/>
    <w:rsid w:val="00B47BEE"/>
    <w:rsid w:val="00B47EF2"/>
    <w:rsid w:val="00B50FD5"/>
    <w:rsid w:val="00B52805"/>
    <w:rsid w:val="00B52BB2"/>
    <w:rsid w:val="00B533A9"/>
    <w:rsid w:val="00B53FFE"/>
    <w:rsid w:val="00B5561F"/>
    <w:rsid w:val="00B56DFA"/>
    <w:rsid w:val="00B60082"/>
    <w:rsid w:val="00B60B70"/>
    <w:rsid w:val="00B628EB"/>
    <w:rsid w:val="00B63D69"/>
    <w:rsid w:val="00B63EF5"/>
    <w:rsid w:val="00B6429E"/>
    <w:rsid w:val="00B66312"/>
    <w:rsid w:val="00B701BA"/>
    <w:rsid w:val="00B709B3"/>
    <w:rsid w:val="00B70C07"/>
    <w:rsid w:val="00B71A03"/>
    <w:rsid w:val="00B71B25"/>
    <w:rsid w:val="00B71D57"/>
    <w:rsid w:val="00B73700"/>
    <w:rsid w:val="00B73A03"/>
    <w:rsid w:val="00B742C6"/>
    <w:rsid w:val="00B74A13"/>
    <w:rsid w:val="00B74ED5"/>
    <w:rsid w:val="00B75505"/>
    <w:rsid w:val="00B75F6F"/>
    <w:rsid w:val="00B76982"/>
    <w:rsid w:val="00B77D33"/>
    <w:rsid w:val="00B807B2"/>
    <w:rsid w:val="00B80CE6"/>
    <w:rsid w:val="00B831E9"/>
    <w:rsid w:val="00B8392F"/>
    <w:rsid w:val="00B83FE0"/>
    <w:rsid w:val="00B85031"/>
    <w:rsid w:val="00B85675"/>
    <w:rsid w:val="00B864F4"/>
    <w:rsid w:val="00B86C45"/>
    <w:rsid w:val="00B879AB"/>
    <w:rsid w:val="00B91905"/>
    <w:rsid w:val="00B920F9"/>
    <w:rsid w:val="00B92584"/>
    <w:rsid w:val="00B93E83"/>
    <w:rsid w:val="00B93FB4"/>
    <w:rsid w:val="00B9446B"/>
    <w:rsid w:val="00B9533D"/>
    <w:rsid w:val="00B964E7"/>
    <w:rsid w:val="00B96D4A"/>
    <w:rsid w:val="00B9793F"/>
    <w:rsid w:val="00B97E75"/>
    <w:rsid w:val="00B97E9B"/>
    <w:rsid w:val="00BA090A"/>
    <w:rsid w:val="00BA2FC9"/>
    <w:rsid w:val="00BA3E64"/>
    <w:rsid w:val="00BA64EA"/>
    <w:rsid w:val="00BA6748"/>
    <w:rsid w:val="00BA6B09"/>
    <w:rsid w:val="00BA70CE"/>
    <w:rsid w:val="00BA7EC8"/>
    <w:rsid w:val="00BB5226"/>
    <w:rsid w:val="00BB6E35"/>
    <w:rsid w:val="00BC1C2E"/>
    <w:rsid w:val="00BC2376"/>
    <w:rsid w:val="00BC2F6D"/>
    <w:rsid w:val="00BC3E04"/>
    <w:rsid w:val="00BC4096"/>
    <w:rsid w:val="00BC5273"/>
    <w:rsid w:val="00BC56AD"/>
    <w:rsid w:val="00BC7C56"/>
    <w:rsid w:val="00BD1D76"/>
    <w:rsid w:val="00BD2E78"/>
    <w:rsid w:val="00BD3981"/>
    <w:rsid w:val="00BD639C"/>
    <w:rsid w:val="00BD6FBC"/>
    <w:rsid w:val="00BE0EB4"/>
    <w:rsid w:val="00BE34A6"/>
    <w:rsid w:val="00BE3541"/>
    <w:rsid w:val="00BE3935"/>
    <w:rsid w:val="00BE4201"/>
    <w:rsid w:val="00BE4552"/>
    <w:rsid w:val="00BE4585"/>
    <w:rsid w:val="00BE488E"/>
    <w:rsid w:val="00BE565E"/>
    <w:rsid w:val="00BE5E2A"/>
    <w:rsid w:val="00BE6465"/>
    <w:rsid w:val="00BE66ED"/>
    <w:rsid w:val="00BF09D7"/>
    <w:rsid w:val="00BF0FA6"/>
    <w:rsid w:val="00BF79BD"/>
    <w:rsid w:val="00C02831"/>
    <w:rsid w:val="00C03CDE"/>
    <w:rsid w:val="00C053B1"/>
    <w:rsid w:val="00C05738"/>
    <w:rsid w:val="00C0740D"/>
    <w:rsid w:val="00C111E0"/>
    <w:rsid w:val="00C1225A"/>
    <w:rsid w:val="00C15034"/>
    <w:rsid w:val="00C15563"/>
    <w:rsid w:val="00C156A8"/>
    <w:rsid w:val="00C20594"/>
    <w:rsid w:val="00C217DF"/>
    <w:rsid w:val="00C22925"/>
    <w:rsid w:val="00C22BBB"/>
    <w:rsid w:val="00C24E07"/>
    <w:rsid w:val="00C26B05"/>
    <w:rsid w:val="00C26EC6"/>
    <w:rsid w:val="00C279F0"/>
    <w:rsid w:val="00C30B68"/>
    <w:rsid w:val="00C32CFC"/>
    <w:rsid w:val="00C330E1"/>
    <w:rsid w:val="00C338BB"/>
    <w:rsid w:val="00C340F3"/>
    <w:rsid w:val="00C3519A"/>
    <w:rsid w:val="00C372C0"/>
    <w:rsid w:val="00C3759E"/>
    <w:rsid w:val="00C412E3"/>
    <w:rsid w:val="00C42367"/>
    <w:rsid w:val="00C43A07"/>
    <w:rsid w:val="00C43A1E"/>
    <w:rsid w:val="00C44549"/>
    <w:rsid w:val="00C447F2"/>
    <w:rsid w:val="00C449DA"/>
    <w:rsid w:val="00C469B4"/>
    <w:rsid w:val="00C47945"/>
    <w:rsid w:val="00C50A19"/>
    <w:rsid w:val="00C51E3B"/>
    <w:rsid w:val="00C546E7"/>
    <w:rsid w:val="00C5528D"/>
    <w:rsid w:val="00C55DF2"/>
    <w:rsid w:val="00C55E71"/>
    <w:rsid w:val="00C62979"/>
    <w:rsid w:val="00C62C76"/>
    <w:rsid w:val="00C66D3F"/>
    <w:rsid w:val="00C6751F"/>
    <w:rsid w:val="00C710A6"/>
    <w:rsid w:val="00C72B9E"/>
    <w:rsid w:val="00C73820"/>
    <w:rsid w:val="00C73CE8"/>
    <w:rsid w:val="00C7660E"/>
    <w:rsid w:val="00C77069"/>
    <w:rsid w:val="00C778FB"/>
    <w:rsid w:val="00C802B6"/>
    <w:rsid w:val="00C83DE0"/>
    <w:rsid w:val="00C83EF3"/>
    <w:rsid w:val="00C84ED3"/>
    <w:rsid w:val="00C86D73"/>
    <w:rsid w:val="00C90707"/>
    <w:rsid w:val="00C91083"/>
    <w:rsid w:val="00C92C55"/>
    <w:rsid w:val="00C962AB"/>
    <w:rsid w:val="00C962E2"/>
    <w:rsid w:val="00CA06C5"/>
    <w:rsid w:val="00CA2D0A"/>
    <w:rsid w:val="00CA3F34"/>
    <w:rsid w:val="00CA46E5"/>
    <w:rsid w:val="00CA7581"/>
    <w:rsid w:val="00CA793B"/>
    <w:rsid w:val="00CB0713"/>
    <w:rsid w:val="00CB0A2A"/>
    <w:rsid w:val="00CB27AB"/>
    <w:rsid w:val="00CB4806"/>
    <w:rsid w:val="00CB540C"/>
    <w:rsid w:val="00CC0EA1"/>
    <w:rsid w:val="00CC4671"/>
    <w:rsid w:val="00CC4E53"/>
    <w:rsid w:val="00CC768F"/>
    <w:rsid w:val="00CD0700"/>
    <w:rsid w:val="00CD0D84"/>
    <w:rsid w:val="00CD2D55"/>
    <w:rsid w:val="00CD2DCB"/>
    <w:rsid w:val="00CD6BA9"/>
    <w:rsid w:val="00CD6FD2"/>
    <w:rsid w:val="00CE0706"/>
    <w:rsid w:val="00CE0B5A"/>
    <w:rsid w:val="00CE4B7D"/>
    <w:rsid w:val="00CF2315"/>
    <w:rsid w:val="00CF3F4F"/>
    <w:rsid w:val="00CF5BF7"/>
    <w:rsid w:val="00CF6324"/>
    <w:rsid w:val="00D01E90"/>
    <w:rsid w:val="00D02775"/>
    <w:rsid w:val="00D034BE"/>
    <w:rsid w:val="00D039A9"/>
    <w:rsid w:val="00D04D2D"/>
    <w:rsid w:val="00D052C5"/>
    <w:rsid w:val="00D075D3"/>
    <w:rsid w:val="00D12D9D"/>
    <w:rsid w:val="00D13A48"/>
    <w:rsid w:val="00D14C13"/>
    <w:rsid w:val="00D16185"/>
    <w:rsid w:val="00D165E6"/>
    <w:rsid w:val="00D167B6"/>
    <w:rsid w:val="00D17813"/>
    <w:rsid w:val="00D178CC"/>
    <w:rsid w:val="00D20D1F"/>
    <w:rsid w:val="00D216A0"/>
    <w:rsid w:val="00D22220"/>
    <w:rsid w:val="00D24528"/>
    <w:rsid w:val="00D24753"/>
    <w:rsid w:val="00D26B8A"/>
    <w:rsid w:val="00D27A09"/>
    <w:rsid w:val="00D309A7"/>
    <w:rsid w:val="00D30B16"/>
    <w:rsid w:val="00D32791"/>
    <w:rsid w:val="00D33685"/>
    <w:rsid w:val="00D3500A"/>
    <w:rsid w:val="00D3652D"/>
    <w:rsid w:val="00D37BDE"/>
    <w:rsid w:val="00D405A8"/>
    <w:rsid w:val="00D41255"/>
    <w:rsid w:val="00D41877"/>
    <w:rsid w:val="00D42B76"/>
    <w:rsid w:val="00D44390"/>
    <w:rsid w:val="00D44C9B"/>
    <w:rsid w:val="00D4735E"/>
    <w:rsid w:val="00D47ED8"/>
    <w:rsid w:val="00D508D6"/>
    <w:rsid w:val="00D52662"/>
    <w:rsid w:val="00D53ADF"/>
    <w:rsid w:val="00D54081"/>
    <w:rsid w:val="00D55645"/>
    <w:rsid w:val="00D56B0E"/>
    <w:rsid w:val="00D56EB0"/>
    <w:rsid w:val="00D604E0"/>
    <w:rsid w:val="00D615B5"/>
    <w:rsid w:val="00D6692B"/>
    <w:rsid w:val="00D674F5"/>
    <w:rsid w:val="00D704D4"/>
    <w:rsid w:val="00D70833"/>
    <w:rsid w:val="00D708D0"/>
    <w:rsid w:val="00D71F9B"/>
    <w:rsid w:val="00D75EEC"/>
    <w:rsid w:val="00D80C6D"/>
    <w:rsid w:val="00D815FC"/>
    <w:rsid w:val="00D819CE"/>
    <w:rsid w:val="00D8353F"/>
    <w:rsid w:val="00D8578B"/>
    <w:rsid w:val="00D85FF1"/>
    <w:rsid w:val="00D861C7"/>
    <w:rsid w:val="00D861CD"/>
    <w:rsid w:val="00D9342F"/>
    <w:rsid w:val="00D95A00"/>
    <w:rsid w:val="00D96B41"/>
    <w:rsid w:val="00DA1A3A"/>
    <w:rsid w:val="00DA20B9"/>
    <w:rsid w:val="00DA3317"/>
    <w:rsid w:val="00DA6497"/>
    <w:rsid w:val="00DA6794"/>
    <w:rsid w:val="00DB01F3"/>
    <w:rsid w:val="00DB04E4"/>
    <w:rsid w:val="00DB1C85"/>
    <w:rsid w:val="00DB1DA6"/>
    <w:rsid w:val="00DB506F"/>
    <w:rsid w:val="00DC1680"/>
    <w:rsid w:val="00DC57A1"/>
    <w:rsid w:val="00DC7196"/>
    <w:rsid w:val="00DC71AB"/>
    <w:rsid w:val="00DD1E08"/>
    <w:rsid w:val="00DD2635"/>
    <w:rsid w:val="00DD4504"/>
    <w:rsid w:val="00DD4E68"/>
    <w:rsid w:val="00DD4FAC"/>
    <w:rsid w:val="00DE0522"/>
    <w:rsid w:val="00DE4E56"/>
    <w:rsid w:val="00DE4F69"/>
    <w:rsid w:val="00DE5E3A"/>
    <w:rsid w:val="00DE624E"/>
    <w:rsid w:val="00DF1090"/>
    <w:rsid w:val="00DF215F"/>
    <w:rsid w:val="00DF269E"/>
    <w:rsid w:val="00E01BD7"/>
    <w:rsid w:val="00E01C5D"/>
    <w:rsid w:val="00E03D38"/>
    <w:rsid w:val="00E046EA"/>
    <w:rsid w:val="00E054C9"/>
    <w:rsid w:val="00E05609"/>
    <w:rsid w:val="00E05D1D"/>
    <w:rsid w:val="00E05EE6"/>
    <w:rsid w:val="00E0640C"/>
    <w:rsid w:val="00E075EE"/>
    <w:rsid w:val="00E1247A"/>
    <w:rsid w:val="00E13F29"/>
    <w:rsid w:val="00E14F9D"/>
    <w:rsid w:val="00E15162"/>
    <w:rsid w:val="00E15611"/>
    <w:rsid w:val="00E17095"/>
    <w:rsid w:val="00E172CE"/>
    <w:rsid w:val="00E20D43"/>
    <w:rsid w:val="00E21DE0"/>
    <w:rsid w:val="00E22171"/>
    <w:rsid w:val="00E23E90"/>
    <w:rsid w:val="00E25298"/>
    <w:rsid w:val="00E26FAB"/>
    <w:rsid w:val="00E301E8"/>
    <w:rsid w:val="00E30F1B"/>
    <w:rsid w:val="00E36541"/>
    <w:rsid w:val="00E40A67"/>
    <w:rsid w:val="00E40AD3"/>
    <w:rsid w:val="00E4194D"/>
    <w:rsid w:val="00E43916"/>
    <w:rsid w:val="00E44A43"/>
    <w:rsid w:val="00E44E29"/>
    <w:rsid w:val="00E4564D"/>
    <w:rsid w:val="00E462E1"/>
    <w:rsid w:val="00E47596"/>
    <w:rsid w:val="00E504FC"/>
    <w:rsid w:val="00E50638"/>
    <w:rsid w:val="00E50EF1"/>
    <w:rsid w:val="00E5649F"/>
    <w:rsid w:val="00E57274"/>
    <w:rsid w:val="00E63EDB"/>
    <w:rsid w:val="00E667EB"/>
    <w:rsid w:val="00E6751D"/>
    <w:rsid w:val="00E6761F"/>
    <w:rsid w:val="00E701CF"/>
    <w:rsid w:val="00E7055E"/>
    <w:rsid w:val="00E71048"/>
    <w:rsid w:val="00E72EB5"/>
    <w:rsid w:val="00E7529F"/>
    <w:rsid w:val="00E76021"/>
    <w:rsid w:val="00E81793"/>
    <w:rsid w:val="00E81A5F"/>
    <w:rsid w:val="00E8401D"/>
    <w:rsid w:val="00E84D38"/>
    <w:rsid w:val="00E86615"/>
    <w:rsid w:val="00E9654E"/>
    <w:rsid w:val="00E96C22"/>
    <w:rsid w:val="00EA2E17"/>
    <w:rsid w:val="00EA4991"/>
    <w:rsid w:val="00EA4998"/>
    <w:rsid w:val="00EB06E4"/>
    <w:rsid w:val="00EB172F"/>
    <w:rsid w:val="00EB4CDC"/>
    <w:rsid w:val="00EB5F5A"/>
    <w:rsid w:val="00EB656E"/>
    <w:rsid w:val="00EC0C7B"/>
    <w:rsid w:val="00EC19F7"/>
    <w:rsid w:val="00EC3D80"/>
    <w:rsid w:val="00EC7234"/>
    <w:rsid w:val="00ED0383"/>
    <w:rsid w:val="00ED1CB8"/>
    <w:rsid w:val="00ED41CE"/>
    <w:rsid w:val="00ED4232"/>
    <w:rsid w:val="00ED47ED"/>
    <w:rsid w:val="00ED5AC2"/>
    <w:rsid w:val="00ED6652"/>
    <w:rsid w:val="00ED6749"/>
    <w:rsid w:val="00ED7FA8"/>
    <w:rsid w:val="00EE0D58"/>
    <w:rsid w:val="00EE1BD6"/>
    <w:rsid w:val="00EE336B"/>
    <w:rsid w:val="00EE5336"/>
    <w:rsid w:val="00EE77B2"/>
    <w:rsid w:val="00EF0F7E"/>
    <w:rsid w:val="00EF1474"/>
    <w:rsid w:val="00EF3DD2"/>
    <w:rsid w:val="00EF4C8A"/>
    <w:rsid w:val="00EF64F7"/>
    <w:rsid w:val="00EF74A7"/>
    <w:rsid w:val="00EF7818"/>
    <w:rsid w:val="00EF78C3"/>
    <w:rsid w:val="00F00040"/>
    <w:rsid w:val="00F00C13"/>
    <w:rsid w:val="00F01102"/>
    <w:rsid w:val="00F01752"/>
    <w:rsid w:val="00F0279B"/>
    <w:rsid w:val="00F0443C"/>
    <w:rsid w:val="00F06265"/>
    <w:rsid w:val="00F06293"/>
    <w:rsid w:val="00F0795A"/>
    <w:rsid w:val="00F12903"/>
    <w:rsid w:val="00F13BDF"/>
    <w:rsid w:val="00F14359"/>
    <w:rsid w:val="00F14473"/>
    <w:rsid w:val="00F1492B"/>
    <w:rsid w:val="00F14B93"/>
    <w:rsid w:val="00F15E8C"/>
    <w:rsid w:val="00F16785"/>
    <w:rsid w:val="00F2091E"/>
    <w:rsid w:val="00F21697"/>
    <w:rsid w:val="00F23A9C"/>
    <w:rsid w:val="00F24F8C"/>
    <w:rsid w:val="00F3183A"/>
    <w:rsid w:val="00F31DF0"/>
    <w:rsid w:val="00F35B33"/>
    <w:rsid w:val="00F36808"/>
    <w:rsid w:val="00F417E5"/>
    <w:rsid w:val="00F42EDC"/>
    <w:rsid w:val="00F45D52"/>
    <w:rsid w:val="00F500AD"/>
    <w:rsid w:val="00F50569"/>
    <w:rsid w:val="00F525A5"/>
    <w:rsid w:val="00F53082"/>
    <w:rsid w:val="00F54E52"/>
    <w:rsid w:val="00F57463"/>
    <w:rsid w:val="00F57C33"/>
    <w:rsid w:val="00F656CE"/>
    <w:rsid w:val="00F6779F"/>
    <w:rsid w:val="00F711C8"/>
    <w:rsid w:val="00F729FC"/>
    <w:rsid w:val="00F73310"/>
    <w:rsid w:val="00F7517E"/>
    <w:rsid w:val="00F76D34"/>
    <w:rsid w:val="00F77D28"/>
    <w:rsid w:val="00F81064"/>
    <w:rsid w:val="00F8115C"/>
    <w:rsid w:val="00F819F8"/>
    <w:rsid w:val="00F81BDC"/>
    <w:rsid w:val="00F81DE7"/>
    <w:rsid w:val="00F82D31"/>
    <w:rsid w:val="00F84503"/>
    <w:rsid w:val="00F86430"/>
    <w:rsid w:val="00F868F6"/>
    <w:rsid w:val="00F87E54"/>
    <w:rsid w:val="00F87F67"/>
    <w:rsid w:val="00F90725"/>
    <w:rsid w:val="00F916FD"/>
    <w:rsid w:val="00F955AE"/>
    <w:rsid w:val="00FA0864"/>
    <w:rsid w:val="00FA6211"/>
    <w:rsid w:val="00FA6B2D"/>
    <w:rsid w:val="00FB0335"/>
    <w:rsid w:val="00FB0B90"/>
    <w:rsid w:val="00FB3642"/>
    <w:rsid w:val="00FB366D"/>
    <w:rsid w:val="00FB5A25"/>
    <w:rsid w:val="00FB6472"/>
    <w:rsid w:val="00FC1665"/>
    <w:rsid w:val="00FC206F"/>
    <w:rsid w:val="00FC4E7E"/>
    <w:rsid w:val="00FC5DF8"/>
    <w:rsid w:val="00FC7DE8"/>
    <w:rsid w:val="00FD1C78"/>
    <w:rsid w:val="00FD2C48"/>
    <w:rsid w:val="00FD471C"/>
    <w:rsid w:val="00FD4AC3"/>
    <w:rsid w:val="00FD5E38"/>
    <w:rsid w:val="00FD66A1"/>
    <w:rsid w:val="00FD6DC7"/>
    <w:rsid w:val="00FD7C03"/>
    <w:rsid w:val="00FE150E"/>
    <w:rsid w:val="00FF025E"/>
    <w:rsid w:val="00FF1830"/>
    <w:rsid w:val="00FF21BB"/>
    <w:rsid w:val="00FF3D0A"/>
    <w:rsid w:val="00FF70F5"/>
    <w:rsid w:val="00FF74A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3411A"/>
  <w15:docId w15:val="{353D5D2D-CA4E-4663-AB04-F89AA98F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1E1"/>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31E1"/>
    <w:pPr>
      <w:ind w:left="720"/>
      <w:contextualSpacing/>
    </w:pPr>
  </w:style>
  <w:style w:type="character" w:styleId="Hipervnculo">
    <w:name w:val="Hyperlink"/>
    <w:basedOn w:val="Fuentedeprrafopredeter"/>
    <w:uiPriority w:val="99"/>
    <w:rsid w:val="001731E1"/>
    <w:rPr>
      <w:rFonts w:cs="Times New Roman"/>
      <w:color w:val="0000FF"/>
      <w:u w:val="single"/>
    </w:rPr>
  </w:style>
  <w:style w:type="character" w:styleId="Textoennegrita">
    <w:name w:val="Strong"/>
    <w:basedOn w:val="Fuentedeprrafopredeter"/>
    <w:uiPriority w:val="99"/>
    <w:qFormat/>
    <w:rsid w:val="001731E1"/>
    <w:rPr>
      <w:rFonts w:cs="Times New Roman"/>
      <w:b/>
      <w:bCs/>
    </w:rPr>
  </w:style>
  <w:style w:type="paragraph" w:styleId="Encabezado">
    <w:name w:val="header"/>
    <w:basedOn w:val="Normal"/>
    <w:link w:val="EncabezadoCar"/>
    <w:uiPriority w:val="99"/>
    <w:unhideWhenUsed/>
    <w:rsid w:val="009374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7413"/>
    <w:rPr>
      <w:rFonts w:ascii="Calibri" w:eastAsia="Times New Roman" w:hAnsi="Calibri" w:cs="Times New Roman"/>
    </w:rPr>
  </w:style>
  <w:style w:type="paragraph" w:styleId="Piedepgina">
    <w:name w:val="footer"/>
    <w:basedOn w:val="Normal"/>
    <w:link w:val="PiedepginaCar"/>
    <w:uiPriority w:val="99"/>
    <w:unhideWhenUsed/>
    <w:rsid w:val="009374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7413"/>
    <w:rPr>
      <w:rFonts w:ascii="Calibri" w:eastAsia="Times New Roman" w:hAnsi="Calibri" w:cs="Times New Roman"/>
    </w:rPr>
  </w:style>
  <w:style w:type="paragraph" w:styleId="Bibliografa">
    <w:name w:val="Bibliography"/>
    <w:basedOn w:val="Normal"/>
    <w:next w:val="Normal"/>
    <w:uiPriority w:val="37"/>
    <w:unhideWhenUsed/>
    <w:rsid w:val="006A7833"/>
  </w:style>
  <w:style w:type="character" w:customStyle="1" w:styleId="apple-converted-space">
    <w:name w:val="apple-converted-space"/>
    <w:basedOn w:val="Fuentedeprrafopredeter"/>
    <w:rsid w:val="009414E2"/>
  </w:style>
  <w:style w:type="character" w:styleId="Hipervnculovisitado">
    <w:name w:val="FollowedHyperlink"/>
    <w:basedOn w:val="Fuentedeprrafopredeter"/>
    <w:uiPriority w:val="99"/>
    <w:semiHidden/>
    <w:unhideWhenUsed/>
    <w:rsid w:val="00F06265"/>
    <w:rPr>
      <w:color w:val="800080" w:themeColor="followedHyperlink"/>
      <w:u w:val="single"/>
    </w:rPr>
  </w:style>
  <w:style w:type="character" w:customStyle="1" w:styleId="Mencinsinresolver1">
    <w:name w:val="Mención sin resolver1"/>
    <w:basedOn w:val="Fuentedeprrafopredeter"/>
    <w:uiPriority w:val="99"/>
    <w:semiHidden/>
    <w:unhideWhenUsed/>
    <w:rsid w:val="00C338BB"/>
    <w:rPr>
      <w:color w:val="808080"/>
      <w:shd w:val="clear" w:color="auto" w:fill="E6E6E6"/>
    </w:rPr>
  </w:style>
  <w:style w:type="character" w:styleId="nfasis">
    <w:name w:val="Emphasis"/>
    <w:basedOn w:val="Fuentedeprrafopredeter"/>
    <w:uiPriority w:val="20"/>
    <w:qFormat/>
    <w:rsid w:val="00993B73"/>
    <w:rPr>
      <w:i/>
      <w:iCs/>
    </w:rPr>
  </w:style>
  <w:style w:type="table" w:styleId="Listaclara">
    <w:name w:val="Light List"/>
    <w:basedOn w:val="Tablanormal"/>
    <w:uiPriority w:val="61"/>
    <w:rsid w:val="00DD1E08"/>
    <w:pPr>
      <w:spacing w:after="0" w:line="240" w:lineRule="auto"/>
    </w:pPr>
    <w:rPr>
      <w:rFonts w:eastAsiaTheme="minorEastAsia"/>
      <w:lang w:val="es-ES" w:eastAsia="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44703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47037"/>
    <w:rPr>
      <w:rFonts w:ascii="Lucida Grande" w:eastAsia="Times New Roman" w:hAnsi="Lucida Grande" w:cs="Lucida Grande"/>
      <w:sz w:val="18"/>
      <w:szCs w:val="18"/>
    </w:rPr>
  </w:style>
  <w:style w:type="paragraph" w:styleId="Textonotapie">
    <w:name w:val="footnote text"/>
    <w:basedOn w:val="Normal"/>
    <w:link w:val="TextonotapieCar"/>
    <w:uiPriority w:val="99"/>
    <w:semiHidden/>
    <w:unhideWhenUsed/>
    <w:rsid w:val="00BE45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458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BE4585"/>
    <w:rPr>
      <w:vertAlign w:val="superscript"/>
    </w:rPr>
  </w:style>
  <w:style w:type="character" w:customStyle="1" w:styleId="Mencinsinresolver2">
    <w:name w:val="Mención sin resolver2"/>
    <w:basedOn w:val="Fuentedeprrafopredeter"/>
    <w:uiPriority w:val="99"/>
    <w:semiHidden/>
    <w:unhideWhenUsed/>
    <w:rsid w:val="00BE4585"/>
    <w:rPr>
      <w:color w:val="808080"/>
      <w:shd w:val="clear" w:color="auto" w:fill="E6E6E6"/>
    </w:rPr>
  </w:style>
  <w:style w:type="table" w:styleId="Tablaconcuadrcula">
    <w:name w:val="Table Grid"/>
    <w:basedOn w:val="Tablanormal"/>
    <w:uiPriority w:val="59"/>
    <w:rsid w:val="008B4EB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35966">
      <w:bodyDiv w:val="1"/>
      <w:marLeft w:val="0"/>
      <w:marRight w:val="0"/>
      <w:marTop w:val="0"/>
      <w:marBottom w:val="0"/>
      <w:divBdr>
        <w:top w:val="none" w:sz="0" w:space="0" w:color="auto"/>
        <w:left w:val="none" w:sz="0" w:space="0" w:color="auto"/>
        <w:bottom w:val="none" w:sz="0" w:space="0" w:color="auto"/>
        <w:right w:val="none" w:sz="0" w:space="0" w:color="auto"/>
      </w:divBdr>
      <w:divsChild>
        <w:div w:id="1316761937">
          <w:marLeft w:val="0"/>
          <w:marRight w:val="0"/>
          <w:marTop w:val="0"/>
          <w:marBottom w:val="0"/>
          <w:divBdr>
            <w:top w:val="none" w:sz="0" w:space="0" w:color="auto"/>
            <w:left w:val="none" w:sz="0" w:space="0" w:color="auto"/>
            <w:bottom w:val="none" w:sz="0" w:space="0" w:color="auto"/>
            <w:right w:val="none" w:sz="0" w:space="0" w:color="auto"/>
          </w:divBdr>
          <w:divsChild>
            <w:div w:id="2973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9691">
      <w:bodyDiv w:val="1"/>
      <w:marLeft w:val="0"/>
      <w:marRight w:val="0"/>
      <w:marTop w:val="0"/>
      <w:marBottom w:val="0"/>
      <w:divBdr>
        <w:top w:val="none" w:sz="0" w:space="0" w:color="auto"/>
        <w:left w:val="none" w:sz="0" w:space="0" w:color="auto"/>
        <w:bottom w:val="none" w:sz="0" w:space="0" w:color="auto"/>
        <w:right w:val="none" w:sz="0" w:space="0" w:color="auto"/>
      </w:divBdr>
      <w:divsChild>
        <w:div w:id="1550259759">
          <w:marLeft w:val="0"/>
          <w:marRight w:val="0"/>
          <w:marTop w:val="0"/>
          <w:marBottom w:val="0"/>
          <w:divBdr>
            <w:top w:val="none" w:sz="0" w:space="0" w:color="auto"/>
            <w:left w:val="none" w:sz="0" w:space="0" w:color="auto"/>
            <w:bottom w:val="none" w:sz="0" w:space="0" w:color="auto"/>
            <w:right w:val="none" w:sz="0" w:space="0" w:color="auto"/>
          </w:divBdr>
          <w:divsChild>
            <w:div w:id="5528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3449">
      <w:bodyDiv w:val="1"/>
      <w:marLeft w:val="0"/>
      <w:marRight w:val="0"/>
      <w:marTop w:val="0"/>
      <w:marBottom w:val="0"/>
      <w:divBdr>
        <w:top w:val="none" w:sz="0" w:space="0" w:color="auto"/>
        <w:left w:val="none" w:sz="0" w:space="0" w:color="auto"/>
        <w:bottom w:val="none" w:sz="0" w:space="0" w:color="auto"/>
        <w:right w:val="none" w:sz="0" w:space="0" w:color="auto"/>
      </w:divBdr>
      <w:divsChild>
        <w:div w:id="2101876784">
          <w:marLeft w:val="0"/>
          <w:marRight w:val="0"/>
          <w:marTop w:val="0"/>
          <w:marBottom w:val="0"/>
          <w:divBdr>
            <w:top w:val="none" w:sz="0" w:space="0" w:color="auto"/>
            <w:left w:val="none" w:sz="0" w:space="0" w:color="auto"/>
            <w:bottom w:val="none" w:sz="0" w:space="0" w:color="auto"/>
            <w:right w:val="none" w:sz="0" w:space="0" w:color="auto"/>
          </w:divBdr>
          <w:divsChild>
            <w:div w:id="16650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2266">
      <w:bodyDiv w:val="1"/>
      <w:marLeft w:val="0"/>
      <w:marRight w:val="0"/>
      <w:marTop w:val="0"/>
      <w:marBottom w:val="0"/>
      <w:divBdr>
        <w:top w:val="none" w:sz="0" w:space="0" w:color="auto"/>
        <w:left w:val="none" w:sz="0" w:space="0" w:color="auto"/>
        <w:bottom w:val="none" w:sz="0" w:space="0" w:color="auto"/>
        <w:right w:val="none" w:sz="0" w:space="0" w:color="auto"/>
      </w:divBdr>
      <w:divsChild>
        <w:div w:id="963777281">
          <w:marLeft w:val="0"/>
          <w:marRight w:val="0"/>
          <w:marTop w:val="0"/>
          <w:marBottom w:val="0"/>
          <w:divBdr>
            <w:top w:val="none" w:sz="0" w:space="0" w:color="auto"/>
            <w:left w:val="none" w:sz="0" w:space="0" w:color="auto"/>
            <w:bottom w:val="none" w:sz="0" w:space="0" w:color="auto"/>
            <w:right w:val="none" w:sz="0" w:space="0" w:color="auto"/>
          </w:divBdr>
          <w:divsChild>
            <w:div w:id="6333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5347">
      <w:bodyDiv w:val="1"/>
      <w:marLeft w:val="0"/>
      <w:marRight w:val="0"/>
      <w:marTop w:val="0"/>
      <w:marBottom w:val="0"/>
      <w:divBdr>
        <w:top w:val="none" w:sz="0" w:space="0" w:color="auto"/>
        <w:left w:val="none" w:sz="0" w:space="0" w:color="auto"/>
        <w:bottom w:val="none" w:sz="0" w:space="0" w:color="auto"/>
        <w:right w:val="none" w:sz="0" w:space="0" w:color="auto"/>
      </w:divBdr>
      <w:divsChild>
        <w:div w:id="915825251">
          <w:marLeft w:val="0"/>
          <w:marRight w:val="0"/>
          <w:marTop w:val="0"/>
          <w:marBottom w:val="0"/>
          <w:divBdr>
            <w:top w:val="none" w:sz="0" w:space="0" w:color="auto"/>
            <w:left w:val="none" w:sz="0" w:space="0" w:color="auto"/>
            <w:bottom w:val="none" w:sz="0" w:space="0" w:color="auto"/>
            <w:right w:val="none" w:sz="0" w:space="0" w:color="auto"/>
          </w:divBdr>
          <w:divsChild>
            <w:div w:id="18686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0569">
      <w:bodyDiv w:val="1"/>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0"/>
          <w:divBdr>
            <w:top w:val="none" w:sz="0" w:space="0" w:color="auto"/>
            <w:left w:val="none" w:sz="0" w:space="0" w:color="auto"/>
            <w:bottom w:val="none" w:sz="0" w:space="0" w:color="auto"/>
            <w:right w:val="none" w:sz="0" w:space="0" w:color="auto"/>
          </w:divBdr>
          <w:divsChild>
            <w:div w:id="4140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4998">
      <w:bodyDiv w:val="1"/>
      <w:marLeft w:val="0"/>
      <w:marRight w:val="0"/>
      <w:marTop w:val="0"/>
      <w:marBottom w:val="0"/>
      <w:divBdr>
        <w:top w:val="none" w:sz="0" w:space="0" w:color="auto"/>
        <w:left w:val="none" w:sz="0" w:space="0" w:color="auto"/>
        <w:bottom w:val="none" w:sz="0" w:space="0" w:color="auto"/>
        <w:right w:val="none" w:sz="0" w:space="0" w:color="auto"/>
      </w:divBdr>
      <w:divsChild>
        <w:div w:id="27488668">
          <w:marLeft w:val="0"/>
          <w:marRight w:val="0"/>
          <w:marTop w:val="0"/>
          <w:marBottom w:val="0"/>
          <w:divBdr>
            <w:top w:val="none" w:sz="0" w:space="0" w:color="auto"/>
            <w:left w:val="none" w:sz="0" w:space="0" w:color="auto"/>
            <w:bottom w:val="none" w:sz="0" w:space="0" w:color="auto"/>
            <w:right w:val="none" w:sz="0" w:space="0" w:color="auto"/>
          </w:divBdr>
          <w:divsChild>
            <w:div w:id="15649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29470">
      <w:bodyDiv w:val="1"/>
      <w:marLeft w:val="0"/>
      <w:marRight w:val="0"/>
      <w:marTop w:val="0"/>
      <w:marBottom w:val="0"/>
      <w:divBdr>
        <w:top w:val="none" w:sz="0" w:space="0" w:color="auto"/>
        <w:left w:val="none" w:sz="0" w:space="0" w:color="auto"/>
        <w:bottom w:val="none" w:sz="0" w:space="0" w:color="auto"/>
        <w:right w:val="none" w:sz="0" w:space="0" w:color="auto"/>
      </w:divBdr>
    </w:div>
    <w:div w:id="558630337">
      <w:bodyDiv w:val="1"/>
      <w:marLeft w:val="0"/>
      <w:marRight w:val="0"/>
      <w:marTop w:val="0"/>
      <w:marBottom w:val="0"/>
      <w:divBdr>
        <w:top w:val="none" w:sz="0" w:space="0" w:color="auto"/>
        <w:left w:val="none" w:sz="0" w:space="0" w:color="auto"/>
        <w:bottom w:val="none" w:sz="0" w:space="0" w:color="auto"/>
        <w:right w:val="none" w:sz="0" w:space="0" w:color="auto"/>
      </w:divBdr>
      <w:divsChild>
        <w:div w:id="643316621">
          <w:marLeft w:val="0"/>
          <w:marRight w:val="0"/>
          <w:marTop w:val="0"/>
          <w:marBottom w:val="0"/>
          <w:divBdr>
            <w:top w:val="none" w:sz="0" w:space="0" w:color="auto"/>
            <w:left w:val="none" w:sz="0" w:space="0" w:color="auto"/>
            <w:bottom w:val="none" w:sz="0" w:space="0" w:color="auto"/>
            <w:right w:val="none" w:sz="0" w:space="0" w:color="auto"/>
          </w:divBdr>
          <w:divsChild>
            <w:div w:id="1460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98178">
      <w:bodyDiv w:val="1"/>
      <w:marLeft w:val="0"/>
      <w:marRight w:val="0"/>
      <w:marTop w:val="0"/>
      <w:marBottom w:val="0"/>
      <w:divBdr>
        <w:top w:val="none" w:sz="0" w:space="0" w:color="auto"/>
        <w:left w:val="none" w:sz="0" w:space="0" w:color="auto"/>
        <w:bottom w:val="none" w:sz="0" w:space="0" w:color="auto"/>
        <w:right w:val="none" w:sz="0" w:space="0" w:color="auto"/>
      </w:divBdr>
      <w:divsChild>
        <w:div w:id="573469995">
          <w:marLeft w:val="0"/>
          <w:marRight w:val="0"/>
          <w:marTop w:val="0"/>
          <w:marBottom w:val="0"/>
          <w:divBdr>
            <w:top w:val="none" w:sz="0" w:space="0" w:color="auto"/>
            <w:left w:val="none" w:sz="0" w:space="0" w:color="auto"/>
            <w:bottom w:val="none" w:sz="0" w:space="0" w:color="auto"/>
            <w:right w:val="none" w:sz="0" w:space="0" w:color="auto"/>
          </w:divBdr>
          <w:divsChild>
            <w:div w:id="16133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1746">
      <w:bodyDiv w:val="1"/>
      <w:marLeft w:val="0"/>
      <w:marRight w:val="0"/>
      <w:marTop w:val="0"/>
      <w:marBottom w:val="0"/>
      <w:divBdr>
        <w:top w:val="none" w:sz="0" w:space="0" w:color="auto"/>
        <w:left w:val="none" w:sz="0" w:space="0" w:color="auto"/>
        <w:bottom w:val="none" w:sz="0" w:space="0" w:color="auto"/>
        <w:right w:val="none" w:sz="0" w:space="0" w:color="auto"/>
      </w:divBdr>
      <w:divsChild>
        <w:div w:id="1074428971">
          <w:marLeft w:val="0"/>
          <w:marRight w:val="0"/>
          <w:marTop w:val="0"/>
          <w:marBottom w:val="0"/>
          <w:divBdr>
            <w:top w:val="none" w:sz="0" w:space="0" w:color="auto"/>
            <w:left w:val="none" w:sz="0" w:space="0" w:color="auto"/>
            <w:bottom w:val="none" w:sz="0" w:space="0" w:color="auto"/>
            <w:right w:val="none" w:sz="0" w:space="0" w:color="auto"/>
          </w:divBdr>
          <w:divsChild>
            <w:div w:id="18209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1907">
      <w:bodyDiv w:val="1"/>
      <w:marLeft w:val="0"/>
      <w:marRight w:val="0"/>
      <w:marTop w:val="0"/>
      <w:marBottom w:val="0"/>
      <w:divBdr>
        <w:top w:val="none" w:sz="0" w:space="0" w:color="auto"/>
        <w:left w:val="none" w:sz="0" w:space="0" w:color="auto"/>
        <w:bottom w:val="none" w:sz="0" w:space="0" w:color="auto"/>
        <w:right w:val="none" w:sz="0" w:space="0" w:color="auto"/>
      </w:divBdr>
      <w:divsChild>
        <w:div w:id="120272811">
          <w:marLeft w:val="0"/>
          <w:marRight w:val="0"/>
          <w:marTop w:val="0"/>
          <w:marBottom w:val="0"/>
          <w:divBdr>
            <w:top w:val="none" w:sz="0" w:space="0" w:color="auto"/>
            <w:left w:val="none" w:sz="0" w:space="0" w:color="auto"/>
            <w:bottom w:val="none" w:sz="0" w:space="0" w:color="auto"/>
            <w:right w:val="none" w:sz="0" w:space="0" w:color="auto"/>
          </w:divBdr>
          <w:divsChild>
            <w:div w:id="493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7438">
      <w:bodyDiv w:val="1"/>
      <w:marLeft w:val="0"/>
      <w:marRight w:val="0"/>
      <w:marTop w:val="0"/>
      <w:marBottom w:val="0"/>
      <w:divBdr>
        <w:top w:val="none" w:sz="0" w:space="0" w:color="auto"/>
        <w:left w:val="none" w:sz="0" w:space="0" w:color="auto"/>
        <w:bottom w:val="none" w:sz="0" w:space="0" w:color="auto"/>
        <w:right w:val="none" w:sz="0" w:space="0" w:color="auto"/>
      </w:divBdr>
    </w:div>
    <w:div w:id="900672358">
      <w:bodyDiv w:val="1"/>
      <w:marLeft w:val="0"/>
      <w:marRight w:val="0"/>
      <w:marTop w:val="0"/>
      <w:marBottom w:val="0"/>
      <w:divBdr>
        <w:top w:val="none" w:sz="0" w:space="0" w:color="auto"/>
        <w:left w:val="none" w:sz="0" w:space="0" w:color="auto"/>
        <w:bottom w:val="none" w:sz="0" w:space="0" w:color="auto"/>
        <w:right w:val="none" w:sz="0" w:space="0" w:color="auto"/>
      </w:divBdr>
      <w:divsChild>
        <w:div w:id="1708480092">
          <w:marLeft w:val="0"/>
          <w:marRight w:val="0"/>
          <w:marTop w:val="0"/>
          <w:marBottom w:val="0"/>
          <w:divBdr>
            <w:top w:val="none" w:sz="0" w:space="0" w:color="auto"/>
            <w:left w:val="none" w:sz="0" w:space="0" w:color="auto"/>
            <w:bottom w:val="none" w:sz="0" w:space="0" w:color="auto"/>
            <w:right w:val="none" w:sz="0" w:space="0" w:color="auto"/>
          </w:divBdr>
          <w:divsChild>
            <w:div w:id="15635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7571">
      <w:bodyDiv w:val="1"/>
      <w:marLeft w:val="0"/>
      <w:marRight w:val="0"/>
      <w:marTop w:val="0"/>
      <w:marBottom w:val="0"/>
      <w:divBdr>
        <w:top w:val="none" w:sz="0" w:space="0" w:color="auto"/>
        <w:left w:val="none" w:sz="0" w:space="0" w:color="auto"/>
        <w:bottom w:val="none" w:sz="0" w:space="0" w:color="auto"/>
        <w:right w:val="none" w:sz="0" w:space="0" w:color="auto"/>
      </w:divBdr>
      <w:divsChild>
        <w:div w:id="2048489205">
          <w:marLeft w:val="0"/>
          <w:marRight w:val="0"/>
          <w:marTop w:val="0"/>
          <w:marBottom w:val="0"/>
          <w:divBdr>
            <w:top w:val="none" w:sz="0" w:space="0" w:color="auto"/>
            <w:left w:val="none" w:sz="0" w:space="0" w:color="auto"/>
            <w:bottom w:val="none" w:sz="0" w:space="0" w:color="auto"/>
            <w:right w:val="none" w:sz="0" w:space="0" w:color="auto"/>
          </w:divBdr>
          <w:divsChild>
            <w:div w:id="3955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2348">
      <w:bodyDiv w:val="1"/>
      <w:marLeft w:val="0"/>
      <w:marRight w:val="0"/>
      <w:marTop w:val="0"/>
      <w:marBottom w:val="0"/>
      <w:divBdr>
        <w:top w:val="none" w:sz="0" w:space="0" w:color="auto"/>
        <w:left w:val="none" w:sz="0" w:space="0" w:color="auto"/>
        <w:bottom w:val="none" w:sz="0" w:space="0" w:color="auto"/>
        <w:right w:val="none" w:sz="0" w:space="0" w:color="auto"/>
      </w:divBdr>
      <w:divsChild>
        <w:div w:id="1585143993">
          <w:marLeft w:val="0"/>
          <w:marRight w:val="0"/>
          <w:marTop w:val="0"/>
          <w:marBottom w:val="0"/>
          <w:divBdr>
            <w:top w:val="none" w:sz="0" w:space="0" w:color="auto"/>
            <w:left w:val="none" w:sz="0" w:space="0" w:color="auto"/>
            <w:bottom w:val="none" w:sz="0" w:space="0" w:color="auto"/>
            <w:right w:val="none" w:sz="0" w:space="0" w:color="auto"/>
          </w:divBdr>
          <w:divsChild>
            <w:div w:id="157931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78558">
      <w:bodyDiv w:val="1"/>
      <w:marLeft w:val="0"/>
      <w:marRight w:val="0"/>
      <w:marTop w:val="0"/>
      <w:marBottom w:val="0"/>
      <w:divBdr>
        <w:top w:val="none" w:sz="0" w:space="0" w:color="auto"/>
        <w:left w:val="none" w:sz="0" w:space="0" w:color="auto"/>
        <w:bottom w:val="none" w:sz="0" w:space="0" w:color="auto"/>
        <w:right w:val="none" w:sz="0" w:space="0" w:color="auto"/>
      </w:divBdr>
      <w:divsChild>
        <w:div w:id="131755281">
          <w:marLeft w:val="0"/>
          <w:marRight w:val="0"/>
          <w:marTop w:val="0"/>
          <w:marBottom w:val="0"/>
          <w:divBdr>
            <w:top w:val="none" w:sz="0" w:space="0" w:color="auto"/>
            <w:left w:val="none" w:sz="0" w:space="0" w:color="auto"/>
            <w:bottom w:val="none" w:sz="0" w:space="0" w:color="auto"/>
            <w:right w:val="none" w:sz="0" w:space="0" w:color="auto"/>
          </w:divBdr>
          <w:divsChild>
            <w:div w:id="17227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5728">
      <w:bodyDiv w:val="1"/>
      <w:marLeft w:val="0"/>
      <w:marRight w:val="0"/>
      <w:marTop w:val="0"/>
      <w:marBottom w:val="0"/>
      <w:divBdr>
        <w:top w:val="none" w:sz="0" w:space="0" w:color="auto"/>
        <w:left w:val="none" w:sz="0" w:space="0" w:color="auto"/>
        <w:bottom w:val="none" w:sz="0" w:space="0" w:color="auto"/>
        <w:right w:val="none" w:sz="0" w:space="0" w:color="auto"/>
      </w:divBdr>
      <w:divsChild>
        <w:div w:id="1297179847">
          <w:marLeft w:val="0"/>
          <w:marRight w:val="0"/>
          <w:marTop w:val="0"/>
          <w:marBottom w:val="0"/>
          <w:divBdr>
            <w:top w:val="none" w:sz="0" w:space="0" w:color="auto"/>
            <w:left w:val="none" w:sz="0" w:space="0" w:color="auto"/>
            <w:bottom w:val="none" w:sz="0" w:space="0" w:color="auto"/>
            <w:right w:val="none" w:sz="0" w:space="0" w:color="auto"/>
          </w:divBdr>
          <w:divsChild>
            <w:div w:id="3353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5240">
      <w:bodyDiv w:val="1"/>
      <w:marLeft w:val="0"/>
      <w:marRight w:val="0"/>
      <w:marTop w:val="0"/>
      <w:marBottom w:val="0"/>
      <w:divBdr>
        <w:top w:val="none" w:sz="0" w:space="0" w:color="auto"/>
        <w:left w:val="none" w:sz="0" w:space="0" w:color="auto"/>
        <w:bottom w:val="none" w:sz="0" w:space="0" w:color="auto"/>
        <w:right w:val="none" w:sz="0" w:space="0" w:color="auto"/>
      </w:divBdr>
    </w:div>
    <w:div w:id="1176117532">
      <w:bodyDiv w:val="1"/>
      <w:marLeft w:val="0"/>
      <w:marRight w:val="0"/>
      <w:marTop w:val="0"/>
      <w:marBottom w:val="0"/>
      <w:divBdr>
        <w:top w:val="none" w:sz="0" w:space="0" w:color="auto"/>
        <w:left w:val="none" w:sz="0" w:space="0" w:color="auto"/>
        <w:bottom w:val="none" w:sz="0" w:space="0" w:color="auto"/>
        <w:right w:val="none" w:sz="0" w:space="0" w:color="auto"/>
      </w:divBdr>
      <w:divsChild>
        <w:div w:id="1594126929">
          <w:marLeft w:val="0"/>
          <w:marRight w:val="0"/>
          <w:marTop w:val="0"/>
          <w:marBottom w:val="0"/>
          <w:divBdr>
            <w:top w:val="none" w:sz="0" w:space="0" w:color="auto"/>
            <w:left w:val="none" w:sz="0" w:space="0" w:color="auto"/>
            <w:bottom w:val="none" w:sz="0" w:space="0" w:color="auto"/>
            <w:right w:val="none" w:sz="0" w:space="0" w:color="auto"/>
          </w:divBdr>
          <w:divsChild>
            <w:div w:id="4340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2720">
      <w:bodyDiv w:val="1"/>
      <w:marLeft w:val="0"/>
      <w:marRight w:val="0"/>
      <w:marTop w:val="0"/>
      <w:marBottom w:val="0"/>
      <w:divBdr>
        <w:top w:val="none" w:sz="0" w:space="0" w:color="auto"/>
        <w:left w:val="none" w:sz="0" w:space="0" w:color="auto"/>
        <w:bottom w:val="none" w:sz="0" w:space="0" w:color="auto"/>
        <w:right w:val="none" w:sz="0" w:space="0" w:color="auto"/>
      </w:divBdr>
      <w:divsChild>
        <w:div w:id="1054112558">
          <w:marLeft w:val="0"/>
          <w:marRight w:val="0"/>
          <w:marTop w:val="0"/>
          <w:marBottom w:val="0"/>
          <w:divBdr>
            <w:top w:val="none" w:sz="0" w:space="0" w:color="auto"/>
            <w:left w:val="none" w:sz="0" w:space="0" w:color="auto"/>
            <w:bottom w:val="none" w:sz="0" w:space="0" w:color="auto"/>
            <w:right w:val="none" w:sz="0" w:space="0" w:color="auto"/>
          </w:divBdr>
          <w:divsChild>
            <w:div w:id="13197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4051">
      <w:bodyDiv w:val="1"/>
      <w:marLeft w:val="0"/>
      <w:marRight w:val="0"/>
      <w:marTop w:val="0"/>
      <w:marBottom w:val="0"/>
      <w:divBdr>
        <w:top w:val="none" w:sz="0" w:space="0" w:color="auto"/>
        <w:left w:val="none" w:sz="0" w:space="0" w:color="auto"/>
        <w:bottom w:val="none" w:sz="0" w:space="0" w:color="auto"/>
        <w:right w:val="none" w:sz="0" w:space="0" w:color="auto"/>
      </w:divBdr>
      <w:divsChild>
        <w:div w:id="352196758">
          <w:marLeft w:val="0"/>
          <w:marRight w:val="0"/>
          <w:marTop w:val="0"/>
          <w:marBottom w:val="0"/>
          <w:divBdr>
            <w:top w:val="none" w:sz="0" w:space="0" w:color="auto"/>
            <w:left w:val="none" w:sz="0" w:space="0" w:color="auto"/>
            <w:bottom w:val="none" w:sz="0" w:space="0" w:color="auto"/>
            <w:right w:val="none" w:sz="0" w:space="0" w:color="auto"/>
          </w:divBdr>
          <w:divsChild>
            <w:div w:id="3994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71268">
      <w:bodyDiv w:val="1"/>
      <w:marLeft w:val="0"/>
      <w:marRight w:val="0"/>
      <w:marTop w:val="0"/>
      <w:marBottom w:val="0"/>
      <w:divBdr>
        <w:top w:val="none" w:sz="0" w:space="0" w:color="auto"/>
        <w:left w:val="none" w:sz="0" w:space="0" w:color="auto"/>
        <w:bottom w:val="none" w:sz="0" w:space="0" w:color="auto"/>
        <w:right w:val="none" w:sz="0" w:space="0" w:color="auto"/>
      </w:divBdr>
      <w:divsChild>
        <w:div w:id="277102482">
          <w:marLeft w:val="0"/>
          <w:marRight w:val="0"/>
          <w:marTop w:val="0"/>
          <w:marBottom w:val="0"/>
          <w:divBdr>
            <w:top w:val="none" w:sz="0" w:space="0" w:color="auto"/>
            <w:left w:val="none" w:sz="0" w:space="0" w:color="auto"/>
            <w:bottom w:val="none" w:sz="0" w:space="0" w:color="auto"/>
            <w:right w:val="none" w:sz="0" w:space="0" w:color="auto"/>
          </w:divBdr>
          <w:divsChild>
            <w:div w:id="7327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7013">
      <w:bodyDiv w:val="1"/>
      <w:marLeft w:val="0"/>
      <w:marRight w:val="0"/>
      <w:marTop w:val="0"/>
      <w:marBottom w:val="0"/>
      <w:divBdr>
        <w:top w:val="none" w:sz="0" w:space="0" w:color="auto"/>
        <w:left w:val="none" w:sz="0" w:space="0" w:color="auto"/>
        <w:bottom w:val="none" w:sz="0" w:space="0" w:color="auto"/>
        <w:right w:val="none" w:sz="0" w:space="0" w:color="auto"/>
      </w:divBdr>
      <w:divsChild>
        <w:div w:id="957107855">
          <w:marLeft w:val="0"/>
          <w:marRight w:val="0"/>
          <w:marTop w:val="0"/>
          <w:marBottom w:val="0"/>
          <w:divBdr>
            <w:top w:val="none" w:sz="0" w:space="0" w:color="auto"/>
            <w:left w:val="none" w:sz="0" w:space="0" w:color="auto"/>
            <w:bottom w:val="none" w:sz="0" w:space="0" w:color="auto"/>
            <w:right w:val="none" w:sz="0" w:space="0" w:color="auto"/>
          </w:divBdr>
          <w:divsChild>
            <w:div w:id="3189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7765">
      <w:bodyDiv w:val="1"/>
      <w:marLeft w:val="0"/>
      <w:marRight w:val="0"/>
      <w:marTop w:val="0"/>
      <w:marBottom w:val="0"/>
      <w:divBdr>
        <w:top w:val="none" w:sz="0" w:space="0" w:color="auto"/>
        <w:left w:val="none" w:sz="0" w:space="0" w:color="auto"/>
        <w:bottom w:val="none" w:sz="0" w:space="0" w:color="auto"/>
        <w:right w:val="none" w:sz="0" w:space="0" w:color="auto"/>
      </w:divBdr>
      <w:divsChild>
        <w:div w:id="1258975666">
          <w:marLeft w:val="0"/>
          <w:marRight w:val="0"/>
          <w:marTop w:val="0"/>
          <w:marBottom w:val="0"/>
          <w:divBdr>
            <w:top w:val="none" w:sz="0" w:space="0" w:color="auto"/>
            <w:left w:val="none" w:sz="0" w:space="0" w:color="auto"/>
            <w:bottom w:val="none" w:sz="0" w:space="0" w:color="auto"/>
            <w:right w:val="none" w:sz="0" w:space="0" w:color="auto"/>
          </w:divBdr>
          <w:divsChild>
            <w:div w:id="1260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0252">
      <w:bodyDiv w:val="1"/>
      <w:marLeft w:val="0"/>
      <w:marRight w:val="0"/>
      <w:marTop w:val="0"/>
      <w:marBottom w:val="0"/>
      <w:divBdr>
        <w:top w:val="none" w:sz="0" w:space="0" w:color="auto"/>
        <w:left w:val="none" w:sz="0" w:space="0" w:color="auto"/>
        <w:bottom w:val="none" w:sz="0" w:space="0" w:color="auto"/>
        <w:right w:val="none" w:sz="0" w:space="0" w:color="auto"/>
      </w:divBdr>
      <w:divsChild>
        <w:div w:id="725298292">
          <w:marLeft w:val="0"/>
          <w:marRight w:val="0"/>
          <w:marTop w:val="0"/>
          <w:marBottom w:val="0"/>
          <w:divBdr>
            <w:top w:val="none" w:sz="0" w:space="0" w:color="auto"/>
            <w:left w:val="none" w:sz="0" w:space="0" w:color="auto"/>
            <w:bottom w:val="none" w:sz="0" w:space="0" w:color="auto"/>
            <w:right w:val="none" w:sz="0" w:space="0" w:color="auto"/>
          </w:divBdr>
          <w:divsChild>
            <w:div w:id="5029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6375">
      <w:bodyDiv w:val="1"/>
      <w:marLeft w:val="0"/>
      <w:marRight w:val="0"/>
      <w:marTop w:val="0"/>
      <w:marBottom w:val="0"/>
      <w:divBdr>
        <w:top w:val="none" w:sz="0" w:space="0" w:color="auto"/>
        <w:left w:val="none" w:sz="0" w:space="0" w:color="auto"/>
        <w:bottom w:val="none" w:sz="0" w:space="0" w:color="auto"/>
        <w:right w:val="none" w:sz="0" w:space="0" w:color="auto"/>
      </w:divBdr>
      <w:divsChild>
        <w:div w:id="1930964634">
          <w:marLeft w:val="0"/>
          <w:marRight w:val="0"/>
          <w:marTop w:val="0"/>
          <w:marBottom w:val="0"/>
          <w:divBdr>
            <w:top w:val="none" w:sz="0" w:space="0" w:color="auto"/>
            <w:left w:val="none" w:sz="0" w:space="0" w:color="auto"/>
            <w:bottom w:val="none" w:sz="0" w:space="0" w:color="auto"/>
            <w:right w:val="none" w:sz="0" w:space="0" w:color="auto"/>
          </w:divBdr>
          <w:divsChild>
            <w:div w:id="6270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8130">
      <w:bodyDiv w:val="1"/>
      <w:marLeft w:val="0"/>
      <w:marRight w:val="0"/>
      <w:marTop w:val="0"/>
      <w:marBottom w:val="0"/>
      <w:divBdr>
        <w:top w:val="none" w:sz="0" w:space="0" w:color="auto"/>
        <w:left w:val="none" w:sz="0" w:space="0" w:color="auto"/>
        <w:bottom w:val="none" w:sz="0" w:space="0" w:color="auto"/>
        <w:right w:val="none" w:sz="0" w:space="0" w:color="auto"/>
      </w:divBdr>
    </w:div>
    <w:div w:id="1962491207">
      <w:bodyDiv w:val="1"/>
      <w:marLeft w:val="0"/>
      <w:marRight w:val="0"/>
      <w:marTop w:val="0"/>
      <w:marBottom w:val="0"/>
      <w:divBdr>
        <w:top w:val="none" w:sz="0" w:space="0" w:color="auto"/>
        <w:left w:val="none" w:sz="0" w:space="0" w:color="auto"/>
        <w:bottom w:val="none" w:sz="0" w:space="0" w:color="auto"/>
        <w:right w:val="none" w:sz="0" w:space="0" w:color="auto"/>
      </w:divBdr>
    </w:div>
    <w:div w:id="1978609416">
      <w:bodyDiv w:val="1"/>
      <w:marLeft w:val="0"/>
      <w:marRight w:val="0"/>
      <w:marTop w:val="0"/>
      <w:marBottom w:val="0"/>
      <w:divBdr>
        <w:top w:val="none" w:sz="0" w:space="0" w:color="auto"/>
        <w:left w:val="none" w:sz="0" w:space="0" w:color="auto"/>
        <w:bottom w:val="none" w:sz="0" w:space="0" w:color="auto"/>
        <w:right w:val="none" w:sz="0" w:space="0" w:color="auto"/>
      </w:divBdr>
      <w:divsChild>
        <w:div w:id="149903566">
          <w:marLeft w:val="0"/>
          <w:marRight w:val="0"/>
          <w:marTop w:val="0"/>
          <w:marBottom w:val="0"/>
          <w:divBdr>
            <w:top w:val="none" w:sz="0" w:space="0" w:color="auto"/>
            <w:left w:val="none" w:sz="0" w:space="0" w:color="auto"/>
            <w:bottom w:val="none" w:sz="0" w:space="0" w:color="auto"/>
            <w:right w:val="none" w:sz="0" w:space="0" w:color="auto"/>
          </w:divBdr>
          <w:divsChild>
            <w:div w:id="3879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0404">
      <w:bodyDiv w:val="1"/>
      <w:marLeft w:val="0"/>
      <w:marRight w:val="0"/>
      <w:marTop w:val="0"/>
      <w:marBottom w:val="0"/>
      <w:divBdr>
        <w:top w:val="none" w:sz="0" w:space="0" w:color="auto"/>
        <w:left w:val="none" w:sz="0" w:space="0" w:color="auto"/>
        <w:bottom w:val="none" w:sz="0" w:space="0" w:color="auto"/>
        <w:right w:val="none" w:sz="0" w:space="0" w:color="auto"/>
      </w:divBdr>
      <w:divsChild>
        <w:div w:id="1266353092">
          <w:marLeft w:val="0"/>
          <w:marRight w:val="0"/>
          <w:marTop w:val="0"/>
          <w:marBottom w:val="0"/>
          <w:divBdr>
            <w:top w:val="none" w:sz="0" w:space="0" w:color="auto"/>
            <w:left w:val="none" w:sz="0" w:space="0" w:color="auto"/>
            <w:bottom w:val="none" w:sz="0" w:space="0" w:color="auto"/>
            <w:right w:val="none" w:sz="0" w:space="0" w:color="auto"/>
          </w:divBdr>
          <w:divsChild>
            <w:div w:id="20742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08974">
      <w:bodyDiv w:val="1"/>
      <w:marLeft w:val="0"/>
      <w:marRight w:val="0"/>
      <w:marTop w:val="0"/>
      <w:marBottom w:val="0"/>
      <w:divBdr>
        <w:top w:val="none" w:sz="0" w:space="0" w:color="auto"/>
        <w:left w:val="none" w:sz="0" w:space="0" w:color="auto"/>
        <w:bottom w:val="none" w:sz="0" w:space="0" w:color="auto"/>
        <w:right w:val="none" w:sz="0" w:space="0" w:color="auto"/>
      </w:divBdr>
      <w:divsChild>
        <w:div w:id="950934433">
          <w:marLeft w:val="0"/>
          <w:marRight w:val="0"/>
          <w:marTop w:val="0"/>
          <w:marBottom w:val="0"/>
          <w:divBdr>
            <w:top w:val="none" w:sz="0" w:space="0" w:color="auto"/>
            <w:left w:val="none" w:sz="0" w:space="0" w:color="auto"/>
            <w:bottom w:val="none" w:sz="0" w:space="0" w:color="auto"/>
            <w:right w:val="none" w:sz="0" w:space="0" w:color="auto"/>
          </w:divBdr>
          <w:divsChild>
            <w:div w:id="19164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9582">
      <w:bodyDiv w:val="1"/>
      <w:marLeft w:val="0"/>
      <w:marRight w:val="0"/>
      <w:marTop w:val="0"/>
      <w:marBottom w:val="0"/>
      <w:divBdr>
        <w:top w:val="none" w:sz="0" w:space="0" w:color="auto"/>
        <w:left w:val="none" w:sz="0" w:space="0" w:color="auto"/>
        <w:bottom w:val="none" w:sz="0" w:space="0" w:color="auto"/>
        <w:right w:val="none" w:sz="0" w:space="0" w:color="auto"/>
      </w:divBdr>
      <w:divsChild>
        <w:div w:id="116535853">
          <w:marLeft w:val="0"/>
          <w:marRight w:val="0"/>
          <w:marTop w:val="0"/>
          <w:marBottom w:val="0"/>
          <w:divBdr>
            <w:top w:val="none" w:sz="0" w:space="0" w:color="auto"/>
            <w:left w:val="none" w:sz="0" w:space="0" w:color="auto"/>
            <w:bottom w:val="none" w:sz="0" w:space="0" w:color="auto"/>
            <w:right w:val="none" w:sz="0" w:space="0" w:color="auto"/>
          </w:divBdr>
          <w:divsChild>
            <w:div w:id="23058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73">
      <w:bodyDiv w:val="1"/>
      <w:marLeft w:val="0"/>
      <w:marRight w:val="0"/>
      <w:marTop w:val="0"/>
      <w:marBottom w:val="0"/>
      <w:divBdr>
        <w:top w:val="none" w:sz="0" w:space="0" w:color="auto"/>
        <w:left w:val="none" w:sz="0" w:space="0" w:color="auto"/>
        <w:bottom w:val="none" w:sz="0" w:space="0" w:color="auto"/>
        <w:right w:val="none" w:sz="0" w:space="0" w:color="auto"/>
      </w:divBdr>
      <w:divsChild>
        <w:div w:id="793056194">
          <w:marLeft w:val="0"/>
          <w:marRight w:val="0"/>
          <w:marTop w:val="0"/>
          <w:marBottom w:val="0"/>
          <w:divBdr>
            <w:top w:val="none" w:sz="0" w:space="0" w:color="auto"/>
            <w:left w:val="none" w:sz="0" w:space="0" w:color="auto"/>
            <w:bottom w:val="none" w:sz="0" w:space="0" w:color="auto"/>
            <w:right w:val="none" w:sz="0" w:space="0" w:color="auto"/>
          </w:divBdr>
          <w:divsChild>
            <w:div w:id="12802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28176">
      <w:bodyDiv w:val="1"/>
      <w:marLeft w:val="0"/>
      <w:marRight w:val="0"/>
      <w:marTop w:val="0"/>
      <w:marBottom w:val="0"/>
      <w:divBdr>
        <w:top w:val="none" w:sz="0" w:space="0" w:color="auto"/>
        <w:left w:val="none" w:sz="0" w:space="0" w:color="auto"/>
        <w:bottom w:val="none" w:sz="0" w:space="0" w:color="auto"/>
        <w:right w:val="none" w:sz="0" w:space="0" w:color="auto"/>
      </w:divBdr>
      <w:divsChild>
        <w:div w:id="606545646">
          <w:marLeft w:val="0"/>
          <w:marRight w:val="0"/>
          <w:marTop w:val="0"/>
          <w:marBottom w:val="0"/>
          <w:divBdr>
            <w:top w:val="none" w:sz="0" w:space="0" w:color="auto"/>
            <w:left w:val="none" w:sz="0" w:space="0" w:color="auto"/>
            <w:bottom w:val="none" w:sz="0" w:space="0" w:color="auto"/>
            <w:right w:val="none" w:sz="0" w:space="0" w:color="auto"/>
          </w:divBdr>
          <w:divsChild>
            <w:div w:id="5388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ocritcare@gmail.com" TargetMode="External"/><Relationship Id="rId13" Type="http://schemas.openxmlformats.org/officeDocument/2006/relationships/hyperlink" Target="http://new.medigraphic.com/cgibin/resumen.cgi?IDARTICULO=38657" TargetMode="External"/><Relationship Id="rId18" Type="http://schemas.openxmlformats.org/officeDocument/2006/relationships/hyperlink" Target="http://www.scielo.org.pe/scielo.php?script=sci_arttext&amp;pid=S1025-55832013000400009&amp;lng=es&amp;tlng=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who.int/publications/list/PocketGL_spanish.pdf?ua=1" TargetMode="External"/><Relationship Id="rId7" Type="http://schemas.openxmlformats.org/officeDocument/2006/relationships/endnotes" Target="endnotes.xml"/><Relationship Id="rId12" Type="http://schemas.openxmlformats.org/officeDocument/2006/relationships/hyperlink" Target="http://www.cvriskcalculator.com/" TargetMode="External"/><Relationship Id="rId17" Type="http://schemas.openxmlformats.org/officeDocument/2006/relationships/hyperlink" Target="http://www.inegi.org.mx/est/contenidos/proyectos/registros/vitales/mortalidad/tabulados/ConsultaMortalidad.asp" TargetMode="External"/><Relationship Id="rId25" Type="http://schemas.openxmlformats.org/officeDocument/2006/relationships/hyperlink" Target="http://dx.doi.org/10.1136/bmjopen-2014-004813" TargetMode="External"/><Relationship Id="rId2" Type="http://schemas.openxmlformats.org/officeDocument/2006/relationships/numbering" Target="numbering.xml"/><Relationship Id="rId16" Type="http://schemas.openxmlformats.org/officeDocument/2006/relationships/hyperlink" Target="https://doi.org/10.1136/bmj.39609.449676.25" TargetMode="External"/><Relationship Id="rId20" Type="http://schemas.openxmlformats.org/officeDocument/2006/relationships/hyperlink" Target="http://dx.doi.org/10.1590/S0080-62342014000020000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ielo.sld.cu/scielo.php?script=sci_arttext&amp;pid=S1560-43812015000200003&amp;lng=es&amp;tlng=es" TargetMode="External"/><Relationship Id="rId5" Type="http://schemas.openxmlformats.org/officeDocument/2006/relationships/webSettings" Target="webSettings.xml"/><Relationship Id="rId15" Type="http://schemas.openxmlformats.org/officeDocument/2006/relationships/hyperlink" Target="https://www.framinghamheartstudy.org/risk-functions/cardiovascular-disease/general-cvd-risk-prediction-using-bmi.php" TargetMode="External"/><Relationship Id="rId23" Type="http://schemas.openxmlformats.org/officeDocument/2006/relationships/hyperlink" Target="http://scielo.isciii.es/scielo.php?script=sci_arttext&amp;pid=S1695-61412011000100005&amp;lng=es&amp;tlng=es"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dx.doi.org/10.1016/S0140-6736(12)61728-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nefroe.2017.03.005" TargetMode="External"/><Relationship Id="rId22" Type="http://schemas.openxmlformats.org/officeDocument/2006/relationships/hyperlink" Target="http://apps.who.int/iris/bitstream/10665/87679/1/WHO_DCO_WHD_2013.2_spa.pdf"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7i14.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Nie11</b:Tag>
    <b:SourceType>JournalArticle</b:SourceType>
    <b:Guid>{8E53218E-7562-4B22-9E78-EF05485EFA0B}</b:Guid>
    <b:Author>
      <b:Author>
        <b:NameList>
          <b:Person>
            <b:Last>al.</b:Last>
            <b:First>Nieves</b:First>
            <b:Middle>Ruiz Efren.et</b:Middle>
          </b:Person>
        </b:NameList>
      </b:Author>
    </b:Author>
    <b:Title>Obesidad en personal de enfermería de una unidad de medicina familiar.</b:Title>
    <b:JournalName>Revista de Enfermería del Instituto Mexicano del Seguro Social.</b:JournalName>
    <b:Year>2011</b:Year>
    <b:Pages>87-90</b:Pages>
    <b:RefOrder>1</b:RefOrder>
  </b:Source>
</b:Sources>
</file>

<file path=customXml/itemProps1.xml><?xml version="1.0" encoding="utf-8"?>
<ds:datastoreItem xmlns:ds="http://schemas.openxmlformats.org/officeDocument/2006/customXml" ds:itemID="{550184CA-87FA-4571-B4B0-84F78166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6347</Words>
  <Characters>34912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Naira Niktè Santillan</cp:lastModifiedBy>
  <cp:revision>5</cp:revision>
  <dcterms:created xsi:type="dcterms:W3CDTF">2018-09-19T22:07:00Z</dcterms:created>
  <dcterms:modified xsi:type="dcterms:W3CDTF">2018-10-15T22:00:00Z</dcterms:modified>
</cp:coreProperties>
</file>