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94860" w14:textId="77777777" w:rsidR="00E27833" w:rsidRPr="00E73CE5" w:rsidRDefault="00E27833" w:rsidP="001F4CEE">
      <w:pPr>
        <w:spacing w:line="276" w:lineRule="auto"/>
        <w:ind w:left="720"/>
        <w:jc w:val="right"/>
        <w:rPr>
          <w:rFonts w:ascii="Calibri" w:hAnsi="Calibri" w:cs="Calibri"/>
          <w:b/>
          <w:color w:val="000000" w:themeColor="text1"/>
          <w:sz w:val="36"/>
          <w:szCs w:val="36"/>
          <w:shd w:val="solid" w:color="FFFFFF" w:fill="auto"/>
          <w:lang w:eastAsia="ru-RU"/>
        </w:rPr>
      </w:pPr>
      <w:r w:rsidRPr="00E73CE5">
        <w:rPr>
          <w:rFonts w:ascii="Calibri" w:hAnsi="Calibri" w:cs="Calibri"/>
          <w:b/>
          <w:color w:val="000000" w:themeColor="text1"/>
          <w:sz w:val="36"/>
          <w:szCs w:val="36"/>
          <w:shd w:val="solid" w:color="FFFFFF" w:fill="auto"/>
          <w:lang w:eastAsia="ru-RU"/>
        </w:rPr>
        <w:t>Alteraciones bioquímicas y celulares para preeclampsia en mujeres embarazadas que asisten al Hospital General Dr. Raymundo Abarca Alarcón, Guerrero, México</w:t>
      </w:r>
    </w:p>
    <w:p w14:paraId="41C649FE" w14:textId="246B2BBA" w:rsidR="00E27833" w:rsidRPr="00E73CE5" w:rsidRDefault="00E27833" w:rsidP="00E27833">
      <w:pPr>
        <w:ind w:left="720"/>
        <w:jc w:val="center"/>
        <w:rPr>
          <w:rFonts w:ascii="Calibri" w:hAnsi="Calibri" w:cs="Calibri"/>
          <w:b/>
          <w:color w:val="000000" w:themeColor="text1"/>
          <w:sz w:val="36"/>
          <w:szCs w:val="36"/>
          <w:shd w:val="solid" w:color="FFFFFF" w:fill="auto"/>
          <w:lang w:eastAsia="ru-RU"/>
        </w:rPr>
      </w:pPr>
    </w:p>
    <w:p w14:paraId="343EFA0C" w14:textId="0435BA0A" w:rsidR="00E27833" w:rsidRPr="00471347" w:rsidRDefault="001F4CEE" w:rsidP="001F4CEE">
      <w:pPr>
        <w:spacing w:line="276" w:lineRule="auto"/>
        <w:ind w:left="720"/>
        <w:jc w:val="right"/>
        <w:rPr>
          <w:rFonts w:ascii="Calibri" w:hAnsi="Calibri" w:cs="Calibri"/>
          <w:b/>
          <w:i/>
          <w:color w:val="000000" w:themeColor="text1"/>
          <w:sz w:val="28"/>
          <w:szCs w:val="36"/>
          <w:shd w:val="solid" w:color="FFFFFF" w:fill="auto"/>
          <w:lang w:val="en-US" w:eastAsia="ru-RU"/>
        </w:rPr>
      </w:pPr>
      <w:r w:rsidRPr="00471347">
        <w:rPr>
          <w:rFonts w:ascii="Calibri" w:hAnsi="Calibri" w:cs="Calibri"/>
          <w:b/>
          <w:i/>
          <w:color w:val="000000" w:themeColor="text1"/>
          <w:sz w:val="28"/>
          <w:szCs w:val="36"/>
          <w:shd w:val="solid" w:color="FFFFFF" w:fill="auto"/>
          <w:lang w:val="en-US" w:eastAsia="ru-RU"/>
        </w:rPr>
        <w:t xml:space="preserve">Biochemical and cellular alterations for </w:t>
      </w:r>
      <w:proofErr w:type="spellStart"/>
      <w:r w:rsidRPr="00471347">
        <w:rPr>
          <w:rFonts w:ascii="Calibri" w:hAnsi="Calibri" w:cs="Calibri"/>
          <w:b/>
          <w:i/>
          <w:color w:val="000000" w:themeColor="text1"/>
          <w:sz w:val="28"/>
          <w:szCs w:val="36"/>
          <w:shd w:val="solid" w:color="FFFFFF" w:fill="auto"/>
          <w:lang w:val="en-US" w:eastAsia="ru-RU"/>
        </w:rPr>
        <w:t>preeclamspsia</w:t>
      </w:r>
      <w:proofErr w:type="spellEnd"/>
      <w:r w:rsidRPr="00471347">
        <w:rPr>
          <w:rFonts w:ascii="Calibri" w:hAnsi="Calibri" w:cs="Calibri"/>
          <w:b/>
          <w:i/>
          <w:color w:val="000000" w:themeColor="text1"/>
          <w:sz w:val="28"/>
          <w:szCs w:val="36"/>
          <w:shd w:val="solid" w:color="FFFFFF" w:fill="auto"/>
          <w:lang w:val="en-US" w:eastAsia="ru-RU"/>
        </w:rPr>
        <w:t xml:space="preserve"> in pregnant women attending the general hospital Dr. Raymundo </w:t>
      </w:r>
      <w:proofErr w:type="spellStart"/>
      <w:r w:rsidRPr="00471347">
        <w:rPr>
          <w:rFonts w:ascii="Calibri" w:hAnsi="Calibri" w:cs="Calibri"/>
          <w:b/>
          <w:i/>
          <w:color w:val="000000" w:themeColor="text1"/>
          <w:sz w:val="28"/>
          <w:szCs w:val="36"/>
          <w:shd w:val="solid" w:color="FFFFFF" w:fill="auto"/>
          <w:lang w:val="en-US" w:eastAsia="ru-RU"/>
        </w:rPr>
        <w:t>Abarca</w:t>
      </w:r>
      <w:proofErr w:type="spellEnd"/>
      <w:r w:rsidRPr="00471347">
        <w:rPr>
          <w:rFonts w:ascii="Calibri" w:hAnsi="Calibri" w:cs="Calibri"/>
          <w:b/>
          <w:i/>
          <w:color w:val="000000" w:themeColor="text1"/>
          <w:sz w:val="28"/>
          <w:szCs w:val="36"/>
          <w:shd w:val="solid" w:color="FFFFFF" w:fill="auto"/>
          <w:lang w:val="en-US" w:eastAsia="ru-RU"/>
        </w:rPr>
        <w:t xml:space="preserve"> Alarcon, Guerrero, Mexico</w:t>
      </w:r>
    </w:p>
    <w:p w14:paraId="51CAD7C5" w14:textId="3E6702CD" w:rsidR="001F4CEE" w:rsidRPr="001F4CEE" w:rsidRDefault="001F4CEE" w:rsidP="001F4CEE">
      <w:pPr>
        <w:spacing w:line="276" w:lineRule="auto"/>
        <w:ind w:left="720"/>
        <w:jc w:val="right"/>
        <w:rPr>
          <w:rFonts w:ascii="Calibri" w:hAnsi="Calibri" w:cs="Calibri"/>
          <w:b/>
          <w:i/>
          <w:color w:val="000000" w:themeColor="text1"/>
          <w:sz w:val="28"/>
          <w:szCs w:val="36"/>
          <w:shd w:val="solid" w:color="FFFFFF" w:fill="auto"/>
          <w:lang w:eastAsia="ru-RU"/>
        </w:rPr>
      </w:pPr>
      <w:r w:rsidRPr="000D0524">
        <w:rPr>
          <w:rFonts w:ascii="Calibri" w:hAnsi="Calibri" w:cs="Calibri"/>
          <w:b/>
          <w:i/>
          <w:color w:val="000000" w:themeColor="text1"/>
          <w:sz w:val="28"/>
          <w:szCs w:val="36"/>
          <w:shd w:val="solid" w:color="FFFFFF" w:fill="auto"/>
          <w:lang w:eastAsia="ru-RU"/>
        </w:rPr>
        <w:br/>
      </w:r>
      <w:r w:rsidRPr="001F4CEE">
        <w:rPr>
          <w:rFonts w:ascii="Calibri" w:hAnsi="Calibri" w:cs="Calibri"/>
          <w:b/>
          <w:i/>
          <w:color w:val="000000" w:themeColor="text1"/>
          <w:sz w:val="28"/>
          <w:szCs w:val="36"/>
          <w:shd w:val="solid" w:color="FFFFFF" w:fill="auto"/>
          <w:lang w:eastAsia="ru-RU"/>
        </w:rPr>
        <w:t>Alterações bioquímicas e celulares da pré-eclâmpsia em gestantes atendidas no Hospital Geral Dr. Raymundo Abarca Alarcón, Guerrero, México</w:t>
      </w:r>
    </w:p>
    <w:p w14:paraId="03E805B0" w14:textId="61109B2A" w:rsidR="008A2324" w:rsidRPr="008A7604" w:rsidRDefault="008A2324" w:rsidP="00F5444E">
      <w:pPr>
        <w:spacing w:line="360" w:lineRule="auto"/>
        <w:ind w:left="720"/>
        <w:jc w:val="right"/>
        <w:rPr>
          <w:rFonts w:eastAsia="Arial"/>
          <w:b/>
        </w:rPr>
      </w:pPr>
    </w:p>
    <w:p w14:paraId="716054C1" w14:textId="11086564" w:rsidR="001E6F41" w:rsidRPr="001F4CEE" w:rsidRDefault="00646677" w:rsidP="006F51C7">
      <w:pPr>
        <w:spacing w:line="276" w:lineRule="auto"/>
        <w:jc w:val="right"/>
        <w:rPr>
          <w:rFonts w:ascii="Calibri" w:eastAsiaTheme="minorEastAsia" w:hAnsi="Calibri" w:cs="Calibri"/>
          <w:b/>
          <w:lang w:val="es-ES_tradnl" w:eastAsia="es-ES"/>
        </w:rPr>
      </w:pPr>
      <w:r w:rsidRPr="001F4CEE">
        <w:rPr>
          <w:rFonts w:ascii="Calibri" w:eastAsiaTheme="minorEastAsia" w:hAnsi="Calibri" w:cs="Calibri"/>
          <w:b/>
          <w:lang w:val="es-ES_tradnl" w:eastAsia="es-ES"/>
        </w:rPr>
        <w:t>Nicolás</w:t>
      </w:r>
      <w:r w:rsidR="001E6F41" w:rsidRPr="001F4CEE">
        <w:rPr>
          <w:rFonts w:ascii="Calibri" w:eastAsiaTheme="minorEastAsia" w:hAnsi="Calibri" w:cs="Calibri"/>
          <w:b/>
          <w:lang w:val="es-ES_tradnl" w:eastAsia="es-ES"/>
        </w:rPr>
        <w:t xml:space="preserve"> Rogelio Eric Barlandas Rendón</w:t>
      </w:r>
    </w:p>
    <w:p w14:paraId="17A061DB" w14:textId="551D9630" w:rsidR="001E6F41" w:rsidRDefault="001E6F41" w:rsidP="006F51C7">
      <w:pPr>
        <w:spacing w:line="276" w:lineRule="auto"/>
        <w:jc w:val="right"/>
        <w:rPr>
          <w:rFonts w:eastAsia="Arial"/>
        </w:rPr>
      </w:pPr>
      <w:r w:rsidRPr="00654DE9">
        <w:rPr>
          <w:rFonts w:eastAsia="Arial"/>
        </w:rPr>
        <w:t xml:space="preserve">Universidad </w:t>
      </w:r>
      <w:r w:rsidR="0048024D" w:rsidRPr="00654DE9">
        <w:rPr>
          <w:rFonts w:eastAsia="Arial"/>
        </w:rPr>
        <w:t xml:space="preserve">Autónoma </w:t>
      </w:r>
      <w:r w:rsidR="00E27833">
        <w:rPr>
          <w:rFonts w:eastAsia="Arial"/>
        </w:rPr>
        <w:t>d</w:t>
      </w:r>
      <w:r w:rsidR="0048024D" w:rsidRPr="00654DE9">
        <w:rPr>
          <w:rFonts w:eastAsia="Arial"/>
        </w:rPr>
        <w:t>e Guerrero, México.</w:t>
      </w:r>
    </w:p>
    <w:p w14:paraId="7ED6DE34" w14:textId="77777777" w:rsidR="00137759" w:rsidRPr="001F4CEE" w:rsidRDefault="007D47FB" w:rsidP="006F51C7">
      <w:pPr>
        <w:spacing w:line="276" w:lineRule="auto"/>
        <w:jc w:val="right"/>
        <w:rPr>
          <w:rFonts w:ascii="Calibri" w:eastAsia="Calibri" w:hAnsi="Calibri" w:cs="Calibri"/>
          <w:color w:val="FF0000"/>
          <w:lang w:eastAsia="en-US"/>
        </w:rPr>
      </w:pPr>
      <w:hyperlink r:id="rId8" w:history="1">
        <w:r w:rsidR="00137759" w:rsidRPr="001F4CEE">
          <w:rPr>
            <w:rFonts w:ascii="Calibri" w:eastAsia="Calibri" w:hAnsi="Calibri" w:cs="Calibri"/>
            <w:color w:val="FF0000"/>
            <w:lang w:eastAsia="en-US"/>
          </w:rPr>
          <w:t>barlandas@uagro.mx</w:t>
        </w:r>
      </w:hyperlink>
    </w:p>
    <w:p w14:paraId="14177451" w14:textId="0F145229" w:rsidR="00137759" w:rsidRPr="006C0AD3" w:rsidRDefault="006C0AD3" w:rsidP="006F51C7">
      <w:pPr>
        <w:spacing w:line="276" w:lineRule="auto"/>
        <w:jc w:val="right"/>
        <w:rPr>
          <w:lang w:val="es-ES"/>
        </w:rPr>
      </w:pPr>
      <w:r>
        <w:rPr>
          <w:lang w:val="es-ES"/>
        </w:rPr>
        <w:t>https://orcid.org/0000-0003-0196-8868</w:t>
      </w:r>
    </w:p>
    <w:p w14:paraId="62D611FA" w14:textId="3C0631D2" w:rsidR="0048024D" w:rsidRPr="001F4CEE" w:rsidRDefault="006F51C7" w:rsidP="006F51C7">
      <w:pP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br/>
      </w:r>
      <w:r w:rsidR="0048024D" w:rsidRPr="001F4CEE">
        <w:rPr>
          <w:rFonts w:ascii="Calibri" w:eastAsiaTheme="minorEastAsia" w:hAnsi="Calibri" w:cs="Calibri"/>
          <w:b/>
          <w:lang w:val="es-ES_tradnl" w:eastAsia="es-ES"/>
        </w:rPr>
        <w:t>Sandra Quintana Ponce</w:t>
      </w:r>
    </w:p>
    <w:p w14:paraId="497C99C2" w14:textId="00CC28F0" w:rsidR="0048024D" w:rsidRDefault="0048024D" w:rsidP="006F51C7">
      <w:pPr>
        <w:spacing w:line="276" w:lineRule="auto"/>
        <w:jc w:val="right"/>
        <w:rPr>
          <w:rFonts w:eastAsia="Arial"/>
        </w:rPr>
      </w:pPr>
      <w:r w:rsidRPr="00654DE9">
        <w:rPr>
          <w:rFonts w:eastAsia="Arial"/>
        </w:rPr>
        <w:t xml:space="preserve">Universidad Autónoma </w:t>
      </w:r>
      <w:r w:rsidR="00E27833">
        <w:rPr>
          <w:rFonts w:eastAsia="Arial"/>
        </w:rPr>
        <w:t>d</w:t>
      </w:r>
      <w:r w:rsidRPr="00654DE9">
        <w:rPr>
          <w:rFonts w:eastAsia="Arial"/>
        </w:rPr>
        <w:t>e Guerrero, México</w:t>
      </w:r>
    </w:p>
    <w:p w14:paraId="4C237D92" w14:textId="77777777" w:rsidR="006B3DF4" w:rsidRPr="001F4CEE" w:rsidRDefault="007D47FB" w:rsidP="006F51C7">
      <w:pPr>
        <w:spacing w:line="276" w:lineRule="auto"/>
        <w:jc w:val="right"/>
        <w:rPr>
          <w:rFonts w:ascii="Calibri" w:eastAsia="Calibri" w:hAnsi="Calibri" w:cs="Calibri"/>
          <w:color w:val="FF0000"/>
          <w:lang w:eastAsia="en-US"/>
        </w:rPr>
      </w:pPr>
      <w:hyperlink r:id="rId9" w:history="1">
        <w:r w:rsidR="00137759" w:rsidRPr="001F4CEE">
          <w:rPr>
            <w:rFonts w:ascii="Calibri" w:eastAsia="Calibri" w:hAnsi="Calibri" w:cs="Calibri"/>
            <w:color w:val="FF0000"/>
            <w:lang w:eastAsia="en-US"/>
          </w:rPr>
          <w:t>squintana@uagro.mx</w:t>
        </w:r>
      </w:hyperlink>
    </w:p>
    <w:p w14:paraId="08951891" w14:textId="323AEBEE" w:rsidR="00137759" w:rsidRPr="006C0AD3" w:rsidRDefault="006C0AD3" w:rsidP="006F51C7">
      <w:pPr>
        <w:spacing w:line="276" w:lineRule="auto"/>
        <w:jc w:val="right"/>
        <w:rPr>
          <w:lang w:val="es-ES"/>
        </w:rPr>
      </w:pPr>
      <w:r>
        <w:rPr>
          <w:lang w:val="es-ES"/>
        </w:rPr>
        <w:t>https://orcid.org/0000-0001-7184-994X</w:t>
      </w:r>
    </w:p>
    <w:p w14:paraId="5ADC33F0" w14:textId="54B21875" w:rsidR="00435CE0" w:rsidRPr="001F4CEE" w:rsidRDefault="006F51C7" w:rsidP="006F51C7">
      <w:pP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br/>
      </w:r>
      <w:r w:rsidR="00A41B30">
        <w:rPr>
          <w:rFonts w:ascii="Calibri" w:eastAsiaTheme="minorEastAsia" w:hAnsi="Calibri" w:cs="Calibri"/>
          <w:b/>
          <w:lang w:val="es-ES_tradnl" w:eastAsia="es-ES"/>
        </w:rPr>
        <w:t>Rubí Soledad de la Cruz García</w:t>
      </w:r>
    </w:p>
    <w:p w14:paraId="4CC1600B" w14:textId="678FEDAB" w:rsidR="00993D08" w:rsidRPr="00654DE9" w:rsidRDefault="00993D08" w:rsidP="006F51C7">
      <w:pPr>
        <w:spacing w:line="276" w:lineRule="auto"/>
        <w:jc w:val="right"/>
        <w:rPr>
          <w:lang w:val="es-ES"/>
        </w:rPr>
      </w:pPr>
      <w:r w:rsidRPr="00654DE9">
        <w:rPr>
          <w:lang w:val="es-ES"/>
        </w:rPr>
        <w:t>Universidad Autónoma de Guerrero</w:t>
      </w:r>
      <w:r w:rsidR="0048024D" w:rsidRPr="00654DE9">
        <w:rPr>
          <w:lang w:val="es-ES"/>
        </w:rPr>
        <w:t>, México</w:t>
      </w:r>
    </w:p>
    <w:p w14:paraId="318E6861" w14:textId="77777777" w:rsidR="00993D08" w:rsidRPr="001F4CEE" w:rsidRDefault="007D47FB" w:rsidP="006F51C7">
      <w:pPr>
        <w:spacing w:line="276" w:lineRule="auto"/>
        <w:jc w:val="right"/>
        <w:rPr>
          <w:rFonts w:ascii="Calibri" w:eastAsia="Calibri" w:hAnsi="Calibri" w:cs="Calibri"/>
          <w:color w:val="FF0000"/>
          <w:lang w:eastAsia="en-US"/>
        </w:rPr>
      </w:pPr>
      <w:hyperlink r:id="rId10" w:history="1">
        <w:r w:rsidR="00993D08" w:rsidRPr="001F4CEE">
          <w:rPr>
            <w:rFonts w:ascii="Calibri" w:eastAsia="Calibri" w:hAnsi="Calibri" w:cs="Calibri"/>
            <w:color w:val="FF0000"/>
            <w:lang w:eastAsia="en-US"/>
          </w:rPr>
          <w:t>delacruz_ruby@hotmail.com</w:t>
        </w:r>
      </w:hyperlink>
    </w:p>
    <w:p w14:paraId="2366F07E" w14:textId="3F24E53E" w:rsidR="000B6F8B" w:rsidRPr="001F4CEE" w:rsidRDefault="000B6F8B" w:rsidP="006F51C7">
      <w:pPr>
        <w:spacing w:line="276" w:lineRule="auto"/>
        <w:jc w:val="right"/>
        <w:rPr>
          <w:rFonts w:ascii="Calibri" w:eastAsia="Calibri" w:hAnsi="Calibri" w:cs="Calibri"/>
          <w:color w:val="FF0000"/>
          <w:lang w:eastAsia="en-US"/>
        </w:rPr>
      </w:pPr>
      <w:r w:rsidRPr="001F4CEE">
        <w:rPr>
          <w:rFonts w:ascii="Calibri" w:eastAsia="Calibri" w:hAnsi="Calibri" w:cs="Calibri"/>
          <w:color w:val="FF0000"/>
          <w:lang w:eastAsia="en-US"/>
        </w:rPr>
        <w:t>japm1120@outlook.com</w:t>
      </w:r>
    </w:p>
    <w:p w14:paraId="08F55C1A" w14:textId="7FCD9112" w:rsidR="005B1CBA" w:rsidRDefault="00B76C3D" w:rsidP="006F51C7">
      <w:pPr>
        <w:spacing w:line="276" w:lineRule="auto"/>
        <w:jc w:val="right"/>
        <w:rPr>
          <w:lang w:val="es-ES"/>
        </w:rPr>
      </w:pPr>
      <w:r>
        <w:rPr>
          <w:lang w:val="es-ES"/>
        </w:rPr>
        <w:t>h</w:t>
      </w:r>
      <w:r w:rsidR="006C0AD3">
        <w:rPr>
          <w:lang w:val="es-ES"/>
        </w:rPr>
        <w:t>ttps://orcid.org/0000-0001-6640-1008</w:t>
      </w:r>
    </w:p>
    <w:p w14:paraId="3F4717AC" w14:textId="4F61322B" w:rsidR="00993D08" w:rsidRDefault="006F51C7" w:rsidP="006F51C7">
      <w:pPr>
        <w:spacing w:line="276" w:lineRule="auto"/>
        <w:jc w:val="right"/>
        <w:rPr>
          <w:lang w:val="es-ES"/>
        </w:rPr>
      </w:pPr>
      <w:r>
        <w:rPr>
          <w:rFonts w:ascii="Calibri" w:eastAsiaTheme="minorEastAsia" w:hAnsi="Calibri" w:cs="Calibri"/>
          <w:b/>
          <w:lang w:val="es-ES_tradnl" w:eastAsia="es-ES"/>
        </w:rPr>
        <w:br/>
      </w:r>
      <w:r w:rsidR="005B1CBA" w:rsidRPr="001F4CEE">
        <w:rPr>
          <w:rFonts w:ascii="Calibri" w:eastAsiaTheme="minorEastAsia" w:hAnsi="Calibri" w:cs="Calibri"/>
          <w:b/>
          <w:lang w:val="es-ES_tradnl" w:eastAsia="es-ES"/>
        </w:rPr>
        <w:t>José Alberto Pérez Mendoza</w:t>
      </w:r>
    </w:p>
    <w:p w14:paraId="5635D5B3" w14:textId="09654794" w:rsidR="005B1CBA" w:rsidRDefault="005B1CBA" w:rsidP="006F51C7">
      <w:pPr>
        <w:spacing w:line="276" w:lineRule="auto"/>
        <w:jc w:val="right"/>
        <w:rPr>
          <w:lang w:val="es-ES"/>
        </w:rPr>
      </w:pPr>
      <w:r w:rsidRPr="00654DE9">
        <w:rPr>
          <w:lang w:val="es-ES"/>
        </w:rPr>
        <w:t xml:space="preserve">Universidad Autónoma de Guerrero, México </w:t>
      </w:r>
    </w:p>
    <w:p w14:paraId="4EFD5282" w14:textId="77777777" w:rsidR="000B6F8B" w:rsidRPr="001F4CEE" w:rsidRDefault="000B6F8B" w:rsidP="006F51C7">
      <w:pPr>
        <w:spacing w:line="276" w:lineRule="auto"/>
        <w:jc w:val="right"/>
        <w:rPr>
          <w:rFonts w:ascii="Calibri" w:eastAsia="Calibri" w:hAnsi="Calibri" w:cs="Calibri"/>
          <w:color w:val="FF0000"/>
          <w:lang w:eastAsia="en-US"/>
        </w:rPr>
      </w:pPr>
      <w:r w:rsidRPr="001F4CEE">
        <w:rPr>
          <w:rFonts w:ascii="Calibri" w:eastAsia="Calibri" w:hAnsi="Calibri" w:cs="Calibri"/>
          <w:color w:val="FF0000"/>
          <w:lang w:eastAsia="en-US"/>
        </w:rPr>
        <w:t>japm1120@outlook.com</w:t>
      </w:r>
    </w:p>
    <w:p w14:paraId="72455159" w14:textId="0BD7C563" w:rsidR="00B31FC8" w:rsidRPr="006C0AD3" w:rsidRDefault="006C0AD3" w:rsidP="006F51C7">
      <w:pPr>
        <w:spacing w:line="276" w:lineRule="auto"/>
        <w:jc w:val="right"/>
        <w:rPr>
          <w:lang w:val="es-ES"/>
        </w:rPr>
      </w:pPr>
      <w:r>
        <w:rPr>
          <w:lang w:val="es-ES"/>
        </w:rPr>
        <w:t>h</w:t>
      </w:r>
      <w:r w:rsidR="00A41B30">
        <w:rPr>
          <w:lang w:val="es-ES"/>
        </w:rPr>
        <w:t>ttps://orcid.org/0000-0003-2408-1338</w:t>
      </w:r>
    </w:p>
    <w:p w14:paraId="0534CBF6" w14:textId="77777777" w:rsidR="006F51C7" w:rsidRDefault="006F51C7" w:rsidP="006F51C7">
      <w:pP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br/>
      </w:r>
    </w:p>
    <w:p w14:paraId="2563F16F" w14:textId="587114B8" w:rsidR="008C676A" w:rsidRPr="001F4CEE" w:rsidRDefault="008C676A" w:rsidP="006F51C7">
      <w:pPr>
        <w:spacing w:line="276" w:lineRule="auto"/>
        <w:jc w:val="right"/>
        <w:rPr>
          <w:rFonts w:ascii="Calibri" w:eastAsiaTheme="minorEastAsia" w:hAnsi="Calibri" w:cs="Calibri"/>
          <w:b/>
          <w:lang w:val="es-ES_tradnl" w:eastAsia="es-ES"/>
        </w:rPr>
      </w:pPr>
      <w:r w:rsidRPr="001F4CEE">
        <w:rPr>
          <w:rFonts w:ascii="Calibri" w:eastAsiaTheme="minorEastAsia" w:hAnsi="Calibri" w:cs="Calibri"/>
          <w:b/>
          <w:lang w:val="es-ES_tradnl" w:eastAsia="es-ES"/>
        </w:rPr>
        <w:lastRenderedPageBreak/>
        <w:t xml:space="preserve">Manuel Ramos </w:t>
      </w:r>
      <w:r w:rsidR="00CC0F1D" w:rsidRPr="001F4CEE">
        <w:rPr>
          <w:rFonts w:ascii="Calibri" w:eastAsiaTheme="minorEastAsia" w:hAnsi="Calibri" w:cs="Calibri"/>
          <w:b/>
          <w:lang w:val="es-ES_tradnl" w:eastAsia="es-ES"/>
        </w:rPr>
        <w:t>García</w:t>
      </w:r>
    </w:p>
    <w:p w14:paraId="063201E6" w14:textId="77777777" w:rsidR="008C676A" w:rsidRPr="00CC0F1D" w:rsidRDefault="008C676A" w:rsidP="006F51C7">
      <w:pPr>
        <w:spacing w:line="276" w:lineRule="auto"/>
        <w:jc w:val="right"/>
        <w:rPr>
          <w:rFonts w:eastAsia="Arial"/>
          <w:lang w:val="es-ES"/>
        </w:rPr>
      </w:pPr>
      <w:r w:rsidRPr="00CC0F1D">
        <w:rPr>
          <w:rFonts w:eastAsia="Arial"/>
          <w:lang w:val="es-ES"/>
        </w:rPr>
        <w:t xml:space="preserve">Secretaria de Salud </w:t>
      </w:r>
      <w:r w:rsidR="00CC0F1D" w:rsidRPr="00CC0F1D">
        <w:rPr>
          <w:rFonts w:eastAsia="Arial"/>
          <w:lang w:val="es-ES"/>
        </w:rPr>
        <w:t>Guerrero</w:t>
      </w:r>
      <w:r w:rsidRPr="00CC0F1D">
        <w:rPr>
          <w:rFonts w:eastAsia="Arial"/>
          <w:lang w:val="es-ES"/>
        </w:rPr>
        <w:t>, México</w:t>
      </w:r>
    </w:p>
    <w:p w14:paraId="477F8E79" w14:textId="77777777" w:rsidR="008C676A" w:rsidRPr="001F4CEE" w:rsidRDefault="007D47FB" w:rsidP="006F51C7">
      <w:pPr>
        <w:spacing w:line="276" w:lineRule="auto"/>
        <w:jc w:val="right"/>
        <w:rPr>
          <w:rFonts w:ascii="Calibri" w:eastAsia="Calibri" w:hAnsi="Calibri" w:cs="Calibri"/>
          <w:color w:val="FF0000"/>
          <w:lang w:eastAsia="en-US"/>
        </w:rPr>
      </w:pPr>
      <w:hyperlink r:id="rId11" w:history="1">
        <w:r w:rsidR="008C676A" w:rsidRPr="001F4CEE">
          <w:rPr>
            <w:rFonts w:ascii="Calibri" w:eastAsia="Calibri" w:hAnsi="Calibri" w:cs="Calibri"/>
            <w:color w:val="FF0000"/>
            <w:lang w:eastAsia="en-US"/>
          </w:rPr>
          <w:t>ragamanuel@hotmail.com</w:t>
        </w:r>
      </w:hyperlink>
    </w:p>
    <w:p w14:paraId="6A26B3B3" w14:textId="1F29504E" w:rsidR="006C0AD3" w:rsidRDefault="006C0AD3" w:rsidP="006F51C7">
      <w:pPr>
        <w:spacing w:line="276" w:lineRule="auto"/>
        <w:jc w:val="right"/>
        <w:rPr>
          <w:lang w:val="es-ES"/>
        </w:rPr>
      </w:pPr>
      <w:r>
        <w:rPr>
          <w:lang w:val="es-ES"/>
        </w:rPr>
        <w:t>https://orcid.org/0000-0001-7864-4103</w:t>
      </w:r>
    </w:p>
    <w:p w14:paraId="0389A176" w14:textId="77777777" w:rsidR="00CC0F1D" w:rsidRDefault="00CC0F1D" w:rsidP="006C0AD3">
      <w:pPr>
        <w:jc w:val="right"/>
        <w:rPr>
          <w:rFonts w:eastAsia="Arial"/>
          <w:lang w:val="es-ES"/>
        </w:rPr>
      </w:pPr>
    </w:p>
    <w:p w14:paraId="061D3E72" w14:textId="00E23D97" w:rsidR="00303DDE" w:rsidRPr="00BE552E" w:rsidRDefault="009117B6" w:rsidP="00303DDE">
      <w:pPr>
        <w:spacing w:line="360" w:lineRule="auto"/>
        <w:jc w:val="both"/>
        <w:rPr>
          <w:rFonts w:eastAsia="Arial"/>
          <w:b/>
          <w:sz w:val="28"/>
          <w:szCs w:val="28"/>
          <w:lang w:val="es-ES"/>
        </w:rPr>
      </w:pPr>
      <w:r w:rsidRPr="001F4CEE">
        <w:rPr>
          <w:rFonts w:ascii="Calibri" w:hAnsi="Calibri" w:cs="Calibri"/>
          <w:b/>
          <w:color w:val="000000" w:themeColor="text1"/>
          <w:sz w:val="28"/>
          <w:szCs w:val="28"/>
          <w:lang w:val="es-ES" w:eastAsia="es-ES"/>
        </w:rPr>
        <w:t>Resumen</w:t>
      </w:r>
      <w:r w:rsidRPr="00BE552E">
        <w:rPr>
          <w:rFonts w:eastAsia="Arial"/>
          <w:b/>
          <w:sz w:val="28"/>
          <w:szCs w:val="28"/>
          <w:lang w:val="es-ES"/>
        </w:rPr>
        <w:t xml:space="preserve"> </w:t>
      </w:r>
    </w:p>
    <w:p w14:paraId="2D47EB70" w14:textId="77777777" w:rsidR="00E27833" w:rsidRPr="00923170" w:rsidRDefault="00E27833" w:rsidP="001F4CEE">
      <w:pPr>
        <w:spacing w:line="360" w:lineRule="auto"/>
        <w:jc w:val="both"/>
        <w:rPr>
          <w:rFonts w:eastAsia="Arial"/>
          <w:b/>
          <w:lang w:val="es-ES"/>
        </w:rPr>
      </w:pPr>
      <w:r w:rsidRPr="00A45D9D">
        <w:rPr>
          <w:rFonts w:eastAsia="Arial"/>
          <w:lang w:val="es-ES"/>
        </w:rPr>
        <w:t>La preeclampsia (PE) es una enfermedad multisistémica y multifactorial, es una de las complicaciones médicas más comunes y peligrosas en el embarazo. En México la muerte por preeclampsia se ha incrementado de 22</w:t>
      </w:r>
      <w:r>
        <w:rPr>
          <w:rFonts w:eastAsia="Arial"/>
          <w:lang w:val="es-ES"/>
        </w:rPr>
        <w:t xml:space="preserve"> </w:t>
      </w:r>
      <w:r w:rsidRPr="00A45D9D">
        <w:rPr>
          <w:rFonts w:eastAsia="Arial"/>
          <w:lang w:val="es-ES"/>
        </w:rPr>
        <w:t>% a 33</w:t>
      </w:r>
      <w:r>
        <w:rPr>
          <w:rFonts w:eastAsia="Arial"/>
          <w:lang w:val="es-ES"/>
        </w:rPr>
        <w:t xml:space="preserve"> </w:t>
      </w:r>
      <w:r w:rsidRPr="00A45D9D">
        <w:rPr>
          <w:rFonts w:eastAsia="Arial"/>
          <w:lang w:val="es-ES"/>
        </w:rPr>
        <w:t xml:space="preserve">%, por lo que aún es considerada la </w:t>
      </w:r>
      <w:r>
        <w:rPr>
          <w:rFonts w:eastAsia="Arial"/>
          <w:lang w:val="es-ES"/>
        </w:rPr>
        <w:t xml:space="preserve">primera causa de muerte materna. </w:t>
      </w:r>
      <w:r w:rsidRPr="009E1D70">
        <w:rPr>
          <w:rFonts w:eastAsia="Arial"/>
          <w:lang w:val="es-ES"/>
        </w:rPr>
        <w:t xml:space="preserve">Identificar los </w:t>
      </w:r>
      <w:proofErr w:type="gramStart"/>
      <w:r w:rsidRPr="009E1D70">
        <w:rPr>
          <w:rFonts w:eastAsia="Arial"/>
          <w:lang w:val="es-ES"/>
        </w:rPr>
        <w:t>parámetros  sociodemográficos</w:t>
      </w:r>
      <w:proofErr w:type="gramEnd"/>
      <w:r w:rsidRPr="009E1D70">
        <w:rPr>
          <w:rFonts w:eastAsia="Arial"/>
          <w:lang w:val="es-ES"/>
        </w:rPr>
        <w:t>, bioquímicos y antropométricos que influyen</w:t>
      </w:r>
      <w:r>
        <w:rPr>
          <w:rFonts w:eastAsia="Arial"/>
          <w:lang w:val="es-ES"/>
        </w:rPr>
        <w:t xml:space="preserve"> en el</w:t>
      </w:r>
      <w:r w:rsidRPr="009E1D70">
        <w:rPr>
          <w:rFonts w:eastAsia="Arial"/>
          <w:lang w:val="es-ES"/>
        </w:rPr>
        <w:t xml:space="preserve"> embarazo y la aparición de pr</w:t>
      </w:r>
      <w:r>
        <w:rPr>
          <w:rFonts w:eastAsia="Arial"/>
          <w:lang w:val="es-ES"/>
        </w:rPr>
        <w:t>e</w:t>
      </w:r>
      <w:r w:rsidRPr="009E1D70">
        <w:rPr>
          <w:rFonts w:eastAsia="Arial"/>
          <w:lang w:val="es-ES"/>
        </w:rPr>
        <w:t>eclam</w:t>
      </w:r>
      <w:r>
        <w:rPr>
          <w:rFonts w:eastAsia="Arial"/>
          <w:lang w:val="es-ES"/>
        </w:rPr>
        <w:t>p</w:t>
      </w:r>
      <w:r w:rsidRPr="009E1D70">
        <w:rPr>
          <w:rFonts w:eastAsia="Arial"/>
          <w:lang w:val="es-ES"/>
        </w:rPr>
        <w:t>sia</w:t>
      </w:r>
      <w:r>
        <w:rPr>
          <w:rFonts w:eastAsia="Arial"/>
          <w:b/>
          <w:lang w:val="es-ES"/>
        </w:rPr>
        <w:t xml:space="preserve"> </w:t>
      </w:r>
      <w:r w:rsidRPr="009E1D70">
        <w:rPr>
          <w:rFonts w:eastAsia="Arial"/>
          <w:lang w:val="es-ES"/>
        </w:rPr>
        <w:t xml:space="preserve">en mujeres embarazadas que acuden al Hospital General Dr. Raymundo Abarca Alarcón </w:t>
      </w:r>
      <w:r>
        <w:rPr>
          <w:rFonts w:eastAsia="Arial"/>
          <w:lang w:val="es-ES"/>
        </w:rPr>
        <w:t xml:space="preserve">(HGRAA) </w:t>
      </w:r>
      <w:r w:rsidRPr="009E1D70">
        <w:rPr>
          <w:rFonts w:eastAsia="Arial"/>
          <w:lang w:val="es-ES"/>
        </w:rPr>
        <w:t xml:space="preserve">en Chilpancingo </w:t>
      </w:r>
      <w:r>
        <w:rPr>
          <w:rFonts w:eastAsia="Arial"/>
          <w:lang w:val="es-ES"/>
        </w:rPr>
        <w:t xml:space="preserve">de los Bravo, Guerrero, México. </w:t>
      </w:r>
      <w:r w:rsidRPr="009E1D70">
        <w:rPr>
          <w:rFonts w:eastAsia="Arial"/>
          <w:lang w:val="es-ES"/>
        </w:rPr>
        <w:t>Se realizó un e</w:t>
      </w:r>
      <w:r w:rsidRPr="00A45D9D">
        <w:rPr>
          <w:rFonts w:eastAsia="Arial"/>
          <w:lang w:val="es-ES"/>
        </w:rPr>
        <w:t>studio transversal descriptivo en mujeres embarazadas, monitoreadas durante el periodo julio 2016 – junio 2017. Se incluyeron pacientes embarazadas con más de 20 semanas de gestación aparentemente sanas. Se obtuvieron medidas antropométricas, medición de la tensión arterial, respuestas a las encuestas aplicadas a las pacientes y recolección de muestras para la determinación de pará</w:t>
      </w:r>
      <w:r>
        <w:rPr>
          <w:rFonts w:eastAsia="Arial"/>
          <w:lang w:val="es-ES"/>
        </w:rPr>
        <w:t>metros bioquímicos y celulares.</w:t>
      </w:r>
    </w:p>
    <w:p w14:paraId="3B1FF4DD" w14:textId="3F03FD4F" w:rsidR="00E27833" w:rsidRPr="00257C50" w:rsidRDefault="00E27833" w:rsidP="001F4CEE">
      <w:pPr>
        <w:spacing w:line="360" w:lineRule="auto"/>
        <w:jc w:val="both"/>
      </w:pPr>
      <w:r w:rsidRPr="00A45D9D">
        <w:rPr>
          <w:rFonts w:eastAsia="Arial"/>
          <w:lang w:val="es-ES"/>
        </w:rPr>
        <w:t xml:space="preserve">Se encontraron niveles de colesterol </w:t>
      </w:r>
      <w:r w:rsidRPr="00A45D9D">
        <w:t>que van desde 99 a 443 mg/dL y triglicéridos que o</w:t>
      </w:r>
      <w:r>
        <w:t xml:space="preserve">scilan desde 80 a 532 mg/dL, </w:t>
      </w:r>
      <w:r w:rsidRPr="00A45D9D">
        <w:t>3.58</w:t>
      </w:r>
      <w:r>
        <w:t xml:space="preserve"> </w:t>
      </w:r>
      <w:r w:rsidRPr="00A45D9D">
        <w:t>% presentaron glucosa basal anormalmente al</w:t>
      </w:r>
      <w:r w:rsidR="00A82E40">
        <w:t>ta</w:t>
      </w:r>
      <w:r w:rsidRPr="00A45D9D">
        <w:t>, así como también un 28.92</w:t>
      </w:r>
      <w:r>
        <w:t xml:space="preserve"> </w:t>
      </w:r>
      <w:r w:rsidRPr="00A45D9D">
        <w:t xml:space="preserve">% de las pacientes presentaron curvas anormales con la glucosa postprandial </w:t>
      </w:r>
      <w:r w:rsidRPr="009E1D70">
        <w:t>y 38.33</w:t>
      </w:r>
      <w:r>
        <w:t xml:space="preserve"> </w:t>
      </w:r>
      <w:r w:rsidRPr="009E1D70">
        <w:t xml:space="preserve">% </w:t>
      </w:r>
      <w:r>
        <w:t>de las paci</w:t>
      </w:r>
      <w:r w:rsidRPr="009E1D70">
        <w:t>e</w:t>
      </w:r>
      <w:r>
        <w:t>n</w:t>
      </w:r>
      <w:r w:rsidRPr="009E1D70">
        <w:t>tes presentaron un hematocrito bajo</w:t>
      </w:r>
      <w:r w:rsidRPr="00257C50">
        <w:t>.</w:t>
      </w:r>
      <w:r w:rsidRPr="00257C50">
        <w:rPr>
          <w:rFonts w:eastAsia="Arial"/>
          <w:b/>
          <w:lang w:val="es-ES"/>
        </w:rPr>
        <w:t xml:space="preserve"> </w:t>
      </w:r>
      <w:r w:rsidRPr="00257C50">
        <w:t xml:space="preserve">Se detectó </w:t>
      </w:r>
      <w:r w:rsidR="00077251" w:rsidRPr="00257C50">
        <w:t>1.14</w:t>
      </w:r>
      <w:r w:rsidRPr="00257C50">
        <w:t xml:space="preserve"> % de pacientes que cumplen con los criterios diagnósticos de preeclampsia, </w:t>
      </w:r>
      <w:r w:rsidR="00077251" w:rsidRPr="00257C50">
        <w:t xml:space="preserve"> 0.57</w:t>
      </w:r>
      <w:r w:rsidRPr="00257C50">
        <w:t xml:space="preserve"> % como candidato a adquirir la enfermedad y</w:t>
      </w:r>
      <w:r w:rsidR="00077251" w:rsidRPr="00257C50">
        <w:t xml:space="preserve"> 98.29</w:t>
      </w:r>
      <w:r w:rsidRPr="00257C50">
        <w:t xml:space="preserve"> % como pacientes normales.</w:t>
      </w:r>
    </w:p>
    <w:p w14:paraId="08F808D7" w14:textId="616ABE66" w:rsidR="00905008" w:rsidRPr="00A45D9D" w:rsidRDefault="009117B6" w:rsidP="009117B6">
      <w:pPr>
        <w:spacing w:line="360" w:lineRule="auto"/>
        <w:jc w:val="both"/>
        <w:rPr>
          <w:rFonts w:eastAsia="Arial"/>
          <w:lang w:val="es-ES"/>
        </w:rPr>
      </w:pPr>
      <w:r w:rsidRPr="00257C50">
        <w:rPr>
          <w:rFonts w:ascii="Calibri" w:hAnsi="Calibri" w:cs="Calibri"/>
          <w:b/>
          <w:color w:val="000000" w:themeColor="text1"/>
          <w:sz w:val="28"/>
          <w:szCs w:val="28"/>
          <w:lang w:val="es-ES" w:eastAsia="es-ES"/>
        </w:rPr>
        <w:t>Palabras clave:</w:t>
      </w:r>
      <w:r w:rsidRPr="00257C50">
        <w:rPr>
          <w:rFonts w:eastAsia="Arial"/>
          <w:lang w:val="es-ES"/>
        </w:rPr>
        <w:t xml:space="preserve"> </w:t>
      </w:r>
      <w:r w:rsidR="00E27833" w:rsidRPr="00257C50">
        <w:rPr>
          <w:rFonts w:eastAsia="Arial"/>
          <w:lang w:val="es-ES"/>
        </w:rPr>
        <w:t xml:space="preserve">Dislipidemias, IMC, percentil 95, </w:t>
      </w:r>
      <w:proofErr w:type="gramStart"/>
      <w:r w:rsidR="00E27833" w:rsidRPr="00257C50">
        <w:rPr>
          <w:rFonts w:eastAsia="Arial"/>
          <w:lang w:val="es-ES"/>
        </w:rPr>
        <w:t>p</w:t>
      </w:r>
      <w:r w:rsidR="00303DDE" w:rsidRPr="00257C50">
        <w:rPr>
          <w:rFonts w:eastAsia="Arial"/>
          <w:lang w:val="es-ES"/>
        </w:rPr>
        <w:t xml:space="preserve">reeclampsia, </w:t>
      </w:r>
      <w:r w:rsidR="00F9137E" w:rsidRPr="00257C50">
        <w:rPr>
          <w:rFonts w:eastAsia="Arial"/>
          <w:lang w:val="es-ES"/>
        </w:rPr>
        <w:t xml:space="preserve"> </w:t>
      </w:r>
      <w:r w:rsidR="00CB5204" w:rsidRPr="00257C50">
        <w:rPr>
          <w:rFonts w:eastAsia="Arial"/>
          <w:lang w:val="es-ES"/>
        </w:rPr>
        <w:t>p</w:t>
      </w:r>
      <w:r w:rsidR="00CC0F1D" w:rsidRPr="00257C50">
        <w:rPr>
          <w:rFonts w:eastAsia="Arial"/>
          <w:lang w:val="es-ES"/>
        </w:rPr>
        <w:t>resión</w:t>
      </w:r>
      <w:proofErr w:type="gramEnd"/>
      <w:r w:rsidR="00CC0F1D" w:rsidRPr="00257C50">
        <w:rPr>
          <w:rFonts w:eastAsia="Arial"/>
          <w:lang w:val="es-ES"/>
        </w:rPr>
        <w:t xml:space="preserve"> arterial</w:t>
      </w:r>
      <w:r w:rsidR="00E27833" w:rsidRPr="00257C50">
        <w:rPr>
          <w:rFonts w:eastAsia="Arial"/>
          <w:lang w:val="es-ES"/>
        </w:rPr>
        <w:t>.</w:t>
      </w:r>
    </w:p>
    <w:p w14:paraId="2E77D7A1" w14:textId="77777777" w:rsidR="00191243" w:rsidRPr="00A45D9D" w:rsidRDefault="00191243" w:rsidP="009117B6">
      <w:pPr>
        <w:spacing w:line="360" w:lineRule="auto"/>
        <w:jc w:val="both"/>
        <w:rPr>
          <w:rFonts w:eastAsia="Arial"/>
          <w:lang w:val="es-ES"/>
        </w:rPr>
      </w:pPr>
    </w:p>
    <w:p w14:paraId="26380D3F" w14:textId="77777777" w:rsidR="00975A3C" w:rsidRDefault="00975A3C" w:rsidP="00F5444E">
      <w:pPr>
        <w:spacing w:line="360" w:lineRule="auto"/>
        <w:jc w:val="both"/>
        <w:rPr>
          <w:rFonts w:ascii="Calibri" w:hAnsi="Calibri" w:cs="Calibri"/>
          <w:b/>
          <w:color w:val="000000" w:themeColor="text1"/>
          <w:sz w:val="28"/>
          <w:szCs w:val="28"/>
          <w:lang w:val="en-US" w:eastAsia="es-ES"/>
        </w:rPr>
      </w:pPr>
    </w:p>
    <w:p w14:paraId="57E72798" w14:textId="77777777" w:rsidR="00975A3C" w:rsidRDefault="00975A3C" w:rsidP="00F5444E">
      <w:pPr>
        <w:spacing w:line="360" w:lineRule="auto"/>
        <w:jc w:val="both"/>
        <w:rPr>
          <w:rFonts w:ascii="Calibri" w:hAnsi="Calibri" w:cs="Calibri"/>
          <w:b/>
          <w:color w:val="000000" w:themeColor="text1"/>
          <w:sz w:val="28"/>
          <w:szCs w:val="28"/>
          <w:lang w:val="en-US" w:eastAsia="es-ES"/>
        </w:rPr>
      </w:pPr>
    </w:p>
    <w:p w14:paraId="08C72F40" w14:textId="77777777" w:rsidR="00975A3C" w:rsidRDefault="00975A3C" w:rsidP="00F5444E">
      <w:pPr>
        <w:spacing w:line="360" w:lineRule="auto"/>
        <w:jc w:val="both"/>
        <w:rPr>
          <w:rFonts w:ascii="Calibri" w:hAnsi="Calibri" w:cs="Calibri"/>
          <w:b/>
          <w:color w:val="000000" w:themeColor="text1"/>
          <w:sz w:val="28"/>
          <w:szCs w:val="28"/>
          <w:lang w:val="en-US" w:eastAsia="es-ES"/>
        </w:rPr>
      </w:pPr>
    </w:p>
    <w:p w14:paraId="45544EBB" w14:textId="77777777" w:rsidR="00975A3C" w:rsidRDefault="00975A3C" w:rsidP="00F5444E">
      <w:pPr>
        <w:spacing w:line="360" w:lineRule="auto"/>
        <w:jc w:val="both"/>
        <w:rPr>
          <w:rFonts w:ascii="Calibri" w:hAnsi="Calibri" w:cs="Calibri"/>
          <w:b/>
          <w:color w:val="000000" w:themeColor="text1"/>
          <w:sz w:val="28"/>
          <w:szCs w:val="28"/>
          <w:lang w:val="en-US" w:eastAsia="es-ES"/>
        </w:rPr>
      </w:pPr>
    </w:p>
    <w:p w14:paraId="512403F5" w14:textId="5C6C6465" w:rsidR="00191243" w:rsidRPr="00471347" w:rsidRDefault="00191243" w:rsidP="00F5444E">
      <w:pPr>
        <w:spacing w:line="360" w:lineRule="auto"/>
        <w:jc w:val="both"/>
        <w:rPr>
          <w:rFonts w:ascii="Calibri" w:hAnsi="Calibri" w:cs="Calibri"/>
          <w:b/>
          <w:color w:val="000000" w:themeColor="text1"/>
          <w:sz w:val="28"/>
          <w:szCs w:val="28"/>
          <w:lang w:val="en-US" w:eastAsia="es-ES"/>
        </w:rPr>
      </w:pPr>
      <w:r w:rsidRPr="00471347">
        <w:rPr>
          <w:rFonts w:ascii="Calibri" w:hAnsi="Calibri" w:cs="Calibri"/>
          <w:b/>
          <w:color w:val="000000" w:themeColor="text1"/>
          <w:sz w:val="28"/>
          <w:szCs w:val="28"/>
          <w:lang w:val="en-US" w:eastAsia="es-ES"/>
        </w:rPr>
        <w:lastRenderedPageBreak/>
        <w:t>A</w:t>
      </w:r>
      <w:r w:rsidR="00F5444E" w:rsidRPr="00471347">
        <w:rPr>
          <w:rFonts w:ascii="Calibri" w:hAnsi="Calibri" w:cs="Calibri"/>
          <w:b/>
          <w:color w:val="000000" w:themeColor="text1"/>
          <w:sz w:val="28"/>
          <w:szCs w:val="28"/>
          <w:lang w:val="en-US" w:eastAsia="es-ES"/>
        </w:rPr>
        <w:t>bs</w:t>
      </w:r>
      <w:r w:rsidRPr="00471347">
        <w:rPr>
          <w:rFonts w:ascii="Calibri" w:hAnsi="Calibri" w:cs="Calibri"/>
          <w:b/>
          <w:color w:val="000000" w:themeColor="text1"/>
          <w:sz w:val="28"/>
          <w:szCs w:val="28"/>
          <w:lang w:val="en-US" w:eastAsia="es-ES"/>
        </w:rPr>
        <w:t>tract</w:t>
      </w:r>
    </w:p>
    <w:p w14:paraId="6E4AE363" w14:textId="79963E36" w:rsidR="00E27833" w:rsidRPr="00A45D9D" w:rsidRDefault="00E27833" w:rsidP="001F4CEE">
      <w:pPr>
        <w:spacing w:line="360" w:lineRule="auto"/>
        <w:jc w:val="both"/>
        <w:rPr>
          <w:lang w:val="en"/>
        </w:rPr>
      </w:pPr>
      <w:r w:rsidRPr="00471347">
        <w:rPr>
          <w:rFonts w:eastAsia="Arial"/>
          <w:lang w:val="en-US"/>
        </w:rPr>
        <w:t xml:space="preserve">Preeclampsia (PE) is a multisystemic and multifactorial disease, it is one of the most common and dangerous medical complications in pregnancy. In Mexico, death from preeclampsia has increased from 22% to 33%, which is why it is still considered the first cause of maternal death. To identify sociodemographic, biochemical and anthropometric parameters that influence pregnancy and the appearance of preeclampsia in pregnant women who attend the General Hospital Dr. Raymundo </w:t>
      </w:r>
      <w:proofErr w:type="spellStart"/>
      <w:r w:rsidRPr="00471347">
        <w:rPr>
          <w:rFonts w:eastAsia="Arial"/>
          <w:lang w:val="en-US"/>
        </w:rPr>
        <w:t>Abarca</w:t>
      </w:r>
      <w:proofErr w:type="spellEnd"/>
      <w:r w:rsidRPr="00471347">
        <w:rPr>
          <w:rFonts w:eastAsia="Arial"/>
          <w:lang w:val="en-US"/>
        </w:rPr>
        <w:t xml:space="preserve"> </w:t>
      </w:r>
      <w:proofErr w:type="spellStart"/>
      <w:r w:rsidRPr="00471347">
        <w:rPr>
          <w:rFonts w:eastAsia="Arial"/>
          <w:lang w:val="en-US"/>
        </w:rPr>
        <w:t>Alarcón</w:t>
      </w:r>
      <w:proofErr w:type="spellEnd"/>
      <w:r w:rsidRPr="00471347">
        <w:rPr>
          <w:rFonts w:eastAsia="Arial"/>
          <w:lang w:val="en-US"/>
        </w:rPr>
        <w:t xml:space="preserve"> in Chilpancingo de los Bravo, Guerrero, Mexico. A descriptive cross-sectional study was carried out on pregnant women, monitored during the period July 2016 - June 2017. Pregnant patients with more than 20 apparently healthy gestation weeks were included. Anthropometric measurements, blood pressure measurements, responses to surveys applied to patients and collection of samples for the determination of biochemical and cellular parameters were obtained. Cholesterol levels ranging from 99 to 443 mg / dL and triglycerides ranging from 80 to 532 mg / dL were found, 3.58 % had abnormally high basal glucose, as well as 28.92 % of the patients presented abnormal curves with postprandial glucose and 38.33 % of the patients </w:t>
      </w:r>
      <w:r w:rsidR="00077251" w:rsidRPr="00471347">
        <w:rPr>
          <w:rFonts w:eastAsia="Arial"/>
          <w:lang w:val="en-US"/>
        </w:rPr>
        <w:t xml:space="preserve">presented a low </w:t>
      </w:r>
      <w:r w:rsidR="00077251" w:rsidRPr="00257C50">
        <w:rPr>
          <w:rFonts w:eastAsia="Arial"/>
          <w:lang w:val="en-US"/>
        </w:rPr>
        <w:t>hematocrit. 1.14</w:t>
      </w:r>
      <w:r w:rsidRPr="00257C50">
        <w:rPr>
          <w:rFonts w:eastAsia="Arial"/>
          <w:lang w:val="en-US"/>
        </w:rPr>
        <w:t xml:space="preserve"> % of patients who met the diagnostic criteria with </w:t>
      </w:r>
      <w:r w:rsidR="00077251" w:rsidRPr="00257C50">
        <w:rPr>
          <w:rFonts w:eastAsia="Arial"/>
          <w:lang w:val="en-US"/>
        </w:rPr>
        <w:t>preeclampsia were detected, 0.57</w:t>
      </w:r>
      <w:r w:rsidRPr="00257C50">
        <w:rPr>
          <w:rFonts w:eastAsia="Arial"/>
          <w:lang w:val="en-US"/>
        </w:rPr>
        <w:t xml:space="preserve"> % as a candidate </w:t>
      </w:r>
      <w:r w:rsidR="00077251" w:rsidRPr="00257C50">
        <w:rPr>
          <w:rFonts w:eastAsia="Arial"/>
          <w:lang w:val="en-US"/>
        </w:rPr>
        <w:t>to acquire the disease and 98.29</w:t>
      </w:r>
      <w:r w:rsidRPr="00471347">
        <w:rPr>
          <w:rFonts w:eastAsia="Arial"/>
          <w:lang w:val="en-US"/>
        </w:rPr>
        <w:t xml:space="preserve"> % as normal patients.</w:t>
      </w:r>
    </w:p>
    <w:p w14:paraId="54EA0148" w14:textId="1FB0772E" w:rsidR="00E27833" w:rsidRDefault="00E27833" w:rsidP="00E27833">
      <w:pPr>
        <w:pStyle w:val="HTMLconformatoprevio"/>
        <w:spacing w:line="360" w:lineRule="auto"/>
        <w:jc w:val="both"/>
        <w:rPr>
          <w:rFonts w:ascii="Times New Roman" w:hAnsi="Times New Roman" w:cs="Times New Roman"/>
          <w:sz w:val="24"/>
          <w:szCs w:val="24"/>
          <w:lang w:val="en"/>
        </w:rPr>
      </w:pPr>
      <w:r w:rsidRPr="00471347">
        <w:rPr>
          <w:rFonts w:ascii="Calibri" w:hAnsi="Calibri" w:cs="Calibri"/>
          <w:b/>
          <w:color w:val="000000" w:themeColor="text1"/>
          <w:sz w:val="28"/>
          <w:szCs w:val="28"/>
          <w:lang w:val="en-US" w:eastAsia="es-ES"/>
        </w:rPr>
        <w:t>Keywords:</w:t>
      </w:r>
      <w:r w:rsidRPr="005232BE">
        <w:rPr>
          <w:rFonts w:ascii="Times New Roman" w:hAnsi="Times New Roman" w:cs="Times New Roman"/>
          <w:sz w:val="24"/>
          <w:szCs w:val="24"/>
          <w:lang w:val="en"/>
        </w:rPr>
        <w:t xml:space="preserve"> </w:t>
      </w:r>
      <w:r>
        <w:rPr>
          <w:rFonts w:ascii="Times New Roman" w:hAnsi="Times New Roman" w:cs="Times New Roman"/>
          <w:sz w:val="24"/>
          <w:szCs w:val="24"/>
          <w:lang w:val="en"/>
        </w:rPr>
        <w:t>B</w:t>
      </w:r>
      <w:r w:rsidRPr="00A45D9D">
        <w:rPr>
          <w:rFonts w:ascii="Times New Roman" w:hAnsi="Times New Roman" w:cs="Times New Roman"/>
          <w:sz w:val="24"/>
          <w:szCs w:val="24"/>
          <w:lang w:val="en"/>
        </w:rPr>
        <w:t>lood pressure, BMI</w:t>
      </w:r>
      <w:r w:rsidRPr="00BD1155">
        <w:rPr>
          <w:rFonts w:ascii="Times New Roman" w:hAnsi="Times New Roman" w:cs="Times New Roman"/>
          <w:sz w:val="24"/>
          <w:szCs w:val="24"/>
          <w:lang w:val="en"/>
        </w:rPr>
        <w:t xml:space="preserve">, </w:t>
      </w:r>
      <w:r w:rsidR="00BD1155" w:rsidRPr="00BD1155">
        <w:rPr>
          <w:rFonts w:ascii="Times New Roman" w:hAnsi="Times New Roman" w:cs="Times New Roman"/>
          <w:sz w:val="24"/>
          <w:szCs w:val="24"/>
          <w:lang w:val="en"/>
        </w:rPr>
        <w:t>d</w:t>
      </w:r>
      <w:r w:rsidRPr="00BD1155">
        <w:rPr>
          <w:rFonts w:ascii="Times New Roman" w:hAnsi="Times New Roman" w:cs="Times New Roman"/>
          <w:sz w:val="24"/>
          <w:szCs w:val="24"/>
          <w:lang w:val="en"/>
        </w:rPr>
        <w:t>yslipidemias</w:t>
      </w:r>
      <w:r>
        <w:rPr>
          <w:rFonts w:ascii="Times New Roman" w:hAnsi="Times New Roman" w:cs="Times New Roman"/>
          <w:sz w:val="24"/>
          <w:szCs w:val="24"/>
          <w:lang w:val="en"/>
        </w:rPr>
        <w:t xml:space="preserve">, </w:t>
      </w:r>
      <w:r w:rsidRPr="00CB5204">
        <w:rPr>
          <w:rFonts w:ascii="Times New Roman" w:hAnsi="Times New Roman" w:cs="Times New Roman"/>
          <w:sz w:val="24"/>
          <w:szCs w:val="24"/>
          <w:lang w:val="en"/>
        </w:rPr>
        <w:t>95th percentile</w:t>
      </w:r>
      <w:r>
        <w:rPr>
          <w:rFonts w:ascii="Times New Roman" w:hAnsi="Times New Roman" w:cs="Times New Roman"/>
          <w:sz w:val="24"/>
          <w:szCs w:val="24"/>
          <w:lang w:val="en"/>
        </w:rPr>
        <w:t>, preeclampsia.</w:t>
      </w:r>
      <w:r w:rsidRPr="00A45D9D">
        <w:rPr>
          <w:rFonts w:ascii="Times New Roman" w:hAnsi="Times New Roman" w:cs="Times New Roman"/>
          <w:sz w:val="24"/>
          <w:szCs w:val="24"/>
          <w:lang w:val="en"/>
        </w:rPr>
        <w:t xml:space="preserve"> </w:t>
      </w:r>
    </w:p>
    <w:p w14:paraId="390EA399" w14:textId="01A70325" w:rsidR="001F4CEE" w:rsidRDefault="001F4CEE" w:rsidP="00E27833">
      <w:pPr>
        <w:pStyle w:val="HTMLconformatoprevio"/>
        <w:spacing w:line="360" w:lineRule="auto"/>
        <w:jc w:val="both"/>
        <w:rPr>
          <w:rFonts w:ascii="Times New Roman" w:hAnsi="Times New Roman" w:cs="Times New Roman"/>
          <w:sz w:val="24"/>
          <w:szCs w:val="24"/>
          <w:lang w:val="en-US"/>
        </w:rPr>
      </w:pPr>
    </w:p>
    <w:p w14:paraId="7F305EC1" w14:textId="62A91386" w:rsidR="001F4CEE" w:rsidRPr="001F4CEE" w:rsidRDefault="001F4CEE" w:rsidP="00E27833">
      <w:pPr>
        <w:pStyle w:val="HTMLconformatoprevio"/>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Resumo</w:t>
      </w:r>
    </w:p>
    <w:p w14:paraId="04E63E3C" w14:textId="77777777" w:rsidR="001F4CEE" w:rsidRPr="00471347" w:rsidRDefault="001F4CEE" w:rsidP="001F4CEE">
      <w:pPr>
        <w:pStyle w:val="HTMLconformatoprevio"/>
        <w:spacing w:line="360" w:lineRule="auto"/>
        <w:jc w:val="both"/>
        <w:rPr>
          <w:rFonts w:ascii="Times New Roman" w:hAnsi="Times New Roman" w:cs="Times New Roman"/>
          <w:sz w:val="24"/>
          <w:szCs w:val="24"/>
        </w:rPr>
      </w:pPr>
      <w:r w:rsidRPr="00471347">
        <w:rPr>
          <w:rFonts w:ascii="Times New Roman" w:hAnsi="Times New Roman" w:cs="Times New Roman"/>
          <w:sz w:val="24"/>
          <w:szCs w:val="24"/>
        </w:rPr>
        <w:t>A pré-eclâmpsia (PE) é uma doença multissistêmica e multifatorial, é uma das complicações médicas mais comuns e perigosas na gravidez. No México, a morte por pré-eclâmpsia aumentou de 22% para 33%, razão pela qual ainda é considerada a primeira causa de morte materna. Identificar os parâmetros sociodemográficos, antropométricos e bioquímicos que influenciam a gravidez eo início da pré-eclâmpsia em mulheres grávidas que frequentam o Hospital Geral Dr. Raymundo Abarca Alarcón (HGRAA) em Chilpancingo, Guerrero, México. Um estudo transversal foi realizado em mulheres grávidas monitoradas durante o período de julho de 2016 - junho de 2017. Os pacientes com gravidez mais de 20 semanas de gravidez, aparentemente saudáveis. Medidas antropométricas, medidas de pressão arterial, respostas a pesquisas aplicadas a pacientes e coleta de amostras para a determinação de parâmetros bioquímicos e celulares foram obtidas.</w:t>
      </w:r>
    </w:p>
    <w:p w14:paraId="0FEE2658" w14:textId="708383A1" w:rsidR="001F4CEE" w:rsidRPr="00257C50" w:rsidRDefault="001F4CEE" w:rsidP="001F4CEE">
      <w:pPr>
        <w:pStyle w:val="HTMLconformatoprevio"/>
        <w:spacing w:line="360" w:lineRule="auto"/>
        <w:jc w:val="both"/>
        <w:rPr>
          <w:rFonts w:ascii="Times New Roman" w:hAnsi="Times New Roman" w:cs="Times New Roman"/>
          <w:sz w:val="24"/>
          <w:szCs w:val="24"/>
        </w:rPr>
      </w:pPr>
      <w:r w:rsidRPr="00471347">
        <w:rPr>
          <w:rFonts w:ascii="Times New Roman" w:hAnsi="Times New Roman" w:cs="Times New Roman"/>
          <w:sz w:val="24"/>
          <w:szCs w:val="24"/>
        </w:rPr>
        <w:lastRenderedPageBreak/>
        <w:t xml:space="preserve">os níveis de colesterol que variam 99-443 mg / </w:t>
      </w:r>
      <w:r w:rsidR="00BD1155" w:rsidRPr="00471347">
        <w:rPr>
          <w:rFonts w:ascii="Times New Roman" w:hAnsi="Times New Roman" w:cs="Times New Roman"/>
          <w:sz w:val="24"/>
          <w:szCs w:val="24"/>
        </w:rPr>
        <w:t>dL</w:t>
      </w:r>
      <w:r w:rsidRPr="00471347">
        <w:rPr>
          <w:rFonts w:ascii="Times New Roman" w:hAnsi="Times New Roman" w:cs="Times New Roman"/>
          <w:sz w:val="24"/>
          <w:szCs w:val="24"/>
        </w:rPr>
        <w:t xml:space="preserve"> e triglicidos variando 80-532 mg / dL, 3,58% de glucose tinha basal anormalmente elevados foram encontrados, bem como 28,92% dos pacientes tiveram curvas anormais com pós-prandial de glucose e 38,33% dos pacientes apre</w:t>
      </w:r>
      <w:r w:rsidR="00077251" w:rsidRPr="00471347">
        <w:rPr>
          <w:rFonts w:ascii="Times New Roman" w:hAnsi="Times New Roman" w:cs="Times New Roman"/>
          <w:sz w:val="24"/>
          <w:szCs w:val="24"/>
        </w:rPr>
        <w:t xml:space="preserve">sentavam baixo </w:t>
      </w:r>
      <w:r w:rsidR="00077251" w:rsidRPr="00257C50">
        <w:rPr>
          <w:rFonts w:ascii="Times New Roman" w:hAnsi="Times New Roman" w:cs="Times New Roman"/>
          <w:sz w:val="24"/>
          <w:szCs w:val="24"/>
        </w:rPr>
        <w:t xml:space="preserve">hematócrito. 1,14 </w:t>
      </w:r>
      <w:r w:rsidRPr="00257C50">
        <w:rPr>
          <w:rFonts w:ascii="Times New Roman" w:hAnsi="Times New Roman" w:cs="Times New Roman"/>
          <w:sz w:val="24"/>
          <w:szCs w:val="24"/>
        </w:rPr>
        <w:t xml:space="preserve">% dos pacientes que preenchem os critérios de diagnóstico de pré-eclâmpsia, foi detectado </w:t>
      </w:r>
      <w:r w:rsidR="00077251" w:rsidRPr="00257C50">
        <w:rPr>
          <w:rFonts w:ascii="Times New Roman" w:hAnsi="Times New Roman" w:cs="Times New Roman"/>
          <w:sz w:val="24"/>
          <w:szCs w:val="24"/>
        </w:rPr>
        <w:t xml:space="preserve">0,57 </w:t>
      </w:r>
      <w:r w:rsidRPr="00257C50">
        <w:rPr>
          <w:rFonts w:ascii="Times New Roman" w:hAnsi="Times New Roman" w:cs="Times New Roman"/>
          <w:sz w:val="24"/>
          <w:szCs w:val="24"/>
        </w:rPr>
        <w:t>% como um candi</w:t>
      </w:r>
      <w:r w:rsidR="00077251" w:rsidRPr="00257C50">
        <w:rPr>
          <w:rFonts w:ascii="Times New Roman" w:hAnsi="Times New Roman" w:cs="Times New Roman"/>
          <w:sz w:val="24"/>
          <w:szCs w:val="24"/>
        </w:rPr>
        <w:t xml:space="preserve">dato a adquirir a doença e 98.29 </w:t>
      </w:r>
      <w:r w:rsidRPr="00257C50">
        <w:rPr>
          <w:rFonts w:ascii="Times New Roman" w:hAnsi="Times New Roman" w:cs="Times New Roman"/>
          <w:sz w:val="24"/>
          <w:szCs w:val="24"/>
        </w:rPr>
        <w:t>% em pacientes normais.</w:t>
      </w:r>
    </w:p>
    <w:p w14:paraId="0B5EF96A" w14:textId="3E41A754" w:rsidR="001F4CEE" w:rsidRPr="00471347" w:rsidRDefault="001F4CEE" w:rsidP="001F4CEE">
      <w:pPr>
        <w:pStyle w:val="HTMLconformatoprevio"/>
        <w:spacing w:line="360" w:lineRule="auto"/>
        <w:jc w:val="both"/>
        <w:rPr>
          <w:rFonts w:ascii="Times New Roman" w:hAnsi="Times New Roman" w:cs="Times New Roman"/>
          <w:sz w:val="24"/>
          <w:szCs w:val="24"/>
        </w:rPr>
      </w:pPr>
      <w:proofErr w:type="spellStart"/>
      <w:r w:rsidRPr="00257C50">
        <w:rPr>
          <w:rFonts w:ascii="Calibri" w:hAnsi="Calibri" w:cs="Calibri"/>
          <w:b/>
          <w:color w:val="000000" w:themeColor="text1"/>
          <w:sz w:val="28"/>
          <w:szCs w:val="28"/>
          <w:lang w:val="es-ES" w:eastAsia="es-ES"/>
        </w:rPr>
        <w:t>Palavras</w:t>
      </w:r>
      <w:proofErr w:type="spellEnd"/>
      <w:r w:rsidRPr="00257C50">
        <w:rPr>
          <w:rFonts w:ascii="Calibri" w:hAnsi="Calibri" w:cs="Calibri"/>
          <w:b/>
          <w:color w:val="000000" w:themeColor="text1"/>
          <w:sz w:val="28"/>
          <w:szCs w:val="28"/>
          <w:lang w:val="es-ES" w:eastAsia="es-ES"/>
        </w:rPr>
        <w:t>-chave:</w:t>
      </w:r>
      <w:r w:rsidRPr="00257C50">
        <w:rPr>
          <w:rFonts w:ascii="Times New Roman" w:hAnsi="Times New Roman" w:cs="Times New Roman"/>
          <w:sz w:val="24"/>
          <w:szCs w:val="24"/>
        </w:rPr>
        <w:t xml:space="preserve"> Dislipidemias, IMC, percentil 95, pré-eclâmpsia, pressão</w:t>
      </w:r>
      <w:r w:rsidRPr="00471347">
        <w:rPr>
          <w:rFonts w:ascii="Times New Roman" w:hAnsi="Times New Roman" w:cs="Times New Roman"/>
          <w:sz w:val="24"/>
          <w:szCs w:val="24"/>
        </w:rPr>
        <w:t xml:space="preserve"> arterial.</w:t>
      </w:r>
    </w:p>
    <w:p w14:paraId="7567DCC1" w14:textId="77777777" w:rsidR="001F4CEE" w:rsidRPr="00EE1BD6" w:rsidRDefault="001F4CEE" w:rsidP="001F4CEE">
      <w:pPr>
        <w:spacing w:line="360" w:lineRule="auto"/>
        <w:jc w:val="both"/>
        <w:rPr>
          <w:rFonts w:eastAsia="Calibri"/>
        </w:rPr>
      </w:pPr>
      <w:r w:rsidRPr="00DA3479">
        <w:rPr>
          <w:rFonts w:eastAsia="Calibri"/>
          <w:b/>
          <w:color w:val="000000" w:themeColor="text1"/>
          <w:lang w:val="es-ES"/>
        </w:rPr>
        <w:t>Fecha recepción:</w:t>
      </w:r>
      <w:r w:rsidRPr="00DA3479">
        <w:rPr>
          <w:rFonts w:eastAsia="Calibri"/>
          <w:color w:val="000000" w:themeColor="text1"/>
          <w:lang w:val="es-ES"/>
        </w:rPr>
        <w:t xml:space="preserve">     </w:t>
      </w:r>
      <w:proofErr w:type="gramStart"/>
      <w:r>
        <w:rPr>
          <w:rFonts w:eastAsia="Calibri"/>
          <w:color w:val="000000" w:themeColor="text1"/>
          <w:lang w:val="es-ES"/>
        </w:rPr>
        <w:t>Septiembre</w:t>
      </w:r>
      <w:proofErr w:type="gramEnd"/>
      <w:r w:rsidRPr="00DA3479">
        <w:rPr>
          <w:rFonts w:eastAsia="Calibri"/>
          <w:color w:val="000000" w:themeColor="text1"/>
          <w:lang w:val="es-ES"/>
        </w:rPr>
        <w:t xml:space="preserve"> 2017     </w:t>
      </w:r>
      <w:r>
        <w:rPr>
          <w:rFonts w:eastAsia="Calibri"/>
          <w:color w:val="000000" w:themeColor="text1"/>
          <w:lang w:val="es-ES"/>
        </w:rPr>
        <w:t xml:space="preserve">                       </w:t>
      </w:r>
      <w:r w:rsidRPr="00DA3479">
        <w:rPr>
          <w:rFonts w:eastAsia="Calibri"/>
          <w:b/>
          <w:color w:val="000000" w:themeColor="text1"/>
          <w:lang w:val="es-ES"/>
        </w:rPr>
        <w:t>Fecha aceptación:</w:t>
      </w:r>
      <w:r w:rsidRPr="00DA3479">
        <w:rPr>
          <w:rFonts w:eastAsia="Calibri"/>
          <w:color w:val="000000" w:themeColor="text1"/>
          <w:lang w:val="es-ES"/>
        </w:rPr>
        <w:t xml:space="preserve"> Diciembre 2017</w:t>
      </w:r>
      <w:r w:rsidR="007D47FB">
        <w:rPr>
          <w:noProof/>
        </w:rPr>
        <w:pict w14:anchorId="5B45F22B">
          <v:rect id="_x0000_i1025" alt="" style="width:470.2pt;height:.05pt;mso-width-percent:0;mso-height-percent:0;mso-width-percent:0;mso-height-percent:0" o:hralign="center" o:hrstd="t" o:hr="t" fillcolor="#a0a0a0" stroked="f"/>
        </w:pict>
      </w:r>
    </w:p>
    <w:p w14:paraId="30400AAA" w14:textId="77777777" w:rsidR="00E27833" w:rsidRPr="00471347" w:rsidRDefault="00E27833" w:rsidP="00E27833">
      <w:pPr>
        <w:spacing w:line="360" w:lineRule="auto"/>
        <w:jc w:val="both"/>
        <w:rPr>
          <w:rFonts w:eastAsia="Arial"/>
        </w:rPr>
      </w:pPr>
    </w:p>
    <w:p w14:paraId="4EC4198E" w14:textId="77777777" w:rsidR="002008F5" w:rsidRPr="00471347" w:rsidRDefault="002008F5" w:rsidP="00F5444E">
      <w:pPr>
        <w:spacing w:line="360" w:lineRule="auto"/>
        <w:jc w:val="both"/>
        <w:rPr>
          <w:rFonts w:eastAsia="Arial"/>
          <w:b/>
        </w:rPr>
      </w:pPr>
    </w:p>
    <w:p w14:paraId="5EDBA9B0" w14:textId="1D293F56" w:rsidR="00E27833" w:rsidRPr="001F4CEE" w:rsidRDefault="009117B6" w:rsidP="0097034C">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Introducción</w:t>
      </w:r>
    </w:p>
    <w:p w14:paraId="5A528B30" w14:textId="09C396F5" w:rsidR="002533ED" w:rsidRDefault="002533ED" w:rsidP="0097034C">
      <w:pPr>
        <w:spacing w:line="360" w:lineRule="auto"/>
        <w:jc w:val="both"/>
        <w:rPr>
          <w:rFonts w:eastAsia="Arial"/>
          <w:lang w:val="es-ES"/>
        </w:rPr>
      </w:pPr>
      <w:r w:rsidRPr="009E1D70">
        <w:rPr>
          <w:rFonts w:eastAsia="Arial"/>
          <w:lang w:val="es-ES"/>
        </w:rPr>
        <w:t>La preeclampsia (PE) es una enfermedad multisistémica y multifactorial, caracterizada por la aparición de hiper</w:t>
      </w:r>
      <w:r w:rsidR="00A37F44" w:rsidRPr="009E1D70">
        <w:rPr>
          <w:rFonts w:eastAsia="Arial"/>
          <w:lang w:val="es-ES"/>
        </w:rPr>
        <w:t>tensión y proteinuria después</w:t>
      </w:r>
      <w:r w:rsidRPr="009E1D70">
        <w:rPr>
          <w:rFonts w:eastAsia="Arial"/>
          <w:lang w:val="es-ES"/>
        </w:rPr>
        <w:t xml:space="preserve"> de las 20 semanas de gestación </w:t>
      </w:r>
      <w:r w:rsidR="00024F68" w:rsidRPr="009E1D70">
        <w:rPr>
          <w:rFonts w:eastAsia="Arial"/>
          <w:lang w:val="es-ES"/>
        </w:rPr>
        <w:t>(</w:t>
      </w:r>
      <w:proofErr w:type="spellStart"/>
      <w:r w:rsidR="00024F68" w:rsidRPr="009E1D70">
        <w:rPr>
          <w:rFonts w:eastAsia="Arial"/>
          <w:lang w:val="es-ES"/>
        </w:rPr>
        <w:t>Carputo</w:t>
      </w:r>
      <w:proofErr w:type="spellEnd"/>
      <w:r w:rsidR="00024F68" w:rsidRPr="009E1D70">
        <w:rPr>
          <w:rFonts w:eastAsia="Arial"/>
          <w:lang w:val="es-ES"/>
        </w:rPr>
        <w:t xml:space="preserve"> y Barranco, </w:t>
      </w:r>
      <w:r w:rsidRPr="009E1D70">
        <w:rPr>
          <w:rFonts w:eastAsia="Arial"/>
          <w:lang w:val="es-ES"/>
        </w:rPr>
        <w:t xml:space="preserve">2013). </w:t>
      </w:r>
      <w:r w:rsidR="0034313D" w:rsidRPr="009E1D70">
        <w:rPr>
          <w:rFonts w:eastAsia="Arial"/>
          <w:lang w:val="es-ES"/>
        </w:rPr>
        <w:t xml:space="preserve">Es una de las complicaciones médicas más comunes y peligrosas en el embarazo </w:t>
      </w:r>
      <w:r w:rsidR="00AC07B2" w:rsidRPr="009E1D70">
        <w:rPr>
          <w:rFonts w:eastAsia="Arial"/>
          <w:lang w:val="es-ES"/>
        </w:rPr>
        <w:t>(</w:t>
      </w:r>
      <w:r w:rsidR="0034313D" w:rsidRPr="009E1D70">
        <w:rPr>
          <w:rFonts w:eastAsia="Arial"/>
          <w:lang w:val="es-ES"/>
        </w:rPr>
        <w:t>Schmidt, Christensen</w:t>
      </w:r>
      <w:r w:rsidR="00AD7B2A" w:rsidRPr="009E1D70">
        <w:rPr>
          <w:rFonts w:eastAsia="Arial"/>
          <w:lang w:val="es-ES"/>
        </w:rPr>
        <w:t xml:space="preserve"> &amp;</w:t>
      </w:r>
      <w:r w:rsidR="00AC07B2" w:rsidRPr="009E1D70">
        <w:rPr>
          <w:rFonts w:eastAsia="Arial"/>
          <w:lang w:val="es-ES"/>
        </w:rPr>
        <w:t xml:space="preserve"> Knudsen, 2017).</w:t>
      </w:r>
      <w:r w:rsidR="0034313D" w:rsidRPr="009E1D70">
        <w:rPr>
          <w:rFonts w:eastAsia="Arial"/>
          <w:lang w:val="es-ES"/>
        </w:rPr>
        <w:t xml:space="preserve">  </w:t>
      </w:r>
      <w:r w:rsidRPr="009E1D70">
        <w:rPr>
          <w:rFonts w:eastAsia="Arial"/>
          <w:lang w:val="es-ES"/>
        </w:rPr>
        <w:t>Afecta del 3 al 10</w:t>
      </w:r>
      <w:r w:rsidR="00E27833">
        <w:rPr>
          <w:rFonts w:eastAsia="Arial"/>
          <w:lang w:val="es-ES"/>
        </w:rPr>
        <w:t xml:space="preserve"> </w:t>
      </w:r>
      <w:r w:rsidRPr="009E1D70">
        <w:rPr>
          <w:rFonts w:eastAsia="Arial"/>
          <w:lang w:val="es-ES"/>
        </w:rPr>
        <w:t xml:space="preserve">% de las gestaciones en todo el mundo y se asocia a una importante morbimortalidad tanto materna como </w:t>
      </w:r>
      <w:r w:rsidRPr="0037499A">
        <w:rPr>
          <w:rFonts w:eastAsia="Arial"/>
          <w:lang w:val="es-ES"/>
        </w:rPr>
        <w:t xml:space="preserve">fetal </w:t>
      </w:r>
      <w:r w:rsidR="005621B0" w:rsidRPr="0037499A">
        <w:rPr>
          <w:rFonts w:eastAsia="Arial"/>
          <w:lang w:val="es-ES"/>
        </w:rPr>
        <w:t>(Álvarez,</w:t>
      </w:r>
      <w:r w:rsidR="005621B0" w:rsidRPr="009E1D70">
        <w:rPr>
          <w:rFonts w:eastAsia="Arial"/>
          <w:lang w:val="es-ES"/>
        </w:rPr>
        <w:t xml:space="preserve"> Prieto y</w:t>
      </w:r>
      <w:r w:rsidRPr="009E1D70">
        <w:rPr>
          <w:rFonts w:eastAsia="Arial"/>
          <w:lang w:val="es-ES"/>
        </w:rPr>
        <w:t xml:space="preserve"> Álvarez, 2016).</w:t>
      </w:r>
    </w:p>
    <w:p w14:paraId="752F05B7" w14:textId="6D781A1B" w:rsidR="00E27833" w:rsidRPr="009E1D70" w:rsidRDefault="00E27833" w:rsidP="00BE552E">
      <w:pPr>
        <w:spacing w:line="360" w:lineRule="auto"/>
        <w:jc w:val="both"/>
        <w:rPr>
          <w:rFonts w:eastAsia="Arial"/>
          <w:lang w:val="es-ES"/>
        </w:rPr>
      </w:pPr>
      <w:r w:rsidRPr="009E1D70">
        <w:rPr>
          <w:rFonts w:eastAsia="Arial"/>
          <w:lang w:val="es-ES"/>
        </w:rPr>
        <w:t>En México la muerte por preeclampsia se ha incrementado de 22</w:t>
      </w:r>
      <w:r>
        <w:rPr>
          <w:rFonts w:eastAsia="Arial"/>
          <w:lang w:val="es-ES"/>
        </w:rPr>
        <w:t xml:space="preserve"> </w:t>
      </w:r>
      <w:r w:rsidRPr="009E1D70">
        <w:rPr>
          <w:rFonts w:eastAsia="Arial"/>
          <w:lang w:val="es-ES"/>
        </w:rPr>
        <w:t>% a 33</w:t>
      </w:r>
      <w:r>
        <w:rPr>
          <w:rFonts w:eastAsia="Arial"/>
          <w:lang w:val="es-ES"/>
        </w:rPr>
        <w:t xml:space="preserve"> </w:t>
      </w:r>
      <w:r w:rsidRPr="009E1D70">
        <w:rPr>
          <w:rFonts w:eastAsia="Arial"/>
          <w:lang w:val="es-ES"/>
        </w:rPr>
        <w:t>%, por lo que aún es considerada la primera causa de muerte materna (López, Manríquez, Gálvez y Ramírez,</w:t>
      </w:r>
      <w:r>
        <w:rPr>
          <w:rFonts w:eastAsia="Arial"/>
          <w:lang w:val="es-ES"/>
        </w:rPr>
        <w:t xml:space="preserve"> 2012). </w:t>
      </w:r>
      <w:r w:rsidRPr="009E1D70">
        <w:rPr>
          <w:rFonts w:eastAsia="Arial"/>
          <w:lang w:val="es-ES"/>
        </w:rPr>
        <w:t>La mayoría de los casos de preeclampsia ocurren en gestantes saludables. Por ello es importante establecer los factores de riesgo que pueden influir en el desarrollo de esta patología (Torres, 2016).</w:t>
      </w:r>
      <w:r>
        <w:rPr>
          <w:rFonts w:eastAsia="Arial"/>
          <w:lang w:val="es-ES"/>
        </w:rPr>
        <w:t xml:space="preserve"> </w:t>
      </w:r>
      <w:r w:rsidRPr="009E1D70">
        <w:rPr>
          <w:rFonts w:eastAsia="Arial"/>
          <w:lang w:val="es-ES"/>
        </w:rPr>
        <w:t>Los factores de riesgo</w:t>
      </w:r>
      <w:r>
        <w:rPr>
          <w:rFonts w:eastAsia="Arial"/>
          <w:lang w:val="es-ES"/>
        </w:rPr>
        <w:t xml:space="preserve"> para el desarrollo de</w:t>
      </w:r>
      <w:r w:rsidRPr="009E1D70">
        <w:rPr>
          <w:rFonts w:eastAsia="Arial"/>
          <w:lang w:val="es-ES"/>
        </w:rPr>
        <w:t xml:space="preserve"> preeclampsia incluyen hipertensión crónica, diabetes, la edad materna, obesidad, antecedentes de preeclampsia, trombofilias, trastorno autoinmune, enfermedad vascular (</w:t>
      </w:r>
      <w:proofErr w:type="spellStart"/>
      <w:r w:rsidRPr="009E1D70">
        <w:rPr>
          <w:rFonts w:eastAsia="Arial"/>
          <w:lang w:val="es-ES"/>
        </w:rPr>
        <w:t>Jadli</w:t>
      </w:r>
      <w:proofErr w:type="spellEnd"/>
      <w:r w:rsidRPr="009E1D70">
        <w:rPr>
          <w:rFonts w:eastAsia="Arial"/>
          <w:lang w:val="es-ES"/>
        </w:rPr>
        <w:t xml:space="preserve">, Sharma, </w:t>
      </w:r>
      <w:proofErr w:type="spellStart"/>
      <w:r w:rsidRPr="009E1D70">
        <w:rPr>
          <w:rFonts w:eastAsia="Arial"/>
          <w:lang w:val="es-ES"/>
        </w:rPr>
        <w:t>Damania</w:t>
      </w:r>
      <w:proofErr w:type="spellEnd"/>
      <w:r w:rsidRPr="009E1D70">
        <w:rPr>
          <w:rFonts w:eastAsia="Arial"/>
          <w:lang w:val="es-ES"/>
        </w:rPr>
        <w:t xml:space="preserve">, </w:t>
      </w:r>
      <w:proofErr w:type="spellStart"/>
      <w:r w:rsidRPr="009E1D70">
        <w:rPr>
          <w:rFonts w:eastAsia="Arial"/>
          <w:lang w:val="es-ES"/>
        </w:rPr>
        <w:t>Satoskar</w:t>
      </w:r>
      <w:proofErr w:type="spellEnd"/>
      <w:r w:rsidRPr="009E1D70">
        <w:rPr>
          <w:rFonts w:eastAsia="Arial"/>
          <w:lang w:val="es-ES"/>
        </w:rPr>
        <w:t xml:space="preserve">, </w:t>
      </w:r>
      <w:proofErr w:type="spellStart"/>
      <w:r w:rsidRPr="009E1D70">
        <w:rPr>
          <w:rFonts w:eastAsia="Arial"/>
          <w:lang w:val="es-ES"/>
        </w:rPr>
        <w:t>Bansal</w:t>
      </w:r>
      <w:proofErr w:type="spellEnd"/>
      <w:r w:rsidRPr="009E1D70">
        <w:rPr>
          <w:rFonts w:eastAsia="Arial"/>
          <w:lang w:val="es-ES"/>
        </w:rPr>
        <w:t xml:space="preserve">, Ghosh &amp; </w:t>
      </w:r>
      <w:proofErr w:type="spellStart"/>
      <w:r w:rsidRPr="009E1D70">
        <w:rPr>
          <w:rFonts w:eastAsia="Arial"/>
          <w:lang w:val="es-ES"/>
        </w:rPr>
        <w:t>Shetty</w:t>
      </w:r>
      <w:proofErr w:type="spellEnd"/>
      <w:r w:rsidRPr="009E1D70">
        <w:rPr>
          <w:rFonts w:eastAsia="Arial"/>
          <w:lang w:val="es-ES"/>
        </w:rPr>
        <w:t>, 2015).</w:t>
      </w:r>
    </w:p>
    <w:p w14:paraId="479189F3" w14:textId="77777777" w:rsidR="00E27833" w:rsidRPr="009E1D70" w:rsidRDefault="00E27833" w:rsidP="0097034C">
      <w:pPr>
        <w:spacing w:line="360" w:lineRule="auto"/>
        <w:jc w:val="both"/>
        <w:rPr>
          <w:rFonts w:eastAsia="Arial"/>
          <w:lang w:val="es-ES"/>
        </w:rPr>
      </w:pPr>
    </w:p>
    <w:p w14:paraId="205B86EC" w14:textId="136A78DD" w:rsidR="00E27833" w:rsidRPr="009E1D70" w:rsidRDefault="00E27833" w:rsidP="00BE552E">
      <w:pPr>
        <w:spacing w:line="360" w:lineRule="auto"/>
        <w:jc w:val="both"/>
        <w:rPr>
          <w:rFonts w:eastAsia="Arial"/>
          <w:color w:val="0D0D0D" w:themeColor="text1" w:themeTint="F2"/>
          <w:sz w:val="32"/>
        </w:rPr>
      </w:pPr>
      <w:r w:rsidRPr="009E1D70">
        <w:rPr>
          <w:color w:val="0D0D0D" w:themeColor="text1" w:themeTint="F2"/>
          <w:shd w:val="clear" w:color="auto" w:fill="FFFFFF"/>
        </w:rPr>
        <w:t>La edad se convierte en un factor de riesgo para la preeclampsia-eclampsia c</w:t>
      </w:r>
      <w:r>
        <w:rPr>
          <w:color w:val="0D0D0D" w:themeColor="text1" w:themeTint="F2"/>
          <w:shd w:val="clear" w:color="auto" w:fill="FFFFFF"/>
        </w:rPr>
        <w:t>uando se presenta el embarazo durante</w:t>
      </w:r>
      <w:r w:rsidRPr="009E1D70">
        <w:rPr>
          <w:color w:val="0D0D0D" w:themeColor="text1" w:themeTint="F2"/>
          <w:shd w:val="clear" w:color="auto" w:fill="FFFFFF"/>
        </w:rPr>
        <w:t xml:space="preserve"> la adolescencia y la edad materna avanzada (Valdés y Hernández, 2014). Sin embargo</w:t>
      </w:r>
      <w:r>
        <w:rPr>
          <w:color w:val="0D0D0D" w:themeColor="text1" w:themeTint="F2"/>
          <w:shd w:val="clear" w:color="auto" w:fill="FFFFFF"/>
        </w:rPr>
        <w:t>,</w:t>
      </w:r>
      <w:r w:rsidRPr="009E1D70">
        <w:rPr>
          <w:color w:val="0D0D0D" w:themeColor="text1" w:themeTint="F2"/>
          <w:shd w:val="clear" w:color="auto" w:fill="FFFFFF"/>
        </w:rPr>
        <w:t xml:space="preserve"> también el antecedente de preeclampsia o hipertensión en embarazos anteriores se convierte en un elemento importante en la historia obstétrica de las pacientes (Suárez</w:t>
      </w:r>
      <w:r>
        <w:rPr>
          <w:color w:val="0D0D0D" w:themeColor="text1" w:themeTint="F2"/>
          <w:shd w:val="clear" w:color="auto" w:fill="FFFFFF"/>
        </w:rPr>
        <w:t>, Gutié</w:t>
      </w:r>
      <w:r w:rsidRPr="009E1D70">
        <w:rPr>
          <w:color w:val="0D0D0D" w:themeColor="text1" w:themeTint="F2"/>
          <w:shd w:val="clear" w:color="auto" w:fill="FFFFFF"/>
        </w:rPr>
        <w:t xml:space="preserve">rrez, </w:t>
      </w:r>
      <w:r w:rsidRPr="009E1D70">
        <w:rPr>
          <w:color w:val="0D0D0D" w:themeColor="text1" w:themeTint="F2"/>
          <w:shd w:val="clear" w:color="auto" w:fill="FFFFFF"/>
        </w:rPr>
        <w:lastRenderedPageBreak/>
        <w:t>Cairo, Marín, Rodríguez y Veítia, 2014). Por lo que</w:t>
      </w:r>
      <w:r>
        <w:rPr>
          <w:color w:val="0D0D0D" w:themeColor="text1" w:themeTint="F2"/>
          <w:shd w:val="clear" w:color="auto" w:fill="FFFFFF"/>
        </w:rPr>
        <w:t xml:space="preserve">, </w:t>
      </w:r>
      <w:r w:rsidRPr="009E1D70">
        <w:rPr>
          <w:color w:val="0D0D0D" w:themeColor="text1" w:themeTint="F2"/>
          <w:shd w:val="clear" w:color="auto" w:fill="FFFFFF"/>
        </w:rPr>
        <w:t xml:space="preserve">20 y 50 % de las gestantes </w:t>
      </w:r>
      <w:r w:rsidRPr="009E1D70">
        <w:rPr>
          <w:color w:val="0D0D0D" w:themeColor="text1" w:themeTint="F2"/>
        </w:rPr>
        <w:t>vuelven a presentar esta enfermedad en su próxima gestación (Huapalla, 2017). Además incrementan el riesgo de futuras enfermedades</w:t>
      </w:r>
      <w:r w:rsidR="00A82E40">
        <w:rPr>
          <w:color w:val="0D0D0D" w:themeColor="text1" w:themeTint="F2"/>
        </w:rPr>
        <w:t xml:space="preserve"> del </w:t>
      </w:r>
      <w:r w:rsidR="00A82E40" w:rsidRPr="00B623D5">
        <w:rPr>
          <w:color w:val="0D0D0D" w:themeColor="text1" w:themeTint="F2"/>
        </w:rPr>
        <w:t>corazón,</w:t>
      </w:r>
      <w:r w:rsidR="00A82E40">
        <w:rPr>
          <w:color w:val="0D0D0D" w:themeColor="text1" w:themeTint="F2"/>
        </w:rPr>
        <w:t xml:space="preserve">  derrame cerebral</w:t>
      </w:r>
      <w:r w:rsidRPr="009E1D70">
        <w:rPr>
          <w:color w:val="0D0D0D" w:themeColor="text1" w:themeTint="F2"/>
        </w:rPr>
        <w:t xml:space="preserve"> y el aumento de riesgo de diabetes </w:t>
      </w:r>
      <w:r w:rsidRPr="009E1D70">
        <w:rPr>
          <w:color w:val="0D0D0D" w:themeColor="text1" w:themeTint="F2"/>
          <w:lang w:val="es-ES"/>
        </w:rPr>
        <w:t xml:space="preserve"> (</w:t>
      </w:r>
      <w:proofErr w:type="spellStart"/>
      <w:r w:rsidRPr="009E1D70">
        <w:rPr>
          <w:color w:val="0D0D0D" w:themeColor="text1" w:themeTint="F2"/>
          <w:lang w:val="es-ES"/>
        </w:rPr>
        <w:t>Seely</w:t>
      </w:r>
      <w:proofErr w:type="spellEnd"/>
      <w:r w:rsidRPr="009E1D70">
        <w:rPr>
          <w:color w:val="0D0D0D" w:themeColor="text1" w:themeTint="F2"/>
          <w:lang w:val="es-ES"/>
        </w:rPr>
        <w:t xml:space="preserve">, </w:t>
      </w:r>
      <w:proofErr w:type="spellStart"/>
      <w:r w:rsidRPr="009E1D70">
        <w:rPr>
          <w:color w:val="0D0D0D" w:themeColor="text1" w:themeTint="F2"/>
          <w:lang w:val="es-ES"/>
        </w:rPr>
        <w:t>Tsigas</w:t>
      </w:r>
      <w:proofErr w:type="spellEnd"/>
      <w:r w:rsidRPr="009E1D70">
        <w:rPr>
          <w:color w:val="0D0D0D" w:themeColor="text1" w:themeTint="F2"/>
          <w:lang w:val="es-ES"/>
        </w:rPr>
        <w:t xml:space="preserve"> </w:t>
      </w:r>
      <w:r w:rsidRPr="009E1D70">
        <w:rPr>
          <w:color w:val="0D0D0D" w:themeColor="text1" w:themeTint="F2"/>
          <w:lang w:val="es-ES"/>
        </w:rPr>
        <w:sym w:font="Symbol" w:char="F026"/>
      </w:r>
      <w:r w:rsidRPr="009E1D70">
        <w:rPr>
          <w:color w:val="0D0D0D" w:themeColor="text1" w:themeTint="F2"/>
          <w:lang w:val="es-ES"/>
        </w:rPr>
        <w:t xml:space="preserve"> </w:t>
      </w:r>
      <w:proofErr w:type="spellStart"/>
      <w:r w:rsidRPr="009E1D70">
        <w:rPr>
          <w:color w:val="0D0D0D" w:themeColor="text1" w:themeTint="F2"/>
          <w:lang w:val="es-ES"/>
        </w:rPr>
        <w:t>Rich</w:t>
      </w:r>
      <w:proofErr w:type="spellEnd"/>
      <w:r w:rsidRPr="009E1D70">
        <w:rPr>
          <w:color w:val="0D0D0D" w:themeColor="text1" w:themeTint="F2"/>
          <w:lang w:val="es-ES"/>
        </w:rPr>
        <w:t xml:space="preserve">, </w:t>
      </w:r>
      <w:r>
        <w:rPr>
          <w:color w:val="0D0D0D" w:themeColor="text1" w:themeTint="F2"/>
          <w:lang w:val="es-ES"/>
        </w:rPr>
        <w:t>2015). E</w:t>
      </w:r>
      <w:r w:rsidRPr="009E1D70">
        <w:rPr>
          <w:color w:val="0D0D0D" w:themeColor="text1" w:themeTint="F2"/>
          <w:lang w:val="es-ES"/>
        </w:rPr>
        <w:t xml:space="preserve">l efecto </w:t>
      </w:r>
      <w:r w:rsidRPr="009E1D70">
        <w:rPr>
          <w:rFonts w:eastAsia="Arial"/>
          <w:color w:val="0D0D0D" w:themeColor="text1" w:themeTint="F2"/>
          <w:lang w:val="es-ES"/>
        </w:rPr>
        <w:t>de la diabetes mellitus sobre el aumento de la incidencia de la preeclampsia probablemente esté relacionado con una variedad de factores que condicionan estrés oxidativo y daño endotelial. (Gutiérrez, 2017).</w:t>
      </w:r>
    </w:p>
    <w:p w14:paraId="37C317EC" w14:textId="142987C4" w:rsidR="00E27833" w:rsidRPr="00BE552E" w:rsidRDefault="00E27833" w:rsidP="005C2D16">
      <w:pPr>
        <w:spacing w:line="360" w:lineRule="auto"/>
        <w:jc w:val="both"/>
        <w:rPr>
          <w:rFonts w:eastAsia="Arial"/>
          <w:color w:val="0D0D0D" w:themeColor="text1" w:themeTint="F2"/>
          <w:lang w:val="es-ES"/>
        </w:rPr>
      </w:pPr>
      <w:r w:rsidRPr="009E1D70">
        <w:rPr>
          <w:rFonts w:eastAsia="Arial"/>
          <w:color w:val="0D0D0D" w:themeColor="text1" w:themeTint="F2"/>
          <w:lang w:val="es-ES"/>
        </w:rPr>
        <w:t>La obesidad es otro factor de riesgo para el desarrollo d</w:t>
      </w:r>
      <w:r w:rsidR="00A82E40">
        <w:rPr>
          <w:rFonts w:eastAsia="Arial"/>
          <w:color w:val="0D0D0D" w:themeColor="text1" w:themeTint="F2"/>
          <w:lang w:val="es-ES"/>
        </w:rPr>
        <w:t xml:space="preserve">e la preeclampsia (Myers, 2017), </w:t>
      </w:r>
      <w:r w:rsidRPr="009E1D70">
        <w:rPr>
          <w:rFonts w:eastAsia="Arial"/>
          <w:color w:val="0D0D0D" w:themeColor="text1" w:themeTint="F2"/>
          <w:lang w:val="es-ES"/>
        </w:rPr>
        <w:t>provoca</w:t>
      </w:r>
      <w:r w:rsidR="00A82E40">
        <w:rPr>
          <w:rFonts w:eastAsia="Arial"/>
          <w:color w:val="0D0D0D" w:themeColor="text1" w:themeTint="F2"/>
          <w:lang w:val="es-ES"/>
        </w:rPr>
        <w:t>ndo</w:t>
      </w:r>
      <w:r w:rsidRPr="009E1D70">
        <w:rPr>
          <w:rFonts w:eastAsia="Arial"/>
          <w:color w:val="0D0D0D" w:themeColor="text1" w:themeTint="F2"/>
          <w:lang w:val="es-ES"/>
        </w:rPr>
        <w:t xml:space="preserve"> una excesiva expansión del volumen sanguíneo y un aumento exagerado del gasto cardíaco, lo que contribuye a elevar la tensión arterial (Sánchez, 2009). Asimismo, mujeres con una ganancia de peso gestacional mayor a la recomendada presentan un incremento en el riesgo de hipertensión asociada con el embarazo (</w:t>
      </w:r>
      <w:proofErr w:type="spellStart"/>
      <w:r w:rsidRPr="009E1D70">
        <w:rPr>
          <w:rFonts w:eastAsia="Arial"/>
          <w:color w:val="0D0D0D" w:themeColor="text1" w:themeTint="F2"/>
          <w:lang w:val="es-ES"/>
        </w:rPr>
        <w:t>Zonana</w:t>
      </w:r>
      <w:proofErr w:type="spellEnd"/>
      <w:r w:rsidRPr="009E1D70">
        <w:rPr>
          <w:rFonts w:eastAsia="Arial"/>
          <w:color w:val="0D0D0D" w:themeColor="text1" w:themeTint="F2"/>
          <w:lang w:val="es-ES"/>
        </w:rPr>
        <w:t>, Baldenebro y Ruiz, 2010). De acuerdo con otro estudio, se le atribuye a la obesidad un riesgo mayúsculo y estadísticamente significativo para el desarrollo del inicio tardío de preeclampsia. (</w:t>
      </w:r>
      <w:proofErr w:type="spellStart"/>
      <w:r w:rsidRPr="009E1D70">
        <w:rPr>
          <w:rFonts w:eastAsia="Arial"/>
          <w:color w:val="0D0D0D" w:themeColor="text1" w:themeTint="F2"/>
          <w:lang w:val="es-ES"/>
        </w:rPr>
        <w:t>Durst</w:t>
      </w:r>
      <w:proofErr w:type="spellEnd"/>
      <w:r w:rsidRPr="009E1D70">
        <w:rPr>
          <w:rFonts w:eastAsia="Arial"/>
          <w:color w:val="0D0D0D" w:themeColor="text1" w:themeTint="F2"/>
          <w:lang w:val="es-ES"/>
        </w:rPr>
        <w:t xml:space="preserve">, </w:t>
      </w:r>
      <w:proofErr w:type="spellStart"/>
      <w:r w:rsidRPr="009E1D70">
        <w:rPr>
          <w:rFonts w:eastAsia="Arial"/>
          <w:color w:val="0D0D0D" w:themeColor="text1" w:themeTint="F2"/>
          <w:lang w:val="es-ES"/>
        </w:rPr>
        <w:t>Tuuli</w:t>
      </w:r>
      <w:proofErr w:type="spellEnd"/>
      <w:r w:rsidRPr="009E1D70">
        <w:rPr>
          <w:rFonts w:eastAsia="Arial"/>
          <w:color w:val="0D0D0D" w:themeColor="text1" w:themeTint="F2"/>
          <w:lang w:val="es-ES"/>
        </w:rPr>
        <w:t xml:space="preserve">, </w:t>
      </w:r>
      <w:proofErr w:type="spellStart"/>
      <w:r w:rsidRPr="009E1D70">
        <w:rPr>
          <w:rFonts w:eastAsia="Arial"/>
          <w:color w:val="0D0D0D" w:themeColor="text1" w:themeTint="F2"/>
          <w:lang w:val="es-ES"/>
        </w:rPr>
        <w:t>Shout</w:t>
      </w:r>
      <w:proofErr w:type="spellEnd"/>
      <w:r w:rsidRPr="009E1D70">
        <w:rPr>
          <w:rFonts w:eastAsia="Arial"/>
          <w:color w:val="0D0D0D" w:themeColor="text1" w:themeTint="F2"/>
          <w:lang w:val="es-ES"/>
        </w:rPr>
        <w:t xml:space="preserve">, </w:t>
      </w:r>
      <w:proofErr w:type="spellStart"/>
      <w:r w:rsidRPr="009E1D70">
        <w:rPr>
          <w:rFonts w:eastAsia="Arial"/>
          <w:color w:val="0D0D0D" w:themeColor="text1" w:themeTint="F2"/>
          <w:lang w:val="es-ES"/>
        </w:rPr>
        <w:t>Macones</w:t>
      </w:r>
      <w:proofErr w:type="spellEnd"/>
      <w:r w:rsidRPr="009E1D70">
        <w:rPr>
          <w:rFonts w:eastAsia="Arial"/>
          <w:color w:val="0D0D0D" w:themeColor="text1" w:themeTint="F2"/>
          <w:lang w:val="es-ES"/>
        </w:rPr>
        <w:t xml:space="preserve"> </w:t>
      </w:r>
      <w:r w:rsidRPr="009E1D70">
        <w:rPr>
          <w:rFonts w:eastAsia="Arial"/>
          <w:color w:val="0D0D0D" w:themeColor="text1" w:themeTint="F2"/>
          <w:lang w:val="es-ES"/>
        </w:rPr>
        <w:sym w:font="Symbol" w:char="F026"/>
      </w:r>
      <w:r w:rsidRPr="009E1D70">
        <w:rPr>
          <w:rFonts w:eastAsia="Arial"/>
          <w:color w:val="0D0D0D" w:themeColor="text1" w:themeTint="F2"/>
          <w:lang w:val="es-ES"/>
        </w:rPr>
        <w:t xml:space="preserve"> </w:t>
      </w:r>
      <w:proofErr w:type="spellStart"/>
      <w:r w:rsidRPr="009E1D70">
        <w:rPr>
          <w:rFonts w:eastAsia="Arial"/>
          <w:color w:val="0D0D0D" w:themeColor="text1" w:themeTint="F2"/>
          <w:lang w:val="es-ES"/>
        </w:rPr>
        <w:t>Cahill</w:t>
      </w:r>
      <w:proofErr w:type="spellEnd"/>
      <w:r w:rsidRPr="009E1D70">
        <w:rPr>
          <w:rFonts w:eastAsia="Arial"/>
          <w:color w:val="0D0D0D" w:themeColor="text1" w:themeTint="F2"/>
          <w:lang w:val="es-ES"/>
        </w:rPr>
        <w:t>, 2016).</w:t>
      </w:r>
    </w:p>
    <w:p w14:paraId="700B46DC" w14:textId="64BED224" w:rsidR="00E27833" w:rsidRPr="009E1D70" w:rsidRDefault="00E27833" w:rsidP="00BE552E">
      <w:pPr>
        <w:spacing w:line="360" w:lineRule="auto"/>
        <w:jc w:val="both"/>
        <w:rPr>
          <w:rFonts w:eastAsia="Arial"/>
          <w:color w:val="0D0D0D" w:themeColor="text1" w:themeTint="F2"/>
          <w:lang w:val="es-ES"/>
        </w:rPr>
      </w:pPr>
      <w:r w:rsidRPr="009E1D70">
        <w:rPr>
          <w:rFonts w:eastAsia="Arial"/>
          <w:color w:val="0D0D0D" w:themeColor="text1" w:themeTint="F2"/>
          <w:lang w:val="es-ES"/>
        </w:rPr>
        <w:t>Por otra parte</w:t>
      </w:r>
      <w:r>
        <w:rPr>
          <w:rFonts w:eastAsia="Arial"/>
          <w:color w:val="0D0D0D" w:themeColor="text1" w:themeTint="F2"/>
          <w:lang w:val="es-ES"/>
        </w:rPr>
        <w:t>,</w:t>
      </w:r>
      <w:r w:rsidRPr="009E1D70">
        <w:rPr>
          <w:rFonts w:eastAsia="Arial"/>
          <w:color w:val="0D0D0D" w:themeColor="text1" w:themeTint="F2"/>
          <w:lang w:val="es-ES"/>
        </w:rPr>
        <w:t xml:space="preserve"> </w:t>
      </w:r>
      <w:proofErr w:type="gramStart"/>
      <w:r w:rsidRPr="009E1D70">
        <w:rPr>
          <w:rFonts w:eastAsia="Arial"/>
          <w:color w:val="0D0D0D" w:themeColor="text1" w:themeTint="F2"/>
          <w:lang w:val="es-ES"/>
        </w:rPr>
        <w:t>el papel fisiopatológico de las dislipidemias conducen</w:t>
      </w:r>
      <w:proofErr w:type="gramEnd"/>
      <w:r w:rsidRPr="009E1D70">
        <w:rPr>
          <w:rFonts w:eastAsia="Arial"/>
          <w:color w:val="0D0D0D" w:themeColor="text1" w:themeTint="F2"/>
          <w:lang w:val="es-ES"/>
        </w:rPr>
        <w:t xml:space="preserve"> a un estado de estrés oxidativo y generación de radicales libres que puede contribuir a la disfunción endotelial en la preeclampsia (Herrera, Garay, </w:t>
      </w:r>
      <w:proofErr w:type="spellStart"/>
      <w:r w:rsidRPr="009E1D70">
        <w:rPr>
          <w:rFonts w:eastAsia="Arial"/>
          <w:color w:val="0D0D0D" w:themeColor="text1" w:themeTint="F2"/>
          <w:lang w:val="es-ES"/>
        </w:rPr>
        <w:t>Adaya</w:t>
      </w:r>
      <w:proofErr w:type="spellEnd"/>
      <w:r w:rsidRPr="009E1D70">
        <w:rPr>
          <w:rFonts w:eastAsia="Arial"/>
          <w:color w:val="0D0D0D" w:themeColor="text1" w:themeTint="F2"/>
          <w:lang w:val="es-ES"/>
        </w:rPr>
        <w:t xml:space="preserve">, Camacho, Garduño y Nava, 2010). En un estudio realizado </w:t>
      </w:r>
      <w:proofErr w:type="gramStart"/>
      <w:r w:rsidRPr="009E1D70">
        <w:rPr>
          <w:rFonts w:eastAsia="Arial"/>
          <w:color w:val="0D0D0D" w:themeColor="text1" w:themeTint="F2"/>
          <w:lang w:val="es-ES"/>
        </w:rPr>
        <w:t>por  Duarte</w:t>
      </w:r>
      <w:proofErr w:type="gramEnd"/>
      <w:r w:rsidRPr="009E1D70">
        <w:rPr>
          <w:rFonts w:eastAsia="Arial"/>
          <w:color w:val="0D0D0D" w:themeColor="text1" w:themeTint="F2"/>
          <w:lang w:val="es-ES"/>
        </w:rPr>
        <w:t>, Pérez, Espinoza, Eng-Castro, Calvo, Sánchez y Romero, (2014)</w:t>
      </w:r>
      <w:r>
        <w:rPr>
          <w:rFonts w:eastAsia="Arial"/>
          <w:color w:val="0D0D0D" w:themeColor="text1" w:themeTint="F2"/>
          <w:lang w:val="es-ES"/>
        </w:rPr>
        <w:t xml:space="preserve"> se encontró</w:t>
      </w:r>
      <w:r w:rsidRPr="009E1D70">
        <w:rPr>
          <w:rFonts w:eastAsia="Arial"/>
          <w:color w:val="0D0D0D" w:themeColor="text1" w:themeTint="F2"/>
          <w:lang w:val="es-ES"/>
        </w:rPr>
        <w:t xml:space="preserve"> que la concentración de los triglicéridos está directamente relacionado con la gravedad de la preeclampsia. Otros estudios sugieren que los niveles altos de colesterol detectados </w:t>
      </w:r>
      <w:r>
        <w:rPr>
          <w:rFonts w:eastAsia="Arial"/>
          <w:color w:val="0D0D0D" w:themeColor="text1" w:themeTint="F2"/>
          <w:lang w:val="es-ES"/>
        </w:rPr>
        <w:t>antes o durante</w:t>
      </w:r>
      <w:r w:rsidR="00F27942">
        <w:rPr>
          <w:rFonts w:eastAsia="Arial"/>
          <w:color w:val="0D0D0D" w:themeColor="text1" w:themeTint="F2"/>
          <w:lang w:val="es-ES"/>
        </w:rPr>
        <w:t xml:space="preserve"> el primer trimestre</w:t>
      </w:r>
      <w:r w:rsidRPr="009E1D70">
        <w:rPr>
          <w:rFonts w:eastAsia="Arial"/>
          <w:color w:val="0D0D0D" w:themeColor="text1" w:themeTint="F2"/>
          <w:lang w:val="es-ES"/>
        </w:rPr>
        <w:t xml:space="preserve"> del embarazo son considerados predictores del desarrollo de preeclampsia (Miguel, Salinas y Corella, 2013).  Sin embargo</w:t>
      </w:r>
      <w:r>
        <w:rPr>
          <w:rFonts w:eastAsia="Arial"/>
          <w:color w:val="0D0D0D" w:themeColor="text1" w:themeTint="F2"/>
          <w:lang w:val="es-ES"/>
        </w:rPr>
        <w:t>,</w:t>
      </w:r>
      <w:r w:rsidRPr="009E1D70">
        <w:rPr>
          <w:rFonts w:eastAsia="Arial"/>
          <w:color w:val="0D0D0D" w:themeColor="text1" w:themeTint="F2"/>
          <w:lang w:val="es-ES"/>
        </w:rPr>
        <w:t xml:space="preserve"> el incremento de los lípidos es fisiológico durante el embarazo y se debe a variaciones hormonales (</w:t>
      </w:r>
      <w:proofErr w:type="spellStart"/>
      <w:r w:rsidRPr="009E1D70">
        <w:rPr>
          <w:rFonts w:eastAsia="Arial"/>
          <w:color w:val="0D0D0D" w:themeColor="text1" w:themeTint="F2"/>
          <w:lang w:val="es-ES"/>
        </w:rPr>
        <w:t>Ywaskewycz</w:t>
      </w:r>
      <w:proofErr w:type="spellEnd"/>
      <w:r w:rsidRPr="009E1D70">
        <w:rPr>
          <w:rFonts w:eastAsia="Arial"/>
          <w:color w:val="0D0D0D" w:themeColor="text1" w:themeTint="F2"/>
          <w:lang w:val="es-ES"/>
        </w:rPr>
        <w:t xml:space="preserve">-Benítez, </w:t>
      </w:r>
      <w:proofErr w:type="spellStart"/>
      <w:r w:rsidRPr="009E1D70">
        <w:rPr>
          <w:rFonts w:eastAsia="Arial"/>
          <w:color w:val="0D0D0D" w:themeColor="text1" w:themeTint="F2"/>
          <w:lang w:val="es-ES"/>
        </w:rPr>
        <w:t>Bonneau</w:t>
      </w:r>
      <w:proofErr w:type="spellEnd"/>
      <w:r w:rsidRPr="009E1D70">
        <w:rPr>
          <w:rFonts w:eastAsia="Arial"/>
          <w:color w:val="0D0D0D" w:themeColor="text1" w:themeTint="F2"/>
          <w:lang w:val="es-ES"/>
        </w:rPr>
        <w:t>, Castillo-Ra</w:t>
      </w:r>
      <w:r>
        <w:rPr>
          <w:rFonts w:eastAsia="Arial"/>
          <w:color w:val="0D0D0D" w:themeColor="text1" w:themeTint="F2"/>
          <w:lang w:val="es-ES"/>
        </w:rPr>
        <w:t xml:space="preserve">scón, López, y Pedrozo, 2010). </w:t>
      </w:r>
      <w:r w:rsidRPr="009E1D70">
        <w:rPr>
          <w:rFonts w:eastAsia="Arial"/>
          <w:color w:val="0D0D0D" w:themeColor="text1" w:themeTint="F2"/>
          <w:lang w:val="es-ES"/>
        </w:rPr>
        <w:t xml:space="preserve">No existen tablas o percentiles bien uniformizados </w:t>
      </w:r>
      <w:r>
        <w:rPr>
          <w:rFonts w:eastAsia="Arial"/>
          <w:color w:val="0D0D0D" w:themeColor="text1" w:themeTint="F2"/>
          <w:lang w:val="es-ES"/>
        </w:rPr>
        <w:t>de los lípidos durante</w:t>
      </w:r>
      <w:r w:rsidRPr="009E1D70">
        <w:rPr>
          <w:rFonts w:eastAsia="Arial"/>
          <w:color w:val="0D0D0D" w:themeColor="text1" w:themeTint="F2"/>
          <w:lang w:val="es-ES"/>
        </w:rPr>
        <w:t xml:space="preserve"> el embarazo y su valoración es inespecífica (Aguilar-Cordero, Baena-García, Sánchez-López, Guisado-</w:t>
      </w:r>
      <w:proofErr w:type="spellStart"/>
      <w:r w:rsidRPr="009E1D70">
        <w:rPr>
          <w:rFonts w:eastAsia="Arial"/>
          <w:color w:val="0D0D0D" w:themeColor="text1" w:themeTint="F2"/>
          <w:lang w:val="es-ES"/>
        </w:rPr>
        <w:t>Barrilao</w:t>
      </w:r>
      <w:proofErr w:type="spellEnd"/>
      <w:r w:rsidRPr="009E1D70">
        <w:rPr>
          <w:rFonts w:eastAsia="Arial"/>
          <w:color w:val="0D0D0D" w:themeColor="text1" w:themeTint="F2"/>
          <w:lang w:val="es-ES"/>
        </w:rPr>
        <w:t xml:space="preserve">, Hermoso-Rodríguez, </w:t>
      </w:r>
      <w:proofErr w:type="spellStart"/>
      <w:r w:rsidRPr="009E1D70">
        <w:rPr>
          <w:rFonts w:eastAsia="Arial"/>
          <w:color w:val="0D0D0D" w:themeColor="text1" w:themeTint="F2"/>
          <w:lang w:val="es-ES"/>
        </w:rPr>
        <w:t>Mur</w:t>
      </w:r>
      <w:proofErr w:type="spellEnd"/>
      <w:r w:rsidRPr="009E1D70">
        <w:rPr>
          <w:rFonts w:eastAsia="Arial"/>
          <w:color w:val="0D0D0D" w:themeColor="text1" w:themeTint="F2"/>
          <w:lang w:val="es-ES"/>
        </w:rPr>
        <w:t xml:space="preserve">-Billar y Capel-Tuñón, 2015). Aunque el trabajo de </w:t>
      </w:r>
      <w:proofErr w:type="spellStart"/>
      <w:r w:rsidRPr="009E1D70">
        <w:rPr>
          <w:rFonts w:eastAsia="Arial"/>
          <w:color w:val="0D0D0D" w:themeColor="text1" w:themeTint="F2"/>
          <w:lang w:val="es-ES"/>
        </w:rPr>
        <w:t>Ywaskewycz</w:t>
      </w:r>
      <w:proofErr w:type="spellEnd"/>
      <w:r w:rsidRPr="009E1D70">
        <w:rPr>
          <w:rFonts w:eastAsia="Arial"/>
          <w:color w:val="0D0D0D" w:themeColor="text1" w:themeTint="F2"/>
          <w:lang w:val="es-ES"/>
        </w:rPr>
        <w:t xml:space="preserve">-Benítez, </w:t>
      </w:r>
      <w:r w:rsidRPr="005D44D8">
        <w:rPr>
          <w:rFonts w:eastAsia="Arial"/>
          <w:i/>
          <w:color w:val="0D0D0D" w:themeColor="text1" w:themeTint="F2"/>
          <w:lang w:val="es-ES"/>
        </w:rPr>
        <w:t>et al</w:t>
      </w:r>
      <w:r w:rsidRPr="009E1D70">
        <w:rPr>
          <w:rFonts w:eastAsia="Arial"/>
          <w:color w:val="0D0D0D" w:themeColor="text1" w:themeTint="F2"/>
          <w:lang w:val="es-ES"/>
        </w:rPr>
        <w:t>. (2010) tiene que ver con valores de perfil lipídico por trimestre de gestación del 1º al 3º, a mayor trimestre mayor percentil 95 de colesterol: 230 mg/</w:t>
      </w:r>
      <w:proofErr w:type="spellStart"/>
      <w:r w:rsidRPr="009E1D70">
        <w:rPr>
          <w:rFonts w:eastAsia="Arial"/>
          <w:color w:val="0D0D0D" w:themeColor="text1" w:themeTint="F2"/>
          <w:lang w:val="es-ES"/>
        </w:rPr>
        <w:t>dL</w:t>
      </w:r>
      <w:proofErr w:type="spellEnd"/>
      <w:r w:rsidRPr="009E1D70">
        <w:rPr>
          <w:rFonts w:eastAsia="Arial"/>
          <w:color w:val="0D0D0D" w:themeColor="text1" w:themeTint="F2"/>
          <w:lang w:val="es-ES"/>
        </w:rPr>
        <w:t>, 290.1 mg</w:t>
      </w:r>
      <w:r>
        <w:rPr>
          <w:rFonts w:eastAsia="Arial"/>
          <w:color w:val="0D0D0D" w:themeColor="text1" w:themeTint="F2"/>
          <w:lang w:val="es-ES"/>
        </w:rPr>
        <w:t>/</w:t>
      </w:r>
      <w:proofErr w:type="spellStart"/>
      <w:r>
        <w:rPr>
          <w:rFonts w:eastAsia="Arial"/>
          <w:color w:val="0D0D0D" w:themeColor="text1" w:themeTint="F2"/>
          <w:lang w:val="es-ES"/>
        </w:rPr>
        <w:t>dL</w:t>
      </w:r>
      <w:proofErr w:type="spellEnd"/>
      <w:r>
        <w:rPr>
          <w:rFonts w:eastAsia="Arial"/>
          <w:color w:val="0D0D0D" w:themeColor="text1" w:themeTint="F2"/>
          <w:lang w:val="es-ES"/>
        </w:rPr>
        <w:t xml:space="preserve"> y 321 mg/</w:t>
      </w:r>
      <w:proofErr w:type="spellStart"/>
      <w:r>
        <w:rPr>
          <w:rFonts w:eastAsia="Arial"/>
          <w:color w:val="0D0D0D" w:themeColor="text1" w:themeTint="F2"/>
          <w:lang w:val="es-ES"/>
        </w:rPr>
        <w:t>dL</w:t>
      </w:r>
      <w:proofErr w:type="spellEnd"/>
      <w:r>
        <w:rPr>
          <w:rFonts w:eastAsia="Arial"/>
          <w:color w:val="0D0D0D" w:themeColor="text1" w:themeTint="F2"/>
          <w:lang w:val="es-ES"/>
        </w:rPr>
        <w:t xml:space="preserve">, respectivamente; mientras que para </w:t>
      </w:r>
      <w:r w:rsidRPr="009E1D70">
        <w:rPr>
          <w:rFonts w:eastAsia="Arial"/>
          <w:color w:val="0D0D0D" w:themeColor="text1" w:themeTint="F2"/>
          <w:lang w:val="es-ES"/>
        </w:rPr>
        <w:t>los triglicéridos este percentil 95 fue: 158 mg/</w:t>
      </w:r>
      <w:proofErr w:type="spellStart"/>
      <w:r w:rsidRPr="009E1D70">
        <w:rPr>
          <w:rFonts w:eastAsia="Arial"/>
          <w:color w:val="0D0D0D" w:themeColor="text1" w:themeTint="F2"/>
          <w:lang w:val="es-ES"/>
        </w:rPr>
        <w:t>dL</w:t>
      </w:r>
      <w:proofErr w:type="spellEnd"/>
      <w:r w:rsidRPr="009E1D70">
        <w:rPr>
          <w:rFonts w:eastAsia="Arial"/>
          <w:color w:val="0D0D0D" w:themeColor="text1" w:themeTint="F2"/>
          <w:lang w:val="es-ES"/>
        </w:rPr>
        <w:t>, 257.4 mg/</w:t>
      </w:r>
      <w:proofErr w:type="spellStart"/>
      <w:r w:rsidRPr="009E1D70">
        <w:rPr>
          <w:rFonts w:eastAsia="Arial"/>
          <w:color w:val="0D0D0D" w:themeColor="text1" w:themeTint="F2"/>
          <w:lang w:val="es-ES"/>
        </w:rPr>
        <w:t>dL</w:t>
      </w:r>
      <w:proofErr w:type="spellEnd"/>
      <w:r w:rsidRPr="009E1D70">
        <w:rPr>
          <w:rFonts w:eastAsia="Arial"/>
          <w:color w:val="0D0D0D" w:themeColor="text1" w:themeTint="F2"/>
          <w:lang w:val="es-ES"/>
        </w:rPr>
        <w:t xml:space="preserve"> y 371.1 mg/</w:t>
      </w:r>
      <w:proofErr w:type="spellStart"/>
      <w:r w:rsidRPr="009E1D70">
        <w:rPr>
          <w:rFonts w:eastAsia="Arial"/>
          <w:color w:val="0D0D0D" w:themeColor="text1" w:themeTint="F2"/>
          <w:lang w:val="es-ES"/>
        </w:rPr>
        <w:t>dL</w:t>
      </w:r>
      <w:proofErr w:type="spellEnd"/>
      <w:r w:rsidRPr="009E1D70">
        <w:rPr>
          <w:rFonts w:eastAsia="Arial"/>
          <w:color w:val="0D0D0D" w:themeColor="text1" w:themeTint="F2"/>
          <w:lang w:val="es-ES"/>
        </w:rPr>
        <w:t xml:space="preserve"> respectivamente</w:t>
      </w:r>
      <w:r>
        <w:rPr>
          <w:rFonts w:eastAsia="Arial"/>
          <w:color w:val="0D0D0D" w:themeColor="text1" w:themeTint="F2"/>
          <w:lang w:val="es-ES"/>
        </w:rPr>
        <w:t xml:space="preserve"> p</w:t>
      </w:r>
      <w:r w:rsidRPr="009E1D70">
        <w:rPr>
          <w:rFonts w:eastAsia="Arial"/>
          <w:color w:val="0D0D0D" w:themeColor="text1" w:themeTint="F2"/>
          <w:lang w:val="es-ES"/>
        </w:rPr>
        <w:t>ara cada uno de los trimestres en ord</w:t>
      </w:r>
      <w:r w:rsidR="00F27942">
        <w:rPr>
          <w:rFonts w:eastAsia="Arial"/>
          <w:color w:val="0D0D0D" w:themeColor="text1" w:themeTint="F2"/>
          <w:lang w:val="es-ES"/>
        </w:rPr>
        <w:t xml:space="preserve">en progresivo. </w:t>
      </w:r>
      <w:r w:rsidR="00F27942">
        <w:rPr>
          <w:rFonts w:eastAsia="Arial"/>
          <w:color w:val="0D0D0D" w:themeColor="text1" w:themeTint="F2"/>
          <w:lang w:val="es-ES"/>
        </w:rPr>
        <w:lastRenderedPageBreak/>
        <w:t xml:space="preserve">No obstante que su investigación no aporta un intervalo </w:t>
      </w:r>
      <w:r w:rsidRPr="009E1D70">
        <w:rPr>
          <w:rFonts w:eastAsia="Arial"/>
          <w:color w:val="0D0D0D" w:themeColor="text1" w:themeTint="F2"/>
          <w:lang w:val="es-ES"/>
        </w:rPr>
        <w:t>de referencia para triglicéridos y colesterol durante el embarazo, es un referente importante.</w:t>
      </w:r>
    </w:p>
    <w:p w14:paraId="78311AF8" w14:textId="77777777" w:rsidR="00E27833" w:rsidRPr="009E1D70" w:rsidRDefault="00E27833" w:rsidP="005C2D16">
      <w:pPr>
        <w:spacing w:line="360" w:lineRule="auto"/>
        <w:jc w:val="both"/>
        <w:rPr>
          <w:rFonts w:eastAsia="Arial"/>
          <w:color w:val="0D0D0D" w:themeColor="text1" w:themeTint="F2"/>
          <w:lang w:val="es-ES"/>
        </w:rPr>
      </w:pPr>
    </w:p>
    <w:p w14:paraId="4DB4DA03" w14:textId="77777777" w:rsidR="00E27833" w:rsidRDefault="00E27833" w:rsidP="00BE552E">
      <w:pPr>
        <w:spacing w:line="360" w:lineRule="auto"/>
        <w:jc w:val="both"/>
        <w:rPr>
          <w:rFonts w:eastAsia="Arial"/>
          <w:lang w:val="es-ES"/>
        </w:rPr>
      </w:pPr>
      <w:r w:rsidRPr="009E1D70">
        <w:rPr>
          <w:rFonts w:eastAsia="Arial"/>
        </w:rPr>
        <w:t>Otros motivos que influyen en el desarrollo de la enfermedad son los sistemas de salud ineficientes,</w:t>
      </w:r>
      <w:r>
        <w:rPr>
          <w:rFonts w:eastAsia="Arial"/>
        </w:rPr>
        <w:t xml:space="preserve"> así como bajos niveles </w:t>
      </w:r>
      <w:r w:rsidRPr="009E1D70">
        <w:rPr>
          <w:rFonts w:eastAsia="Arial"/>
        </w:rPr>
        <w:t>socioeconómicos</w:t>
      </w:r>
      <w:r>
        <w:rPr>
          <w:rFonts w:eastAsia="Arial"/>
        </w:rPr>
        <w:t>, culturales</w:t>
      </w:r>
      <w:r w:rsidRPr="009E1D70">
        <w:rPr>
          <w:rFonts w:eastAsia="Arial"/>
        </w:rPr>
        <w:t xml:space="preserve"> y educativos.</w:t>
      </w:r>
      <w:r w:rsidRPr="009E1D70">
        <w:rPr>
          <w:rFonts w:eastAsia="Arial"/>
          <w:lang w:val="es-ES"/>
        </w:rPr>
        <w:t xml:space="preserve"> Esta enfermedad sigue siendo un reto latente para la investigación biomédica, ya que su etiología es aún desconocida, lo que complica su predicción, su detección temprana, su prevención y su manejo o tratamiento. A nivel local</w:t>
      </w:r>
      <w:r>
        <w:rPr>
          <w:rFonts w:eastAsia="Arial"/>
          <w:lang w:val="es-ES"/>
        </w:rPr>
        <w:t>, el e</w:t>
      </w:r>
      <w:r w:rsidRPr="009E1D70">
        <w:rPr>
          <w:rFonts w:eastAsia="Arial"/>
          <w:lang w:val="es-ES"/>
        </w:rPr>
        <w:t xml:space="preserve">stado de </w:t>
      </w:r>
      <w:r w:rsidRPr="00010805">
        <w:rPr>
          <w:rFonts w:eastAsia="Arial"/>
          <w:lang w:val="es-ES"/>
        </w:rPr>
        <w:t>Guerrero</w:t>
      </w:r>
      <w:r>
        <w:rPr>
          <w:rFonts w:eastAsia="Arial"/>
          <w:lang w:val="es-ES"/>
        </w:rPr>
        <w:t xml:space="preserve"> se considera, de acuerdo con</w:t>
      </w:r>
      <w:r w:rsidRPr="00010805">
        <w:rPr>
          <w:rFonts w:eastAsia="Arial"/>
          <w:lang w:val="es-ES"/>
        </w:rPr>
        <w:t xml:space="preserve"> la Secretaría de Salud</w:t>
      </w:r>
      <w:r>
        <w:rPr>
          <w:rFonts w:eastAsia="Arial"/>
          <w:lang w:val="es-ES"/>
        </w:rPr>
        <w:t>,</w:t>
      </w:r>
      <w:r w:rsidRPr="00010805">
        <w:rPr>
          <w:rFonts w:eastAsia="Arial"/>
          <w:lang w:val="es-ES"/>
        </w:rPr>
        <w:t xml:space="preserve"> como u</w:t>
      </w:r>
      <w:r>
        <w:rPr>
          <w:rFonts w:eastAsia="Arial"/>
          <w:lang w:val="es-ES"/>
        </w:rPr>
        <w:t>no de los estados con</w:t>
      </w:r>
      <w:r w:rsidRPr="00010805">
        <w:rPr>
          <w:rFonts w:eastAsia="Arial"/>
          <w:lang w:val="es-ES"/>
        </w:rPr>
        <w:t xml:space="preserve"> una alta razón de</w:t>
      </w:r>
      <w:r w:rsidRPr="009E1D70">
        <w:rPr>
          <w:rFonts w:eastAsia="Arial"/>
          <w:lang w:val="es-ES"/>
        </w:rPr>
        <w:t xml:space="preserve"> mortalidad materna</w:t>
      </w:r>
      <w:r>
        <w:rPr>
          <w:rFonts w:eastAsia="Arial"/>
          <w:lang w:val="es-ES"/>
        </w:rPr>
        <w:t>,</w:t>
      </w:r>
      <w:r w:rsidRPr="009E1D70">
        <w:rPr>
          <w:rFonts w:eastAsia="Arial"/>
          <w:lang w:val="es-ES"/>
        </w:rPr>
        <w:t xml:space="preserve"> relacionada con</w:t>
      </w:r>
      <w:r>
        <w:rPr>
          <w:rFonts w:eastAsia="Arial"/>
          <w:lang w:val="es-ES"/>
        </w:rPr>
        <w:t xml:space="preserve"> esta patología. P</w:t>
      </w:r>
      <w:r w:rsidRPr="009E1D70">
        <w:rPr>
          <w:rFonts w:eastAsia="Arial"/>
          <w:lang w:val="es-ES"/>
        </w:rPr>
        <w:t>or lo que se</w:t>
      </w:r>
      <w:r w:rsidRPr="009E1D70">
        <w:rPr>
          <w:rFonts w:eastAsia="Arial"/>
          <w:b/>
          <w:lang w:val="es-ES"/>
        </w:rPr>
        <w:t xml:space="preserve"> </w:t>
      </w:r>
      <w:r w:rsidRPr="009E1D70">
        <w:rPr>
          <w:rFonts w:eastAsia="Arial"/>
          <w:lang w:val="es-ES"/>
        </w:rPr>
        <w:t xml:space="preserve">decidió realizar un estudio con el objetivo de identificar </w:t>
      </w:r>
      <w:r>
        <w:rPr>
          <w:rFonts w:eastAsia="Arial"/>
          <w:lang w:val="es-ES"/>
        </w:rPr>
        <w:t>alteraciones bioquímicas y celulares</w:t>
      </w:r>
      <w:r w:rsidRPr="009E1D70">
        <w:rPr>
          <w:rFonts w:eastAsia="Arial"/>
          <w:lang w:val="es-ES"/>
        </w:rPr>
        <w:t xml:space="preserve"> para preeclampsia</w:t>
      </w:r>
      <w:r>
        <w:rPr>
          <w:rFonts w:eastAsia="Arial"/>
          <w:lang w:val="es-ES"/>
        </w:rPr>
        <w:t>, mediante un análisis</w:t>
      </w:r>
      <w:r w:rsidRPr="009E1D70">
        <w:rPr>
          <w:rFonts w:eastAsia="Arial"/>
          <w:lang w:val="es-ES"/>
        </w:rPr>
        <w:t xml:space="preserve"> y</w:t>
      </w:r>
      <w:r>
        <w:rPr>
          <w:rFonts w:eastAsia="Arial"/>
          <w:lang w:val="es-ES"/>
        </w:rPr>
        <w:t xml:space="preserve"> relación de</w:t>
      </w:r>
      <w:r w:rsidRPr="009E1D70">
        <w:rPr>
          <w:rFonts w:eastAsia="Arial"/>
          <w:lang w:val="es-ES"/>
        </w:rPr>
        <w:t xml:space="preserve"> las medidas antrop</w:t>
      </w:r>
      <w:r>
        <w:rPr>
          <w:rFonts w:eastAsia="Arial"/>
          <w:lang w:val="es-ES"/>
        </w:rPr>
        <w:t xml:space="preserve">ométricas, bioquímicas y celulares, </w:t>
      </w:r>
      <w:r w:rsidRPr="009E1D70">
        <w:rPr>
          <w:rFonts w:eastAsia="Arial"/>
          <w:lang w:val="es-ES"/>
        </w:rPr>
        <w:t>en mujeres embarazadas que acuden al Hospital General Dr. Raymundo Abarca Alarcón</w:t>
      </w:r>
      <w:r>
        <w:rPr>
          <w:rFonts w:eastAsia="Arial"/>
          <w:lang w:val="es-ES"/>
        </w:rPr>
        <w:t>,</w:t>
      </w:r>
      <w:r w:rsidRPr="009E1D70">
        <w:rPr>
          <w:rFonts w:eastAsia="Arial"/>
          <w:lang w:val="es-ES"/>
        </w:rPr>
        <w:t xml:space="preserve"> en Chilpancingo de los Bravo, Guerrero</w:t>
      </w:r>
      <w:r>
        <w:rPr>
          <w:rFonts w:eastAsia="Arial"/>
          <w:lang w:val="es-ES"/>
        </w:rPr>
        <w:t>.</w:t>
      </w:r>
    </w:p>
    <w:p w14:paraId="44DCE564" w14:textId="77777777" w:rsidR="00E27833" w:rsidRPr="009E1D70" w:rsidRDefault="00E27833" w:rsidP="00D71441">
      <w:pPr>
        <w:spacing w:line="360" w:lineRule="auto"/>
        <w:jc w:val="both"/>
        <w:rPr>
          <w:rFonts w:eastAsia="Arial"/>
          <w:color w:val="0D0D0D" w:themeColor="text1" w:themeTint="F2"/>
          <w:lang w:val="es-ES"/>
        </w:rPr>
      </w:pPr>
    </w:p>
    <w:p w14:paraId="4AEC13C0" w14:textId="77777777" w:rsidR="00400331" w:rsidRPr="00A45D9D" w:rsidRDefault="00400331" w:rsidP="0097034C">
      <w:pPr>
        <w:spacing w:line="360" w:lineRule="auto"/>
        <w:jc w:val="both"/>
        <w:rPr>
          <w:rFonts w:eastAsia="Arial"/>
          <w:lang w:val="es-ES"/>
        </w:rPr>
      </w:pPr>
    </w:p>
    <w:p w14:paraId="0E19B69E" w14:textId="77777777" w:rsidR="00DE7AE6" w:rsidRPr="001F4CEE" w:rsidRDefault="009117B6" w:rsidP="0097034C">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Material y métodos</w:t>
      </w:r>
    </w:p>
    <w:p w14:paraId="0B7F8B2A" w14:textId="39E92A8E" w:rsidR="00191243" w:rsidRPr="00BE552E" w:rsidRDefault="00E27833" w:rsidP="0097034C">
      <w:pPr>
        <w:spacing w:line="360" w:lineRule="auto"/>
        <w:jc w:val="both"/>
        <w:rPr>
          <w:rFonts w:eastAsia="Arial"/>
          <w:lang w:val="es-ES"/>
        </w:rPr>
      </w:pPr>
      <w:r w:rsidRPr="00A45D9D">
        <w:rPr>
          <w:rFonts w:eastAsia="Arial"/>
          <w:lang w:val="es-ES"/>
        </w:rPr>
        <w:t>Se realizó un estudio transversal descriptivo en mujeres embarazadas adscritas al Hospital General Dr. Raymundo Abarca Alarcón</w:t>
      </w:r>
      <w:r w:rsidRPr="00A45D9D">
        <w:rPr>
          <w:rFonts w:eastAsia="Arial"/>
          <w:b/>
          <w:lang w:val="es-ES"/>
        </w:rPr>
        <w:t xml:space="preserve">, </w:t>
      </w:r>
      <w:r w:rsidRPr="00A45D9D">
        <w:rPr>
          <w:rFonts w:eastAsia="Arial"/>
          <w:lang w:val="es-ES"/>
        </w:rPr>
        <w:t>de</w:t>
      </w:r>
      <w:r w:rsidRPr="00A45D9D">
        <w:rPr>
          <w:rFonts w:eastAsia="Arial"/>
          <w:b/>
          <w:lang w:val="es-ES"/>
        </w:rPr>
        <w:t xml:space="preserve"> </w:t>
      </w:r>
      <w:r w:rsidRPr="00A45D9D">
        <w:rPr>
          <w:rFonts w:eastAsia="Arial"/>
          <w:lang w:val="es-ES"/>
        </w:rPr>
        <w:t>Chilpancingo de los Bravo, Guerrero, México, monitoreadas durante el periodo julio 2016 – junio 2017.  Se incluyeron pacientes embarazadas con más de 20 semanas de gestación</w:t>
      </w:r>
      <w:r>
        <w:rPr>
          <w:rFonts w:eastAsia="Arial"/>
          <w:lang w:val="es-ES"/>
        </w:rPr>
        <w:t>,</w:t>
      </w:r>
      <w:r w:rsidRPr="00A45D9D">
        <w:rPr>
          <w:rFonts w:eastAsia="Arial"/>
          <w:lang w:val="es-ES"/>
        </w:rPr>
        <w:t xml:space="preserve"> aparentemente sanas, con expediente clínico completo y</w:t>
      </w:r>
      <w:r>
        <w:rPr>
          <w:rFonts w:eastAsia="Arial"/>
          <w:lang w:val="es-ES"/>
        </w:rPr>
        <w:t xml:space="preserve"> con el</w:t>
      </w:r>
      <w:r w:rsidRPr="00A45D9D">
        <w:rPr>
          <w:rFonts w:eastAsia="Arial"/>
          <w:lang w:val="es-ES"/>
        </w:rPr>
        <w:t xml:space="preserve"> consentimiento para participar en el estudio. </w:t>
      </w:r>
    </w:p>
    <w:p w14:paraId="411253C4" w14:textId="3C4CEF92" w:rsidR="00E27833" w:rsidRPr="00615506" w:rsidRDefault="00E27833" w:rsidP="00BE552E">
      <w:pPr>
        <w:pStyle w:val="Sinespaciado"/>
        <w:spacing w:line="360" w:lineRule="auto"/>
        <w:jc w:val="both"/>
        <w:rPr>
          <w:rFonts w:eastAsia="Arial"/>
          <w:lang w:val="es-ES"/>
        </w:rPr>
      </w:pPr>
      <w:r w:rsidRPr="00A45D9D">
        <w:rPr>
          <w:rFonts w:ascii="Times New Roman" w:eastAsia="Arial" w:hAnsi="Times New Roman" w:cs="Times New Roman"/>
          <w:sz w:val="24"/>
          <w:szCs w:val="24"/>
          <w:lang w:val="es-ES"/>
        </w:rPr>
        <w:t>Los datos se recolectaron durante la consulta prenatal</w:t>
      </w:r>
      <w:r>
        <w:rPr>
          <w:rFonts w:ascii="Times New Roman" w:eastAsia="Arial" w:hAnsi="Times New Roman" w:cs="Times New Roman"/>
          <w:sz w:val="24"/>
          <w:szCs w:val="24"/>
          <w:lang w:val="es-ES"/>
        </w:rPr>
        <w:t xml:space="preserve">: </w:t>
      </w:r>
      <w:r w:rsidRPr="00A45D9D">
        <w:rPr>
          <w:rFonts w:ascii="Times New Roman" w:eastAsia="Arial" w:hAnsi="Times New Roman" w:cs="Times New Roman"/>
          <w:sz w:val="24"/>
          <w:szCs w:val="24"/>
          <w:lang w:val="es-ES"/>
        </w:rPr>
        <w:t>se obtuvieron medidas antropométricas (peso, talla e IMC), medición de la tensión arterial, respuestas a las encuestas aplicadas a las pacientes y recolección de muestras para la determinación de parámetros bioquímicos (glucosa sérica, glucosa postprandial, urea, creatinina, ácido úrico, colesterol, triglicéridos, TGO, TGP, albumina, bilirrubina directa, bilirrubina total, LDH)</w:t>
      </w:r>
      <w:r>
        <w:rPr>
          <w:rFonts w:ascii="Times New Roman" w:eastAsia="Arial" w:hAnsi="Times New Roman" w:cs="Times New Roman"/>
          <w:sz w:val="24"/>
          <w:szCs w:val="24"/>
          <w:lang w:val="es-ES"/>
        </w:rPr>
        <w:t>.</w:t>
      </w:r>
      <w:r w:rsidRPr="00A45D9D">
        <w:rPr>
          <w:rFonts w:ascii="Times New Roman" w:eastAsia="Arial" w:hAnsi="Times New Roman" w:cs="Times New Roman"/>
          <w:sz w:val="24"/>
          <w:szCs w:val="24"/>
          <w:lang w:val="es-ES"/>
        </w:rPr>
        <w:t xml:space="preserve"> </w:t>
      </w:r>
      <w:r>
        <w:rPr>
          <w:rFonts w:ascii="Times New Roman" w:eastAsia="Arial" w:hAnsi="Times New Roman" w:cs="Times New Roman"/>
          <w:sz w:val="24"/>
          <w:szCs w:val="24"/>
          <w:lang w:val="es-ES"/>
        </w:rPr>
        <w:t>Dichas muestras</w:t>
      </w:r>
      <w:r w:rsidRPr="00A45D9D">
        <w:rPr>
          <w:rFonts w:ascii="Times New Roman" w:eastAsia="Arial" w:hAnsi="Times New Roman" w:cs="Times New Roman"/>
          <w:sz w:val="24"/>
          <w:szCs w:val="24"/>
          <w:lang w:val="es-ES"/>
        </w:rPr>
        <w:t xml:space="preserve"> </w:t>
      </w:r>
      <w:r w:rsidRPr="00A45D9D">
        <w:rPr>
          <w:rFonts w:ascii="Times New Roman" w:eastAsia="Arial" w:hAnsi="Times New Roman" w:cs="Times New Roman"/>
          <w:sz w:val="24"/>
          <w:szCs w:val="24"/>
        </w:rPr>
        <w:t>s</w:t>
      </w:r>
      <w:r>
        <w:rPr>
          <w:rFonts w:ascii="Times New Roman" w:eastAsia="Arial" w:hAnsi="Times New Roman" w:cs="Times New Roman"/>
          <w:sz w:val="24"/>
          <w:szCs w:val="24"/>
        </w:rPr>
        <w:t xml:space="preserve">e procesaron en el equipo Cobas </w:t>
      </w:r>
      <w:r w:rsidRPr="00A45D9D">
        <w:rPr>
          <w:rFonts w:ascii="Times New Roman" w:eastAsia="Arial" w:hAnsi="Times New Roman" w:cs="Times New Roman"/>
          <w:sz w:val="24"/>
          <w:szCs w:val="24"/>
        </w:rPr>
        <w:t>I</w:t>
      </w:r>
      <w:r>
        <w:rPr>
          <w:rFonts w:ascii="Times New Roman" w:eastAsia="Arial" w:hAnsi="Times New Roman" w:cs="Times New Roman"/>
          <w:sz w:val="24"/>
          <w:szCs w:val="24"/>
        </w:rPr>
        <w:t>ntegra</w:t>
      </w:r>
      <w:r w:rsidRPr="00A45D9D">
        <w:rPr>
          <w:rFonts w:ascii="Times New Roman" w:eastAsia="Arial" w:hAnsi="Times New Roman" w:cs="Times New Roman"/>
          <w:sz w:val="24"/>
          <w:szCs w:val="24"/>
        </w:rPr>
        <w:t xml:space="preserve"> 400 (</w:t>
      </w:r>
      <w:r w:rsidRPr="00BF587A">
        <w:rPr>
          <w:rFonts w:ascii="Times New Roman" w:eastAsia="Arial" w:hAnsi="Times New Roman" w:cs="Times New Roman"/>
          <w:i/>
          <w:sz w:val="24"/>
          <w:szCs w:val="24"/>
        </w:rPr>
        <w:t>Roche diagnostics</w:t>
      </w:r>
      <w:r w:rsidRPr="00A45D9D">
        <w:rPr>
          <w:rFonts w:ascii="Times New Roman" w:eastAsia="Arial" w:hAnsi="Times New Roman" w:cs="Times New Roman"/>
          <w:sz w:val="24"/>
          <w:szCs w:val="24"/>
        </w:rPr>
        <w:t xml:space="preserve">) </w:t>
      </w:r>
      <w:r w:rsidRPr="00A45D9D">
        <w:rPr>
          <w:rFonts w:ascii="Times New Roman" w:eastAsia="Arial" w:hAnsi="Times New Roman" w:cs="Times New Roman"/>
          <w:sz w:val="24"/>
          <w:szCs w:val="24"/>
          <w:lang w:val="es-ES"/>
        </w:rPr>
        <w:t>y</w:t>
      </w:r>
      <w:r>
        <w:rPr>
          <w:rFonts w:ascii="Times New Roman" w:eastAsia="Arial" w:hAnsi="Times New Roman" w:cs="Times New Roman"/>
          <w:sz w:val="24"/>
          <w:szCs w:val="24"/>
          <w:lang w:val="es-ES"/>
        </w:rPr>
        <w:t>,</w:t>
      </w:r>
      <w:r w:rsidRPr="00A45D9D">
        <w:rPr>
          <w:rFonts w:ascii="Times New Roman" w:eastAsia="Arial" w:hAnsi="Times New Roman" w:cs="Times New Roman"/>
          <w:sz w:val="24"/>
          <w:szCs w:val="24"/>
          <w:lang w:val="es-ES"/>
        </w:rPr>
        <w:t xml:space="preserve"> para la determinación de la citometría hemática (eritrocitos, hemoglobina, hematocrito,</w:t>
      </w:r>
      <w:r>
        <w:rPr>
          <w:rFonts w:ascii="Times New Roman" w:hAnsi="Times New Roman" w:cs="Times New Roman"/>
          <w:color w:val="000000" w:themeColor="text1"/>
          <w:sz w:val="24"/>
          <w:szCs w:val="24"/>
          <w:lang w:eastAsia="es-MX"/>
        </w:rPr>
        <w:t xml:space="preserve"> VCM, HCM, CHMC, RDW</w:t>
      </w:r>
      <w:r w:rsidRPr="00400331">
        <w:rPr>
          <w:rFonts w:ascii="Times New Roman" w:hAnsi="Times New Roman" w:cs="Times New Roman"/>
          <w:color w:val="000000" w:themeColor="text1"/>
          <w:sz w:val="24"/>
          <w:szCs w:val="24"/>
          <w:lang w:eastAsia="es-MX"/>
        </w:rPr>
        <w:t>/CV, RDW/SD,</w:t>
      </w:r>
      <w:r w:rsidRPr="00A45D9D">
        <w:rPr>
          <w:rFonts w:ascii="Times New Roman" w:hAnsi="Times New Roman" w:cs="Times New Roman"/>
          <w:color w:val="000000" w:themeColor="text1"/>
          <w:sz w:val="24"/>
          <w:szCs w:val="24"/>
          <w:lang w:eastAsia="es-MX"/>
        </w:rPr>
        <w:t xml:space="preserve"> plaquetas, VPM, recuento diferencial)</w:t>
      </w:r>
      <w:r w:rsidRPr="00A45D9D">
        <w:rPr>
          <w:rFonts w:ascii="Times New Roman" w:eastAsia="Arial" w:hAnsi="Times New Roman" w:cs="Times New Roman"/>
          <w:sz w:val="24"/>
          <w:szCs w:val="24"/>
          <w:lang w:val="es-ES"/>
        </w:rPr>
        <w:t xml:space="preserve"> </w:t>
      </w:r>
      <w:r w:rsidRPr="00A45D9D">
        <w:rPr>
          <w:rFonts w:ascii="Times New Roman" w:eastAsia="Arial" w:hAnsi="Times New Roman" w:cs="Times New Roman"/>
          <w:sz w:val="24"/>
          <w:szCs w:val="24"/>
        </w:rPr>
        <w:t>se llevaron a cabo en el equipo contador hematológico Wiener L</w:t>
      </w:r>
      <w:r w:rsidRPr="00BF587A">
        <w:rPr>
          <w:rFonts w:ascii="Times New Roman" w:eastAsia="Arial" w:hAnsi="Times New Roman" w:cs="Times New Roman"/>
          <w:sz w:val="24"/>
          <w:szCs w:val="24"/>
        </w:rPr>
        <w:t>ab</w:t>
      </w:r>
      <w:r w:rsidRPr="00A45D9D">
        <w:rPr>
          <w:rFonts w:ascii="Times New Roman" w:eastAsia="Arial" w:hAnsi="Times New Roman" w:cs="Times New Roman"/>
          <w:sz w:val="24"/>
          <w:szCs w:val="24"/>
        </w:rPr>
        <w:t xml:space="preserve"> </w:t>
      </w:r>
      <w:r w:rsidRPr="00A45D9D">
        <w:rPr>
          <w:rFonts w:ascii="Times New Roman" w:eastAsia="Arial" w:hAnsi="Times New Roman" w:cs="Times New Roman"/>
          <w:sz w:val="24"/>
          <w:szCs w:val="24"/>
        </w:rPr>
        <w:lastRenderedPageBreak/>
        <w:t>C</w:t>
      </w:r>
      <w:r w:rsidRPr="00BF587A">
        <w:rPr>
          <w:rFonts w:ascii="Times New Roman" w:eastAsia="Arial" w:hAnsi="Times New Roman" w:cs="Times New Roman"/>
          <w:sz w:val="24"/>
          <w:szCs w:val="24"/>
        </w:rPr>
        <w:t>ounter</w:t>
      </w:r>
      <w:r w:rsidRPr="00A45D9D">
        <w:rPr>
          <w:rFonts w:ascii="Times New Roman" w:eastAsia="Arial" w:hAnsi="Times New Roman" w:cs="Times New Roman"/>
          <w:sz w:val="24"/>
          <w:szCs w:val="24"/>
        </w:rPr>
        <w:t xml:space="preserve"> 19 (</w:t>
      </w:r>
      <w:r w:rsidRPr="00BF587A">
        <w:rPr>
          <w:rFonts w:ascii="Times New Roman" w:eastAsia="Arial" w:hAnsi="Times New Roman" w:cs="Times New Roman"/>
          <w:i/>
          <w:sz w:val="24"/>
          <w:szCs w:val="24"/>
        </w:rPr>
        <w:t>Wiener Lab</w:t>
      </w:r>
      <w:r w:rsidRPr="00A45D9D">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y</w:t>
      </w:r>
      <w:r w:rsidRPr="00A45D9D">
        <w:rPr>
          <w:rFonts w:ascii="Times New Roman" w:eastAsia="Arial" w:hAnsi="Times New Roman" w:cs="Times New Roman"/>
          <w:sz w:val="24"/>
          <w:szCs w:val="24"/>
          <w:lang w:val="es-ES"/>
        </w:rPr>
        <w:t xml:space="preserve"> se procesaron </w:t>
      </w:r>
      <w:r>
        <w:rPr>
          <w:rFonts w:ascii="Times New Roman" w:eastAsia="Arial" w:hAnsi="Times New Roman" w:cs="Times New Roman"/>
          <w:sz w:val="24"/>
          <w:szCs w:val="24"/>
          <w:lang w:val="es-ES"/>
        </w:rPr>
        <w:t>en el L</w:t>
      </w:r>
      <w:r w:rsidRPr="00A45D9D">
        <w:rPr>
          <w:rFonts w:ascii="Times New Roman" w:eastAsia="Arial" w:hAnsi="Times New Roman" w:cs="Times New Roman"/>
          <w:sz w:val="24"/>
          <w:szCs w:val="24"/>
          <w:lang w:val="es-ES"/>
        </w:rPr>
        <w:t xml:space="preserve">aboratorio de Fisiopatología y Metabolismo de la Escuela Superior de Ciencias Naturales. </w:t>
      </w:r>
    </w:p>
    <w:p w14:paraId="6E8F91EC" w14:textId="5161B249" w:rsidR="00E27833" w:rsidRPr="00A45D9D" w:rsidRDefault="00E27833" w:rsidP="00BE552E">
      <w:pPr>
        <w:tabs>
          <w:tab w:val="left" w:pos="1843"/>
        </w:tabs>
        <w:spacing w:line="360" w:lineRule="auto"/>
        <w:jc w:val="both"/>
        <w:rPr>
          <w:rFonts w:eastAsia="Arial"/>
          <w:lang w:val="es-ES"/>
        </w:rPr>
      </w:pPr>
      <w:r w:rsidRPr="00A45D9D">
        <w:rPr>
          <w:rFonts w:eastAsia="Arial"/>
          <w:lang w:val="es-ES"/>
        </w:rPr>
        <w:t xml:space="preserve">Los datos se procesaron mediante el programa Excel 2010 y con el paquete estadístico Small Stata versión 14.2. </w:t>
      </w:r>
      <w:r w:rsidRPr="008A158E">
        <w:rPr>
          <w:rFonts w:eastAsia="Arial"/>
          <w:lang w:val="es-ES"/>
        </w:rPr>
        <w:t xml:space="preserve">Realizándose </w:t>
      </w:r>
      <w:r>
        <w:rPr>
          <w:rFonts w:eastAsia="Arial"/>
        </w:rPr>
        <w:t xml:space="preserve">medidas </w:t>
      </w:r>
      <w:r w:rsidRPr="008A158E">
        <w:rPr>
          <w:rFonts w:eastAsia="Arial"/>
        </w:rPr>
        <w:t>de tendencia central (media) y medidas de dispersión (desviación estándar) para las variables</w:t>
      </w:r>
      <w:r w:rsidRPr="00A45D9D">
        <w:rPr>
          <w:rFonts w:eastAsia="Arial"/>
        </w:rPr>
        <w:t xml:space="preserve"> cuantitativas</w:t>
      </w:r>
      <w:r w:rsidRPr="00A45D9D">
        <w:rPr>
          <w:rFonts w:eastAsia="Arial"/>
          <w:lang w:val="es-ES"/>
        </w:rPr>
        <w:t xml:space="preserve">, así como la obtención de </w:t>
      </w:r>
      <w:r>
        <w:rPr>
          <w:rFonts w:eastAsia="Arial"/>
          <w:lang w:val="es-ES"/>
        </w:rPr>
        <w:t>los valores mínimos y máximos</w:t>
      </w:r>
      <w:r w:rsidRPr="00A45D9D">
        <w:rPr>
          <w:rFonts w:eastAsia="Arial"/>
          <w:lang w:val="es-ES"/>
        </w:rPr>
        <w:t xml:space="preserve"> de cada parámetro, además </w:t>
      </w:r>
      <w:r>
        <w:rPr>
          <w:rFonts w:eastAsia="Arial"/>
          <w:lang w:val="es-ES"/>
        </w:rPr>
        <w:t>se determinó el valor de</w:t>
      </w:r>
      <w:r w:rsidRPr="00CA217B">
        <w:rPr>
          <w:rFonts w:eastAsia="Arial"/>
          <w:i/>
          <w:lang w:val="es-ES"/>
        </w:rPr>
        <w:t xml:space="preserve"> p</w:t>
      </w:r>
      <w:r w:rsidRPr="00A45D9D">
        <w:rPr>
          <w:rFonts w:eastAsia="Arial"/>
          <w:lang w:val="es-ES"/>
        </w:rPr>
        <w:t xml:space="preserve"> utilizando un an</w:t>
      </w:r>
      <w:r>
        <w:rPr>
          <w:rFonts w:eastAsia="Arial"/>
          <w:lang w:val="es-ES"/>
        </w:rPr>
        <w:t xml:space="preserve">álisis de </w:t>
      </w:r>
      <w:proofErr w:type="spellStart"/>
      <w:r>
        <w:rPr>
          <w:rFonts w:eastAsia="Arial"/>
          <w:lang w:val="es-ES"/>
        </w:rPr>
        <w:t>Anova</w:t>
      </w:r>
      <w:proofErr w:type="spellEnd"/>
      <w:r w:rsidRPr="00A45D9D">
        <w:rPr>
          <w:rFonts w:eastAsia="Arial"/>
          <w:lang w:val="es-ES"/>
        </w:rPr>
        <w:t xml:space="preserve"> de un factor para 3 niveles.</w:t>
      </w:r>
    </w:p>
    <w:p w14:paraId="2C01830C" w14:textId="77777777" w:rsidR="00E27833" w:rsidRPr="00A45D9D" w:rsidRDefault="00E27833" w:rsidP="0097034C">
      <w:pPr>
        <w:spacing w:line="360" w:lineRule="auto"/>
        <w:jc w:val="both"/>
        <w:rPr>
          <w:rFonts w:eastAsia="Arial"/>
          <w:lang w:val="es-ES"/>
        </w:rPr>
      </w:pPr>
    </w:p>
    <w:p w14:paraId="26078574" w14:textId="71BC98C0" w:rsidR="00191243" w:rsidRPr="001F4CEE" w:rsidRDefault="007100A0" w:rsidP="001F4CEE">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R</w:t>
      </w:r>
      <w:r w:rsidR="00653C7C" w:rsidRPr="001F4CEE">
        <w:rPr>
          <w:rFonts w:ascii="Calibri" w:hAnsi="Calibri" w:cs="Calibri"/>
          <w:b/>
          <w:color w:val="000000" w:themeColor="text1"/>
          <w:sz w:val="28"/>
          <w:szCs w:val="28"/>
          <w:lang w:val="es-ES" w:eastAsia="es-ES"/>
        </w:rPr>
        <w:t>esultados</w:t>
      </w:r>
    </w:p>
    <w:p w14:paraId="0CFB8358" w14:textId="4E5D462E" w:rsidR="00E27833" w:rsidRDefault="00E27833" w:rsidP="00E27833">
      <w:pPr>
        <w:spacing w:line="360" w:lineRule="auto"/>
        <w:jc w:val="both"/>
      </w:pPr>
      <w:r w:rsidRPr="00A45D9D">
        <w:t>El presente estudio se realizó en el Hospital General Dr. Raymundo Abarca Alarcón durante el periodo de julio del 2016 a junio de 2017, en el área de ginecobstetricia</w:t>
      </w:r>
      <w:r>
        <w:t>. Las  pacientes fueron</w:t>
      </w:r>
      <w:r w:rsidRPr="00A45D9D">
        <w:t xml:space="preserve"> mujeres embarazadas que acuden a esta unidad nosocomial. En la </w:t>
      </w:r>
      <w:r w:rsidRPr="00EE48DD">
        <w:t>tabla 1</w:t>
      </w:r>
      <w:r w:rsidRPr="00A45D9D">
        <w:t xml:space="preserve"> se describe el porcentaje de las características sociodemográficas generales,</w:t>
      </w:r>
      <w:r>
        <w:t xml:space="preserve"> tales</w:t>
      </w:r>
      <w:r w:rsidRPr="00A45D9D">
        <w:t xml:space="preserve"> como el ingreso quincenal por familia, la ocupación, el nivel de estudio y el tipo de vivienda de las pacientes. </w:t>
      </w:r>
    </w:p>
    <w:p w14:paraId="6B5A4247" w14:textId="00AD8965" w:rsidR="00975A3C" w:rsidRDefault="00975A3C" w:rsidP="00E27833">
      <w:pPr>
        <w:spacing w:line="360" w:lineRule="auto"/>
        <w:jc w:val="both"/>
      </w:pPr>
    </w:p>
    <w:p w14:paraId="1C7C94E0" w14:textId="72681D28" w:rsidR="00975A3C" w:rsidRDefault="00975A3C" w:rsidP="00E27833">
      <w:pPr>
        <w:spacing w:line="360" w:lineRule="auto"/>
        <w:jc w:val="both"/>
      </w:pPr>
    </w:p>
    <w:p w14:paraId="1F336D53" w14:textId="12F5C6AC" w:rsidR="00975A3C" w:rsidRDefault="00975A3C" w:rsidP="00E27833">
      <w:pPr>
        <w:spacing w:line="360" w:lineRule="auto"/>
        <w:jc w:val="both"/>
      </w:pPr>
    </w:p>
    <w:p w14:paraId="79D36CD4" w14:textId="3F02F1A2" w:rsidR="00975A3C" w:rsidRDefault="00975A3C" w:rsidP="00E27833">
      <w:pPr>
        <w:spacing w:line="360" w:lineRule="auto"/>
        <w:jc w:val="both"/>
      </w:pPr>
    </w:p>
    <w:p w14:paraId="6EFCADFD" w14:textId="6EABB074" w:rsidR="00975A3C" w:rsidRDefault="00975A3C" w:rsidP="00E27833">
      <w:pPr>
        <w:spacing w:line="360" w:lineRule="auto"/>
        <w:jc w:val="both"/>
      </w:pPr>
    </w:p>
    <w:p w14:paraId="4B9D418F" w14:textId="6AE8E8AF" w:rsidR="00975A3C" w:rsidRDefault="00975A3C" w:rsidP="00E27833">
      <w:pPr>
        <w:spacing w:line="360" w:lineRule="auto"/>
        <w:jc w:val="both"/>
      </w:pPr>
    </w:p>
    <w:p w14:paraId="04336455" w14:textId="429CD3F1" w:rsidR="00975A3C" w:rsidRDefault="00975A3C" w:rsidP="00E27833">
      <w:pPr>
        <w:spacing w:line="360" w:lineRule="auto"/>
        <w:jc w:val="both"/>
      </w:pPr>
    </w:p>
    <w:p w14:paraId="157B8DD5" w14:textId="3FFCF095" w:rsidR="00975A3C" w:rsidRDefault="00975A3C" w:rsidP="00E27833">
      <w:pPr>
        <w:spacing w:line="360" w:lineRule="auto"/>
        <w:jc w:val="both"/>
      </w:pPr>
    </w:p>
    <w:p w14:paraId="65A6538D" w14:textId="5EC1C0F7" w:rsidR="00975A3C" w:rsidRDefault="00975A3C" w:rsidP="00E27833">
      <w:pPr>
        <w:spacing w:line="360" w:lineRule="auto"/>
        <w:jc w:val="both"/>
      </w:pPr>
    </w:p>
    <w:p w14:paraId="4A14A0F1" w14:textId="146F15E5" w:rsidR="00975A3C" w:rsidRDefault="00975A3C" w:rsidP="00E27833">
      <w:pPr>
        <w:spacing w:line="360" w:lineRule="auto"/>
        <w:jc w:val="both"/>
      </w:pPr>
    </w:p>
    <w:p w14:paraId="04A7AB97" w14:textId="77777777" w:rsidR="00975A3C" w:rsidRDefault="00975A3C" w:rsidP="00E27833">
      <w:pPr>
        <w:spacing w:line="360" w:lineRule="auto"/>
        <w:jc w:val="both"/>
      </w:pPr>
    </w:p>
    <w:p w14:paraId="0CA0EDCB" w14:textId="77777777" w:rsidR="00975A3C" w:rsidRPr="00A45D9D" w:rsidRDefault="00975A3C" w:rsidP="00E27833">
      <w:pPr>
        <w:spacing w:line="360" w:lineRule="auto"/>
        <w:jc w:val="both"/>
      </w:pPr>
    </w:p>
    <w:p w14:paraId="0FFA3623" w14:textId="14CF4543" w:rsidR="00E27833" w:rsidRDefault="00E27833" w:rsidP="00693461">
      <w:pPr>
        <w:spacing w:line="360" w:lineRule="auto"/>
        <w:jc w:val="both"/>
      </w:pPr>
    </w:p>
    <w:p w14:paraId="6EA0DDE0" w14:textId="2C6CBF9B" w:rsidR="00975A3C" w:rsidRDefault="00975A3C" w:rsidP="00693461">
      <w:pPr>
        <w:spacing w:line="360" w:lineRule="auto"/>
        <w:jc w:val="both"/>
      </w:pPr>
    </w:p>
    <w:p w14:paraId="62FF6011" w14:textId="7A15664E" w:rsidR="00975A3C" w:rsidRDefault="00975A3C" w:rsidP="00693461">
      <w:pPr>
        <w:spacing w:line="360" w:lineRule="auto"/>
        <w:jc w:val="both"/>
      </w:pPr>
    </w:p>
    <w:p w14:paraId="2202C163" w14:textId="77777777" w:rsidR="00975A3C" w:rsidRDefault="00975A3C" w:rsidP="00693461">
      <w:pPr>
        <w:spacing w:line="360" w:lineRule="auto"/>
        <w:jc w:val="both"/>
      </w:pPr>
    </w:p>
    <w:p w14:paraId="73234604" w14:textId="77777777" w:rsidR="006F1663" w:rsidRPr="00A45D9D" w:rsidRDefault="00D63037" w:rsidP="00D63037">
      <w:pPr>
        <w:spacing w:line="360" w:lineRule="auto"/>
        <w:jc w:val="center"/>
        <w:rPr>
          <w:b/>
        </w:rPr>
      </w:pPr>
      <w:r w:rsidRPr="00A45D9D">
        <w:rPr>
          <w:b/>
          <w:color w:val="000000" w:themeColor="text1"/>
        </w:rPr>
        <w:lastRenderedPageBreak/>
        <w:t xml:space="preserve">Tabla 1. </w:t>
      </w:r>
      <w:r w:rsidRPr="00BE552E">
        <w:rPr>
          <w:color w:val="000000" w:themeColor="text1"/>
        </w:rPr>
        <w:t>Características sociodemográficas de las pacientes</w:t>
      </w:r>
    </w:p>
    <w:tbl>
      <w:tblPr>
        <w:tblStyle w:val="Tabladecuadrcula6concolores-nfasis51"/>
        <w:tblW w:w="0" w:type="auto"/>
        <w:jc w:val="center"/>
        <w:tblLook w:val="04A0" w:firstRow="1" w:lastRow="0" w:firstColumn="1" w:lastColumn="0" w:noHBand="0" w:noVBand="1"/>
      </w:tblPr>
      <w:tblGrid>
        <w:gridCol w:w="2235"/>
        <w:gridCol w:w="2976"/>
        <w:gridCol w:w="1985"/>
      </w:tblGrid>
      <w:tr w:rsidR="00D63037" w:rsidRPr="00A45D9D" w14:paraId="6B8587FC" w14:textId="77777777" w:rsidTr="005433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11" w:type="dxa"/>
            <w:gridSpan w:val="2"/>
          </w:tcPr>
          <w:p w14:paraId="2B41F9B8" w14:textId="77777777" w:rsidR="00D63037" w:rsidRPr="00A45D9D" w:rsidRDefault="00D63037" w:rsidP="006F1663">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 xml:space="preserve">Datos generales </w:t>
            </w:r>
          </w:p>
        </w:tc>
        <w:tc>
          <w:tcPr>
            <w:tcW w:w="1985" w:type="dxa"/>
          </w:tcPr>
          <w:p w14:paraId="1D15E1D6" w14:textId="77777777" w:rsidR="00D63037" w:rsidRPr="00A45D9D" w:rsidRDefault="00D63037" w:rsidP="006F1663">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Porcentaje %</w:t>
            </w:r>
          </w:p>
        </w:tc>
      </w:tr>
      <w:tr w:rsidR="00D63037" w:rsidRPr="00A45D9D" w14:paraId="55D1415A"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val="restart"/>
          </w:tcPr>
          <w:p w14:paraId="7CBEC60E"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3DC0FC80"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2FA38641"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2F623798" w14:textId="77777777" w:rsidR="006F1663" w:rsidRPr="00A45D9D" w:rsidRDefault="006F1663" w:rsidP="006F1663">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Ingresos</w:t>
            </w:r>
          </w:p>
        </w:tc>
        <w:tc>
          <w:tcPr>
            <w:tcW w:w="2976" w:type="dxa"/>
          </w:tcPr>
          <w:p w14:paraId="65FB7CBC"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No contestó</w:t>
            </w:r>
          </w:p>
        </w:tc>
        <w:tc>
          <w:tcPr>
            <w:tcW w:w="1985" w:type="dxa"/>
          </w:tcPr>
          <w:p w14:paraId="7BED332D"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2.87%</w:t>
            </w:r>
          </w:p>
        </w:tc>
      </w:tr>
      <w:tr w:rsidR="005A5AAC" w:rsidRPr="00A45D9D" w14:paraId="2367055A"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57C50B36"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3D4BF793" w14:textId="77777777" w:rsidR="006F1663" w:rsidRPr="00A45D9D" w:rsidRDefault="00AA1AC4" w:rsidP="003F3F5D">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545454"/>
                <w:sz w:val="24"/>
                <w:szCs w:val="24"/>
                <w:shd w:val="clear" w:color="auto" w:fill="FFFFFF"/>
              </w:rPr>
              <w:t>$</w:t>
            </w:r>
            <w:r w:rsidR="006A5D80" w:rsidRPr="00A45D9D">
              <w:rPr>
                <w:rFonts w:ascii="Times New Roman" w:hAnsi="Times New Roman" w:cs="Times New Roman"/>
                <w:color w:val="000000" w:themeColor="text1"/>
                <w:sz w:val="24"/>
                <w:szCs w:val="24"/>
              </w:rPr>
              <w:t>80.93</w:t>
            </w:r>
            <w:r w:rsidR="003F3F5D" w:rsidRPr="00A45D9D">
              <w:rPr>
                <w:rFonts w:ascii="Times New Roman" w:hAnsi="Times New Roman" w:cs="Times New Roman"/>
                <w:color w:val="000000" w:themeColor="text1"/>
                <w:sz w:val="24"/>
                <w:szCs w:val="24"/>
              </w:rPr>
              <w:t xml:space="preserve"> USD</w:t>
            </w:r>
          </w:p>
        </w:tc>
        <w:tc>
          <w:tcPr>
            <w:tcW w:w="1985" w:type="dxa"/>
          </w:tcPr>
          <w:p w14:paraId="26659DE4"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64.37%</w:t>
            </w:r>
          </w:p>
        </w:tc>
      </w:tr>
      <w:tr w:rsidR="00D63037" w:rsidRPr="00A45D9D" w14:paraId="3118E26C"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42451926"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6FE29D45" w14:textId="77777777" w:rsidR="006F1663" w:rsidRPr="00A45D9D" w:rsidRDefault="003F3F5D"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w:t>
            </w:r>
            <w:r w:rsidR="00AA1AC4" w:rsidRPr="00A45D9D">
              <w:rPr>
                <w:rFonts w:ascii="Times New Roman" w:hAnsi="Times New Roman" w:cs="Times New Roman"/>
                <w:color w:val="000000" w:themeColor="text1"/>
                <w:sz w:val="24"/>
                <w:szCs w:val="24"/>
              </w:rPr>
              <w:t>134.89</w:t>
            </w:r>
            <w:r w:rsidRPr="00A45D9D">
              <w:rPr>
                <w:rFonts w:ascii="Times New Roman" w:hAnsi="Times New Roman" w:cs="Times New Roman"/>
                <w:color w:val="000000" w:themeColor="text1"/>
                <w:sz w:val="24"/>
                <w:szCs w:val="24"/>
              </w:rPr>
              <w:t xml:space="preserve"> USD</w:t>
            </w:r>
          </w:p>
        </w:tc>
        <w:tc>
          <w:tcPr>
            <w:tcW w:w="1985" w:type="dxa"/>
          </w:tcPr>
          <w:p w14:paraId="63B8516E"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15.52%</w:t>
            </w:r>
          </w:p>
        </w:tc>
      </w:tr>
      <w:tr w:rsidR="005A5AAC" w:rsidRPr="00A45D9D" w14:paraId="112ED8C8"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22B30D92"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4A1C66B1" w14:textId="77777777" w:rsidR="006F1663" w:rsidRPr="00A45D9D" w:rsidRDefault="003F3F5D"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w:t>
            </w:r>
            <w:r w:rsidR="00AA1AC4" w:rsidRPr="00A45D9D">
              <w:rPr>
                <w:rFonts w:ascii="Times New Roman" w:hAnsi="Times New Roman" w:cs="Times New Roman"/>
                <w:color w:val="000000" w:themeColor="text1"/>
                <w:sz w:val="24"/>
                <w:szCs w:val="24"/>
              </w:rPr>
              <w:t>188.85</w:t>
            </w:r>
            <w:r w:rsidRPr="00A45D9D">
              <w:rPr>
                <w:rFonts w:ascii="Times New Roman" w:hAnsi="Times New Roman" w:cs="Times New Roman"/>
                <w:color w:val="000000" w:themeColor="text1"/>
                <w:sz w:val="24"/>
                <w:szCs w:val="24"/>
              </w:rPr>
              <w:t xml:space="preserve"> USD</w:t>
            </w:r>
          </w:p>
        </w:tc>
        <w:tc>
          <w:tcPr>
            <w:tcW w:w="1985" w:type="dxa"/>
          </w:tcPr>
          <w:p w14:paraId="3E9C672C"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9.20%</w:t>
            </w:r>
          </w:p>
        </w:tc>
      </w:tr>
      <w:tr w:rsidR="00D63037" w:rsidRPr="00A45D9D" w14:paraId="68620E08"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4D3F234F"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0A3A5F73" w14:textId="77777777" w:rsidR="006F1663" w:rsidRPr="00A45D9D" w:rsidRDefault="003F3F5D"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w:t>
            </w:r>
            <w:r w:rsidR="00AA1AC4" w:rsidRPr="00A45D9D">
              <w:rPr>
                <w:rFonts w:ascii="Times New Roman" w:hAnsi="Times New Roman" w:cs="Times New Roman"/>
                <w:color w:val="000000" w:themeColor="text1"/>
                <w:sz w:val="24"/>
                <w:szCs w:val="24"/>
              </w:rPr>
              <w:t>242.81</w:t>
            </w:r>
            <w:r w:rsidRPr="00A45D9D">
              <w:rPr>
                <w:rFonts w:ascii="Times New Roman" w:hAnsi="Times New Roman" w:cs="Times New Roman"/>
                <w:color w:val="000000" w:themeColor="text1"/>
                <w:sz w:val="24"/>
                <w:szCs w:val="24"/>
              </w:rPr>
              <w:t xml:space="preserve"> USD</w:t>
            </w:r>
          </w:p>
        </w:tc>
        <w:tc>
          <w:tcPr>
            <w:tcW w:w="1985" w:type="dxa"/>
          </w:tcPr>
          <w:p w14:paraId="7C6C78C5"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2.87%</w:t>
            </w:r>
          </w:p>
        </w:tc>
      </w:tr>
      <w:tr w:rsidR="005A5AAC" w:rsidRPr="00A45D9D" w14:paraId="78E4843E"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14C13B79"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54136061" w14:textId="77777777" w:rsidR="006F1663" w:rsidRPr="00A45D9D" w:rsidRDefault="003F3F5D"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w:t>
            </w:r>
            <w:r w:rsidR="00AA1AC4" w:rsidRPr="00A45D9D">
              <w:rPr>
                <w:rFonts w:ascii="Times New Roman" w:hAnsi="Times New Roman" w:cs="Times New Roman"/>
                <w:color w:val="000000" w:themeColor="text1"/>
                <w:sz w:val="24"/>
                <w:szCs w:val="24"/>
              </w:rPr>
              <w:t>269.78</w:t>
            </w:r>
            <w:r w:rsidRPr="00A45D9D">
              <w:rPr>
                <w:rFonts w:ascii="Times New Roman" w:hAnsi="Times New Roman" w:cs="Times New Roman"/>
                <w:color w:val="000000" w:themeColor="text1"/>
                <w:sz w:val="24"/>
                <w:szCs w:val="24"/>
              </w:rPr>
              <w:t xml:space="preserve"> USD</w:t>
            </w:r>
          </w:p>
        </w:tc>
        <w:tc>
          <w:tcPr>
            <w:tcW w:w="1985" w:type="dxa"/>
          </w:tcPr>
          <w:p w14:paraId="066557C3"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5.17%</w:t>
            </w:r>
          </w:p>
        </w:tc>
      </w:tr>
      <w:tr w:rsidR="005A5AAC" w:rsidRPr="00A45D9D" w14:paraId="54C57065"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val="restart"/>
          </w:tcPr>
          <w:p w14:paraId="71B22566"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5A51A307"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08E82FD1" w14:textId="77777777" w:rsidR="006F1663" w:rsidRPr="00A45D9D" w:rsidRDefault="006F1663" w:rsidP="006F1663">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Ocupación</w:t>
            </w:r>
          </w:p>
        </w:tc>
        <w:tc>
          <w:tcPr>
            <w:tcW w:w="2976" w:type="dxa"/>
          </w:tcPr>
          <w:p w14:paraId="4E7F2A75"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No trabaja</w:t>
            </w:r>
          </w:p>
        </w:tc>
        <w:tc>
          <w:tcPr>
            <w:tcW w:w="1985" w:type="dxa"/>
          </w:tcPr>
          <w:p w14:paraId="7F8CB9EB"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0.57%</w:t>
            </w:r>
          </w:p>
        </w:tc>
      </w:tr>
      <w:tr w:rsidR="005A5AAC" w:rsidRPr="00A45D9D" w14:paraId="40B4A002"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3575AEA1"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7EB92B74"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Ama de casa</w:t>
            </w:r>
          </w:p>
        </w:tc>
        <w:tc>
          <w:tcPr>
            <w:tcW w:w="1985" w:type="dxa"/>
          </w:tcPr>
          <w:p w14:paraId="20C50099"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79.31%</w:t>
            </w:r>
          </w:p>
        </w:tc>
      </w:tr>
      <w:tr w:rsidR="005A5AAC" w:rsidRPr="00A45D9D" w14:paraId="552FEDB9"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6C6B4FEE"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6BE64A2E"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Profesionista</w:t>
            </w:r>
          </w:p>
        </w:tc>
        <w:tc>
          <w:tcPr>
            <w:tcW w:w="1985" w:type="dxa"/>
          </w:tcPr>
          <w:p w14:paraId="7CB8B620"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14.37%</w:t>
            </w:r>
          </w:p>
        </w:tc>
      </w:tr>
      <w:tr w:rsidR="005A5AAC" w:rsidRPr="00A45D9D" w14:paraId="53FE902A"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2ABFB50A"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17910A84"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Comerciante</w:t>
            </w:r>
          </w:p>
        </w:tc>
        <w:tc>
          <w:tcPr>
            <w:tcW w:w="1985" w:type="dxa"/>
          </w:tcPr>
          <w:p w14:paraId="324D212D"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1.15%</w:t>
            </w:r>
          </w:p>
        </w:tc>
      </w:tr>
      <w:tr w:rsidR="005A5AAC" w:rsidRPr="00A45D9D" w14:paraId="231A0D2A"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67ED8CC6"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1F3E68E4"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Estudiante</w:t>
            </w:r>
          </w:p>
        </w:tc>
        <w:tc>
          <w:tcPr>
            <w:tcW w:w="1985" w:type="dxa"/>
          </w:tcPr>
          <w:p w14:paraId="384AA7F4"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4.6%</w:t>
            </w:r>
          </w:p>
        </w:tc>
      </w:tr>
      <w:tr w:rsidR="005A5AAC" w:rsidRPr="00A45D9D" w14:paraId="2C68EB2F"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DAEEF3" w:themeFill="accent5" w:themeFillTint="33"/>
          </w:tcPr>
          <w:p w14:paraId="3977CFB6" w14:textId="77777777" w:rsidR="006F1663" w:rsidRPr="00A45D9D" w:rsidRDefault="006F1663" w:rsidP="0078634C">
            <w:pPr>
              <w:pStyle w:val="Sinespaciado"/>
              <w:rPr>
                <w:rFonts w:ascii="Times New Roman" w:hAnsi="Times New Roman" w:cs="Times New Roman"/>
                <w:color w:val="000000" w:themeColor="text1"/>
                <w:sz w:val="24"/>
                <w:szCs w:val="24"/>
              </w:rPr>
            </w:pPr>
          </w:p>
          <w:p w14:paraId="44684F96" w14:textId="77777777" w:rsidR="006F1663" w:rsidRPr="00A45D9D" w:rsidRDefault="006F1663" w:rsidP="0078634C">
            <w:pPr>
              <w:pStyle w:val="Sinespaciado"/>
              <w:rPr>
                <w:rFonts w:ascii="Times New Roman" w:hAnsi="Times New Roman" w:cs="Times New Roman"/>
                <w:color w:val="000000" w:themeColor="text1"/>
                <w:sz w:val="24"/>
                <w:szCs w:val="24"/>
              </w:rPr>
            </w:pPr>
          </w:p>
          <w:p w14:paraId="70C1F87E" w14:textId="77777777" w:rsidR="006F1663" w:rsidRPr="00A45D9D" w:rsidRDefault="006F1663" w:rsidP="0078634C">
            <w:pPr>
              <w:pStyle w:val="Sinespaciado"/>
              <w:rPr>
                <w:rFonts w:ascii="Times New Roman" w:hAnsi="Times New Roman" w:cs="Times New Roman"/>
                <w:color w:val="000000" w:themeColor="text1"/>
                <w:sz w:val="24"/>
                <w:szCs w:val="24"/>
              </w:rPr>
            </w:pPr>
          </w:p>
          <w:p w14:paraId="5C66F328" w14:textId="77777777" w:rsidR="006F1663" w:rsidRPr="00A45D9D" w:rsidRDefault="006F1663" w:rsidP="006F1663">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Nivel de estudio</w:t>
            </w:r>
          </w:p>
        </w:tc>
        <w:tc>
          <w:tcPr>
            <w:tcW w:w="2976" w:type="dxa"/>
          </w:tcPr>
          <w:p w14:paraId="748B2942"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 xml:space="preserve">No contesto </w:t>
            </w:r>
          </w:p>
        </w:tc>
        <w:tc>
          <w:tcPr>
            <w:tcW w:w="1985" w:type="dxa"/>
          </w:tcPr>
          <w:p w14:paraId="19BAC01D"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2.3%</w:t>
            </w:r>
          </w:p>
        </w:tc>
      </w:tr>
      <w:tr w:rsidR="005A5AAC" w:rsidRPr="00A45D9D" w14:paraId="1B360BA7"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50132AF6"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tc>
        <w:tc>
          <w:tcPr>
            <w:tcW w:w="2976" w:type="dxa"/>
          </w:tcPr>
          <w:p w14:paraId="0A6404C0"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Primaria</w:t>
            </w:r>
          </w:p>
        </w:tc>
        <w:tc>
          <w:tcPr>
            <w:tcW w:w="1985" w:type="dxa"/>
          </w:tcPr>
          <w:p w14:paraId="3A16E403"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13.22%</w:t>
            </w:r>
          </w:p>
        </w:tc>
      </w:tr>
      <w:tr w:rsidR="005A5AAC" w:rsidRPr="00A45D9D" w14:paraId="29160636"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DAEEF3" w:themeFill="accent5" w:themeFillTint="33"/>
          </w:tcPr>
          <w:p w14:paraId="0369C0DE"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0B18A4CC"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Secundaria</w:t>
            </w:r>
          </w:p>
        </w:tc>
        <w:tc>
          <w:tcPr>
            <w:tcW w:w="1985" w:type="dxa"/>
          </w:tcPr>
          <w:p w14:paraId="4B76D6AA"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32.18%</w:t>
            </w:r>
          </w:p>
        </w:tc>
      </w:tr>
      <w:tr w:rsidR="005A5AAC" w:rsidRPr="00A45D9D" w14:paraId="748D5B85"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4CF8FFE9"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077E73A0"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Bachillerato</w:t>
            </w:r>
          </w:p>
        </w:tc>
        <w:tc>
          <w:tcPr>
            <w:tcW w:w="1985" w:type="dxa"/>
          </w:tcPr>
          <w:p w14:paraId="19267CC5"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28.74%</w:t>
            </w:r>
          </w:p>
        </w:tc>
      </w:tr>
      <w:tr w:rsidR="005A5AAC" w:rsidRPr="00A45D9D" w14:paraId="6E5D3007"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DAEEF3" w:themeFill="accent5" w:themeFillTint="33"/>
          </w:tcPr>
          <w:p w14:paraId="6DFCE1DE"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1971F8DD"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Licenciatura</w:t>
            </w:r>
          </w:p>
        </w:tc>
        <w:tc>
          <w:tcPr>
            <w:tcW w:w="1985" w:type="dxa"/>
          </w:tcPr>
          <w:p w14:paraId="4464E976"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18.39%</w:t>
            </w:r>
          </w:p>
        </w:tc>
      </w:tr>
      <w:tr w:rsidR="005A5AAC" w:rsidRPr="00A45D9D" w14:paraId="7CAAF0CB"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0808666C"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454DE3AC"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Maestría</w:t>
            </w:r>
          </w:p>
        </w:tc>
        <w:tc>
          <w:tcPr>
            <w:tcW w:w="1985" w:type="dxa"/>
          </w:tcPr>
          <w:p w14:paraId="58241E4A" w14:textId="77777777" w:rsidR="006F1663" w:rsidRPr="00A45D9D" w:rsidRDefault="005A5AAC"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1.15%</w:t>
            </w:r>
          </w:p>
        </w:tc>
      </w:tr>
      <w:tr w:rsidR="005A5AAC" w:rsidRPr="00A45D9D" w14:paraId="0F03A2EE"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DAEEF3" w:themeFill="accent5" w:themeFillTint="33"/>
          </w:tcPr>
          <w:p w14:paraId="44E49BE0"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113CAB3B"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Ninguno</w:t>
            </w:r>
          </w:p>
        </w:tc>
        <w:tc>
          <w:tcPr>
            <w:tcW w:w="1985" w:type="dxa"/>
          </w:tcPr>
          <w:p w14:paraId="5F81BB84" w14:textId="77777777" w:rsidR="006F1663" w:rsidRPr="00A45D9D" w:rsidRDefault="005A5AAC"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4.02%</w:t>
            </w:r>
          </w:p>
        </w:tc>
      </w:tr>
      <w:tr w:rsidR="005A5AAC" w:rsidRPr="00A45D9D" w14:paraId="3C72953B"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val="restart"/>
          </w:tcPr>
          <w:p w14:paraId="198E2E20"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7E8C34CC" w14:textId="77777777" w:rsidR="006F1663" w:rsidRPr="00A45D9D" w:rsidRDefault="006F1663" w:rsidP="006F1663">
            <w:pPr>
              <w:pStyle w:val="Sinespaciado"/>
              <w:jc w:val="center"/>
              <w:rPr>
                <w:rFonts w:ascii="Times New Roman" w:hAnsi="Times New Roman" w:cs="Times New Roman"/>
                <w:color w:val="000000" w:themeColor="text1"/>
                <w:sz w:val="24"/>
                <w:szCs w:val="24"/>
              </w:rPr>
            </w:pPr>
          </w:p>
          <w:p w14:paraId="63D278A2" w14:textId="77777777" w:rsidR="006F1663" w:rsidRPr="00A45D9D" w:rsidRDefault="006F1663" w:rsidP="006F1663">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Tipo de vivienda</w:t>
            </w:r>
          </w:p>
        </w:tc>
        <w:tc>
          <w:tcPr>
            <w:tcW w:w="2976" w:type="dxa"/>
          </w:tcPr>
          <w:p w14:paraId="1C6AC8E1"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No contestó</w:t>
            </w:r>
          </w:p>
        </w:tc>
        <w:tc>
          <w:tcPr>
            <w:tcW w:w="1985" w:type="dxa"/>
          </w:tcPr>
          <w:p w14:paraId="47A9140A"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2.87%</w:t>
            </w:r>
          </w:p>
        </w:tc>
      </w:tr>
      <w:tr w:rsidR="005A5AAC" w:rsidRPr="00A45D9D" w14:paraId="01C602E6"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12D3CADC"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621A05E7"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Cemento</w:t>
            </w:r>
          </w:p>
        </w:tc>
        <w:tc>
          <w:tcPr>
            <w:tcW w:w="1985" w:type="dxa"/>
          </w:tcPr>
          <w:p w14:paraId="1B6160A9"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56.32%</w:t>
            </w:r>
          </w:p>
        </w:tc>
      </w:tr>
      <w:tr w:rsidR="005A5AAC" w:rsidRPr="00A45D9D" w14:paraId="1896A00F"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2469DA51"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0BE92814"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Madera</w:t>
            </w:r>
          </w:p>
        </w:tc>
        <w:tc>
          <w:tcPr>
            <w:tcW w:w="1985" w:type="dxa"/>
          </w:tcPr>
          <w:p w14:paraId="0AB338CC"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30.46%</w:t>
            </w:r>
          </w:p>
        </w:tc>
      </w:tr>
      <w:tr w:rsidR="005A5AAC" w:rsidRPr="00A45D9D" w14:paraId="352E1356" w14:textId="77777777" w:rsidTr="00D63037">
        <w:trPr>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658730E5"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0E6BAC0B"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Adobe</w:t>
            </w:r>
          </w:p>
        </w:tc>
        <w:tc>
          <w:tcPr>
            <w:tcW w:w="1985" w:type="dxa"/>
          </w:tcPr>
          <w:p w14:paraId="53B3D638" w14:textId="77777777" w:rsidR="006F1663" w:rsidRPr="00A45D9D" w:rsidRDefault="006F1663" w:rsidP="006F1663">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5.75%</w:t>
            </w:r>
          </w:p>
        </w:tc>
      </w:tr>
      <w:tr w:rsidR="005A5AAC" w:rsidRPr="00A45D9D" w14:paraId="10DA0F17" w14:textId="77777777" w:rsidTr="00D63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vMerge/>
          </w:tcPr>
          <w:p w14:paraId="43A8A0C9" w14:textId="77777777" w:rsidR="006F1663" w:rsidRPr="00A45D9D" w:rsidRDefault="006F1663" w:rsidP="0078634C">
            <w:pPr>
              <w:pStyle w:val="Sinespaciado"/>
              <w:rPr>
                <w:rFonts w:ascii="Times New Roman" w:hAnsi="Times New Roman" w:cs="Times New Roman"/>
                <w:color w:val="000000" w:themeColor="text1"/>
                <w:sz w:val="24"/>
                <w:szCs w:val="24"/>
              </w:rPr>
            </w:pPr>
          </w:p>
        </w:tc>
        <w:tc>
          <w:tcPr>
            <w:tcW w:w="2976" w:type="dxa"/>
          </w:tcPr>
          <w:p w14:paraId="372D10FE"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Lamina</w:t>
            </w:r>
          </w:p>
        </w:tc>
        <w:tc>
          <w:tcPr>
            <w:tcW w:w="1985" w:type="dxa"/>
          </w:tcPr>
          <w:p w14:paraId="56F1AF2C" w14:textId="77777777" w:rsidR="006F1663" w:rsidRPr="00A45D9D" w:rsidRDefault="006F1663" w:rsidP="006F1663">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4.60%</w:t>
            </w:r>
          </w:p>
        </w:tc>
      </w:tr>
    </w:tbl>
    <w:p w14:paraId="1FF41781" w14:textId="0D5E4A75" w:rsidR="004970F8" w:rsidRPr="00E27833" w:rsidRDefault="00EA11E4" w:rsidP="00F17255">
      <w:pPr>
        <w:jc w:val="center"/>
      </w:pPr>
      <w:r w:rsidRPr="00BE552E">
        <w:t>Fuente</w:t>
      </w:r>
      <w:r w:rsidRPr="00E27833">
        <w:t>: Datos de la investigación.</w:t>
      </w:r>
    </w:p>
    <w:p w14:paraId="72366582" w14:textId="77777777" w:rsidR="004970F8" w:rsidRPr="002C564C" w:rsidRDefault="004970F8" w:rsidP="00C4133E">
      <w:pPr>
        <w:spacing w:line="360" w:lineRule="auto"/>
        <w:jc w:val="center"/>
        <w:rPr>
          <w:rFonts w:eastAsia="Arial"/>
        </w:rPr>
      </w:pPr>
    </w:p>
    <w:p w14:paraId="09B239FD" w14:textId="2F6E7894" w:rsidR="00E27833" w:rsidRDefault="00E27833" w:rsidP="00BE552E">
      <w:pPr>
        <w:spacing w:line="360" w:lineRule="auto"/>
        <w:jc w:val="both"/>
        <w:rPr>
          <w:rFonts w:eastAsia="Arial"/>
          <w:lang w:val="es-ES"/>
        </w:rPr>
      </w:pPr>
      <w:r w:rsidRPr="00A45D9D">
        <w:rPr>
          <w:rFonts w:eastAsia="Arial"/>
          <w:lang w:val="es-ES"/>
        </w:rPr>
        <w:t xml:space="preserve">En la tabla 2 se muestra la media y desviación estándar de cada uno de los parámetros de la química sanguínea, también se observan valores mínimos y máximos. Se presentan alteraciones en las pacientes </w:t>
      </w:r>
      <w:proofErr w:type="gramStart"/>
      <w:r w:rsidRPr="00A45D9D">
        <w:rPr>
          <w:rFonts w:eastAsia="Arial"/>
          <w:lang w:val="es-ES"/>
        </w:rPr>
        <w:t>de acuerdo a</w:t>
      </w:r>
      <w:proofErr w:type="gramEnd"/>
      <w:r w:rsidRPr="00A45D9D">
        <w:rPr>
          <w:rFonts w:eastAsia="Arial"/>
          <w:lang w:val="es-ES"/>
        </w:rPr>
        <w:t xml:space="preserve"> los valores de referencia en varios paráme</w:t>
      </w:r>
      <w:r>
        <w:rPr>
          <w:rFonts w:eastAsia="Arial"/>
          <w:lang w:val="es-ES"/>
        </w:rPr>
        <w:t>tros, como la urea con</w:t>
      </w:r>
      <w:r w:rsidRPr="00A45D9D">
        <w:rPr>
          <w:rFonts w:eastAsia="Arial"/>
          <w:lang w:val="es-ES"/>
        </w:rPr>
        <w:t xml:space="preserve"> 67.95</w:t>
      </w:r>
      <w:r>
        <w:rPr>
          <w:rFonts w:eastAsia="Arial"/>
          <w:lang w:val="es-ES"/>
        </w:rPr>
        <w:t xml:space="preserve"> %, creatinina con</w:t>
      </w:r>
      <w:r w:rsidRPr="00A45D9D">
        <w:rPr>
          <w:rFonts w:eastAsia="Arial"/>
          <w:lang w:val="es-ES"/>
        </w:rPr>
        <w:t xml:space="preserve"> 79.55</w:t>
      </w:r>
      <w:r>
        <w:rPr>
          <w:rFonts w:eastAsia="Arial"/>
          <w:lang w:val="es-ES"/>
        </w:rPr>
        <w:t xml:space="preserve"> </w:t>
      </w:r>
      <w:r w:rsidRPr="00A45D9D">
        <w:rPr>
          <w:rFonts w:eastAsia="Arial"/>
          <w:lang w:val="es-ES"/>
        </w:rPr>
        <w:t xml:space="preserve">%, </w:t>
      </w:r>
      <w:r>
        <w:rPr>
          <w:rFonts w:eastAsia="Arial"/>
          <w:lang w:val="es-ES"/>
        </w:rPr>
        <w:t xml:space="preserve">colesterol con </w:t>
      </w:r>
      <w:r w:rsidRPr="00400331">
        <w:rPr>
          <w:rFonts w:eastAsia="Arial"/>
          <w:lang w:val="es-ES"/>
        </w:rPr>
        <w:t>69.61</w:t>
      </w:r>
      <w:r>
        <w:rPr>
          <w:rFonts w:eastAsia="Arial"/>
          <w:lang w:val="es-ES"/>
        </w:rPr>
        <w:t xml:space="preserve"> % y triglicéridos con </w:t>
      </w:r>
      <w:r w:rsidRPr="00400331">
        <w:rPr>
          <w:rFonts w:eastAsia="Arial"/>
          <w:lang w:val="es-ES"/>
        </w:rPr>
        <w:t>92.26</w:t>
      </w:r>
      <w:r>
        <w:rPr>
          <w:rFonts w:eastAsia="Arial"/>
          <w:lang w:val="es-ES"/>
        </w:rPr>
        <w:t xml:space="preserve"> </w:t>
      </w:r>
      <w:r w:rsidRPr="00400331">
        <w:rPr>
          <w:rFonts w:eastAsia="Arial"/>
          <w:lang w:val="es-ES"/>
        </w:rPr>
        <w:t>%</w:t>
      </w:r>
      <w:r>
        <w:rPr>
          <w:rFonts w:eastAsia="Arial"/>
          <w:lang w:val="es-ES"/>
        </w:rPr>
        <w:t>, en relación con los valores de referencia de una población de mujeres no embarazadas.</w:t>
      </w:r>
    </w:p>
    <w:p w14:paraId="3C148C80" w14:textId="7B5ECFF5" w:rsidR="00975A3C" w:rsidRDefault="00975A3C" w:rsidP="00BE552E">
      <w:pPr>
        <w:spacing w:line="360" w:lineRule="auto"/>
        <w:jc w:val="both"/>
        <w:rPr>
          <w:rFonts w:eastAsia="Arial"/>
          <w:lang w:val="es-ES"/>
        </w:rPr>
      </w:pPr>
    </w:p>
    <w:p w14:paraId="7F5CD273" w14:textId="27028E13" w:rsidR="00975A3C" w:rsidRDefault="00975A3C" w:rsidP="00BE552E">
      <w:pPr>
        <w:spacing w:line="360" w:lineRule="auto"/>
        <w:jc w:val="both"/>
        <w:rPr>
          <w:rFonts w:eastAsia="Arial"/>
          <w:lang w:val="es-ES"/>
        </w:rPr>
      </w:pPr>
    </w:p>
    <w:p w14:paraId="281131F7" w14:textId="36B69A03" w:rsidR="00975A3C" w:rsidRDefault="00975A3C" w:rsidP="00BE552E">
      <w:pPr>
        <w:spacing w:line="360" w:lineRule="auto"/>
        <w:jc w:val="both"/>
        <w:rPr>
          <w:rFonts w:eastAsia="Arial"/>
          <w:lang w:val="es-ES"/>
        </w:rPr>
      </w:pPr>
    </w:p>
    <w:p w14:paraId="163F314B" w14:textId="1152D9AC" w:rsidR="00975A3C" w:rsidRDefault="00975A3C" w:rsidP="00BE552E">
      <w:pPr>
        <w:spacing w:line="360" w:lineRule="auto"/>
        <w:jc w:val="both"/>
        <w:rPr>
          <w:rFonts w:eastAsia="Arial"/>
          <w:lang w:val="es-ES"/>
        </w:rPr>
      </w:pPr>
    </w:p>
    <w:p w14:paraId="327563A4" w14:textId="77777777" w:rsidR="00975A3C" w:rsidRDefault="00975A3C" w:rsidP="00BE552E">
      <w:pPr>
        <w:spacing w:line="360" w:lineRule="auto"/>
        <w:jc w:val="both"/>
        <w:rPr>
          <w:rFonts w:eastAsia="Arial"/>
          <w:lang w:val="es-ES"/>
        </w:rPr>
      </w:pPr>
    </w:p>
    <w:p w14:paraId="186C3176" w14:textId="77777777" w:rsidR="00E27833" w:rsidRDefault="00E27833" w:rsidP="00F17255">
      <w:pPr>
        <w:spacing w:line="360" w:lineRule="auto"/>
        <w:jc w:val="both"/>
        <w:rPr>
          <w:rFonts w:eastAsia="Arial"/>
          <w:lang w:val="es-ES"/>
        </w:rPr>
      </w:pPr>
    </w:p>
    <w:p w14:paraId="6B53A69F" w14:textId="77777777" w:rsidR="007100A0" w:rsidRPr="00A45D9D" w:rsidRDefault="007100A0" w:rsidP="004970F8">
      <w:pPr>
        <w:spacing w:line="360" w:lineRule="auto"/>
        <w:jc w:val="center"/>
        <w:rPr>
          <w:b/>
        </w:rPr>
      </w:pPr>
      <w:r w:rsidRPr="00A45D9D">
        <w:rPr>
          <w:b/>
        </w:rPr>
        <w:lastRenderedPageBreak/>
        <w:t xml:space="preserve">Tabla </w:t>
      </w:r>
      <w:r w:rsidR="005A5AAC" w:rsidRPr="00A45D9D">
        <w:rPr>
          <w:b/>
        </w:rPr>
        <w:t>2</w:t>
      </w:r>
      <w:r w:rsidRPr="00A45D9D">
        <w:rPr>
          <w:b/>
        </w:rPr>
        <w:t xml:space="preserve">. </w:t>
      </w:r>
      <w:r w:rsidRPr="00BE552E">
        <w:t>Datos estadísticos de los parámetros bioquímicos en las pacientes  embarazadas del Hospital General Dr. Raymundo Abarca Alarcón</w:t>
      </w:r>
    </w:p>
    <w:tbl>
      <w:tblPr>
        <w:tblStyle w:val="Tabladecuadrcula6concolores-nfasis51"/>
        <w:tblW w:w="9217" w:type="dxa"/>
        <w:jc w:val="center"/>
        <w:tblLook w:val="04A0" w:firstRow="1" w:lastRow="0" w:firstColumn="1" w:lastColumn="0" w:noHBand="0" w:noVBand="1"/>
      </w:tblPr>
      <w:tblGrid>
        <w:gridCol w:w="2544"/>
        <w:gridCol w:w="856"/>
        <w:gridCol w:w="1275"/>
        <w:gridCol w:w="1133"/>
        <w:gridCol w:w="851"/>
        <w:gridCol w:w="850"/>
        <w:gridCol w:w="1708"/>
      </w:tblGrid>
      <w:tr w:rsidR="007100A0" w:rsidRPr="00A45D9D" w14:paraId="0ECD094F" w14:textId="77777777" w:rsidTr="00D04F5D">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2547" w:type="dxa"/>
          </w:tcPr>
          <w:p w14:paraId="032C1D2C" w14:textId="77777777" w:rsidR="007100A0" w:rsidRPr="00A45D9D" w:rsidRDefault="007100A0" w:rsidP="00C03974">
            <w:pPr>
              <w:pStyle w:val="Sinespaciado"/>
              <w:jc w:val="center"/>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Variable</w:t>
            </w:r>
          </w:p>
        </w:tc>
        <w:tc>
          <w:tcPr>
            <w:tcW w:w="850" w:type="dxa"/>
          </w:tcPr>
          <w:p w14:paraId="4E67DAC1" w14:textId="77777777" w:rsidR="007100A0" w:rsidRPr="00A45D9D" w:rsidRDefault="006A1D62"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U</w:t>
            </w:r>
          </w:p>
        </w:tc>
        <w:tc>
          <w:tcPr>
            <w:tcW w:w="1276" w:type="dxa"/>
          </w:tcPr>
          <w:p w14:paraId="013FF9AF" w14:textId="77777777" w:rsidR="007100A0" w:rsidRPr="00A45D9D" w:rsidRDefault="007100A0"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Media</w:t>
            </w:r>
          </w:p>
        </w:tc>
        <w:tc>
          <w:tcPr>
            <w:tcW w:w="1134" w:type="dxa"/>
          </w:tcPr>
          <w:p w14:paraId="0E5A5158" w14:textId="77777777" w:rsidR="007100A0" w:rsidRPr="00A45D9D" w:rsidRDefault="007100A0"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DS</w:t>
            </w:r>
          </w:p>
        </w:tc>
        <w:tc>
          <w:tcPr>
            <w:tcW w:w="851" w:type="dxa"/>
          </w:tcPr>
          <w:p w14:paraId="39EF5B3C" w14:textId="77777777" w:rsidR="007100A0" w:rsidRPr="00A45D9D" w:rsidRDefault="007100A0"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Mín.</w:t>
            </w:r>
          </w:p>
        </w:tc>
        <w:tc>
          <w:tcPr>
            <w:tcW w:w="850" w:type="dxa"/>
          </w:tcPr>
          <w:p w14:paraId="2E8BEFF7" w14:textId="77777777" w:rsidR="007100A0" w:rsidRPr="00A45D9D" w:rsidRDefault="007100A0"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Máx.</w:t>
            </w:r>
          </w:p>
        </w:tc>
        <w:tc>
          <w:tcPr>
            <w:tcW w:w="1709" w:type="dxa"/>
          </w:tcPr>
          <w:p w14:paraId="4981ACBF" w14:textId="77777777" w:rsidR="007100A0" w:rsidRPr="00A45D9D" w:rsidRDefault="007100A0"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 Anormales</w:t>
            </w:r>
          </w:p>
        </w:tc>
      </w:tr>
      <w:tr w:rsidR="007100A0" w:rsidRPr="00A45D9D" w14:paraId="3CAAC2A0" w14:textId="77777777" w:rsidTr="00D04F5D">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547" w:type="dxa"/>
          </w:tcPr>
          <w:p w14:paraId="6AEAE115"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Glucosa Sérica</w:t>
            </w:r>
          </w:p>
        </w:tc>
        <w:tc>
          <w:tcPr>
            <w:tcW w:w="850" w:type="dxa"/>
          </w:tcPr>
          <w:p w14:paraId="4FC9C41C" w14:textId="3B28D3BB"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mg/</w:t>
            </w:r>
            <w:proofErr w:type="spellStart"/>
            <w:r w:rsidR="00775E7F">
              <w:rPr>
                <w:rFonts w:ascii="Times New Roman" w:hAnsi="Times New Roman" w:cs="Times New Roman"/>
                <w:color w:val="000000" w:themeColor="text1"/>
                <w:sz w:val="24"/>
                <w:szCs w:val="24"/>
              </w:rPr>
              <w:t>dL</w:t>
            </w:r>
            <w:proofErr w:type="spellEnd"/>
          </w:p>
        </w:tc>
        <w:tc>
          <w:tcPr>
            <w:tcW w:w="1276" w:type="dxa"/>
          </w:tcPr>
          <w:p w14:paraId="0A754C27" w14:textId="2E131C7A"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83.665</w:t>
            </w:r>
          </w:p>
        </w:tc>
        <w:tc>
          <w:tcPr>
            <w:tcW w:w="1134" w:type="dxa"/>
          </w:tcPr>
          <w:p w14:paraId="50F72FCF" w14:textId="7F32EE4D"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16.631</w:t>
            </w:r>
          </w:p>
        </w:tc>
        <w:tc>
          <w:tcPr>
            <w:tcW w:w="851" w:type="dxa"/>
          </w:tcPr>
          <w:p w14:paraId="35F20885"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52</w:t>
            </w:r>
          </w:p>
        </w:tc>
        <w:tc>
          <w:tcPr>
            <w:tcW w:w="850" w:type="dxa"/>
          </w:tcPr>
          <w:p w14:paraId="213D9482"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218</w:t>
            </w:r>
          </w:p>
        </w:tc>
        <w:tc>
          <w:tcPr>
            <w:tcW w:w="1709" w:type="dxa"/>
          </w:tcPr>
          <w:p w14:paraId="52770FEC"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3.58</w:t>
            </w:r>
          </w:p>
        </w:tc>
      </w:tr>
      <w:tr w:rsidR="007100A0" w:rsidRPr="00A45D9D" w14:paraId="53485E32" w14:textId="77777777" w:rsidTr="00D04F5D">
        <w:trPr>
          <w:trHeight w:val="252"/>
          <w:jc w:val="center"/>
        </w:trPr>
        <w:tc>
          <w:tcPr>
            <w:cnfStyle w:val="001000000000" w:firstRow="0" w:lastRow="0" w:firstColumn="1" w:lastColumn="0" w:oddVBand="0" w:evenVBand="0" w:oddHBand="0" w:evenHBand="0" w:firstRowFirstColumn="0" w:firstRowLastColumn="0" w:lastRowFirstColumn="0" w:lastRowLastColumn="0"/>
            <w:tcW w:w="2547" w:type="dxa"/>
          </w:tcPr>
          <w:p w14:paraId="7DF9518F"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Glucosa Postprandial</w:t>
            </w:r>
          </w:p>
        </w:tc>
        <w:tc>
          <w:tcPr>
            <w:tcW w:w="850" w:type="dxa"/>
          </w:tcPr>
          <w:p w14:paraId="60BAC831" w14:textId="65B17C76" w:rsidR="007100A0" w:rsidRPr="00A45D9D" w:rsidRDefault="00775E7F"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789EF9B5" w14:textId="3CF0DC8C"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123.786</w:t>
            </w:r>
          </w:p>
        </w:tc>
        <w:tc>
          <w:tcPr>
            <w:tcW w:w="1134" w:type="dxa"/>
          </w:tcPr>
          <w:p w14:paraId="05DE82E7" w14:textId="5B611C15"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38.681</w:t>
            </w:r>
          </w:p>
        </w:tc>
        <w:tc>
          <w:tcPr>
            <w:tcW w:w="851" w:type="dxa"/>
          </w:tcPr>
          <w:p w14:paraId="44508BFE"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67</w:t>
            </w:r>
          </w:p>
        </w:tc>
        <w:tc>
          <w:tcPr>
            <w:tcW w:w="850" w:type="dxa"/>
          </w:tcPr>
          <w:p w14:paraId="61177254"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314</w:t>
            </w:r>
          </w:p>
        </w:tc>
        <w:tc>
          <w:tcPr>
            <w:tcW w:w="1709" w:type="dxa"/>
          </w:tcPr>
          <w:p w14:paraId="5B89DF4C"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28.92</w:t>
            </w:r>
          </w:p>
        </w:tc>
      </w:tr>
      <w:tr w:rsidR="007100A0" w:rsidRPr="00A45D9D" w14:paraId="61E7B27C" w14:textId="77777777" w:rsidTr="00D04F5D">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2547" w:type="dxa"/>
          </w:tcPr>
          <w:p w14:paraId="1A527A1C"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Urea</w:t>
            </w:r>
          </w:p>
        </w:tc>
        <w:tc>
          <w:tcPr>
            <w:tcW w:w="850" w:type="dxa"/>
          </w:tcPr>
          <w:p w14:paraId="692344C2" w14:textId="713C29F3" w:rsidR="007100A0" w:rsidRPr="00A45D9D" w:rsidRDefault="00775E7F"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0911B659" w14:textId="1D90568C"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13.405</w:t>
            </w:r>
          </w:p>
        </w:tc>
        <w:tc>
          <w:tcPr>
            <w:tcW w:w="1134" w:type="dxa"/>
          </w:tcPr>
          <w:p w14:paraId="078D2F14" w14:textId="410FF28B"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4.399</w:t>
            </w:r>
          </w:p>
        </w:tc>
        <w:tc>
          <w:tcPr>
            <w:tcW w:w="851" w:type="dxa"/>
          </w:tcPr>
          <w:p w14:paraId="4E53D553"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4.71</w:t>
            </w:r>
          </w:p>
        </w:tc>
        <w:tc>
          <w:tcPr>
            <w:tcW w:w="850" w:type="dxa"/>
          </w:tcPr>
          <w:p w14:paraId="012BC0CD"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42</w:t>
            </w:r>
          </w:p>
        </w:tc>
        <w:tc>
          <w:tcPr>
            <w:tcW w:w="1709" w:type="dxa"/>
          </w:tcPr>
          <w:p w14:paraId="06901E51"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67.95</w:t>
            </w:r>
          </w:p>
        </w:tc>
      </w:tr>
      <w:tr w:rsidR="007100A0" w:rsidRPr="00A45D9D" w14:paraId="3EB564D1" w14:textId="77777777" w:rsidTr="00D04F5D">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Pr>
          <w:p w14:paraId="10B73911"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Creatinina</w:t>
            </w:r>
          </w:p>
        </w:tc>
        <w:tc>
          <w:tcPr>
            <w:tcW w:w="850" w:type="dxa"/>
          </w:tcPr>
          <w:p w14:paraId="6014F89F" w14:textId="7E627CA5" w:rsidR="007100A0" w:rsidRPr="00A45D9D" w:rsidRDefault="00775E7F"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1F92D57D" w14:textId="3B00AE7E"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w:t>
            </w:r>
            <w:r w:rsidR="0087350A">
              <w:rPr>
                <w:rFonts w:ascii="Times New Roman" w:hAnsi="Times New Roman" w:cs="Times New Roman"/>
                <w:color w:val="000000" w:themeColor="text1"/>
                <w:sz w:val="24"/>
                <w:szCs w:val="24"/>
              </w:rPr>
              <w:t>.381</w:t>
            </w:r>
          </w:p>
        </w:tc>
        <w:tc>
          <w:tcPr>
            <w:tcW w:w="1134" w:type="dxa"/>
          </w:tcPr>
          <w:p w14:paraId="5F14DB33" w14:textId="76D17DDB"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0.126</w:t>
            </w:r>
          </w:p>
        </w:tc>
        <w:tc>
          <w:tcPr>
            <w:tcW w:w="851" w:type="dxa"/>
          </w:tcPr>
          <w:p w14:paraId="3E2A159C"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0.2</w:t>
            </w:r>
          </w:p>
        </w:tc>
        <w:tc>
          <w:tcPr>
            <w:tcW w:w="850" w:type="dxa"/>
          </w:tcPr>
          <w:p w14:paraId="6F8BD298" w14:textId="20066B80"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w:t>
            </w:r>
            <w:r w:rsidR="002E60B8">
              <w:rPr>
                <w:rFonts w:ascii="Times New Roman" w:hAnsi="Times New Roman" w:cs="Times New Roman"/>
                <w:color w:val="000000" w:themeColor="text1"/>
                <w:sz w:val="24"/>
                <w:szCs w:val="24"/>
              </w:rPr>
              <w:t>.0</w:t>
            </w:r>
          </w:p>
        </w:tc>
        <w:tc>
          <w:tcPr>
            <w:tcW w:w="1709" w:type="dxa"/>
          </w:tcPr>
          <w:p w14:paraId="621AF1A6"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79.55</w:t>
            </w:r>
          </w:p>
        </w:tc>
      </w:tr>
      <w:tr w:rsidR="007100A0" w:rsidRPr="00A45D9D" w14:paraId="15310691" w14:textId="77777777" w:rsidTr="00D04F5D">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547" w:type="dxa"/>
          </w:tcPr>
          <w:p w14:paraId="4FE974E6"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Ácido Úrico</w:t>
            </w:r>
          </w:p>
        </w:tc>
        <w:tc>
          <w:tcPr>
            <w:tcW w:w="850" w:type="dxa"/>
          </w:tcPr>
          <w:p w14:paraId="4A3686A0" w14:textId="7544303B" w:rsidR="007100A0" w:rsidRPr="00A45D9D" w:rsidRDefault="00775E7F"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28D7979F" w14:textId="35EED129"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3.925</w:t>
            </w:r>
          </w:p>
        </w:tc>
        <w:tc>
          <w:tcPr>
            <w:tcW w:w="1134" w:type="dxa"/>
          </w:tcPr>
          <w:p w14:paraId="71E06D06" w14:textId="1A14840B"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1.033</w:t>
            </w:r>
          </w:p>
        </w:tc>
        <w:tc>
          <w:tcPr>
            <w:tcW w:w="851" w:type="dxa"/>
          </w:tcPr>
          <w:p w14:paraId="49C37D35"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2.09</w:t>
            </w:r>
          </w:p>
        </w:tc>
        <w:tc>
          <w:tcPr>
            <w:tcW w:w="850" w:type="dxa"/>
          </w:tcPr>
          <w:p w14:paraId="6BA7482C"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7.69</w:t>
            </w:r>
          </w:p>
        </w:tc>
        <w:tc>
          <w:tcPr>
            <w:tcW w:w="1709" w:type="dxa"/>
          </w:tcPr>
          <w:p w14:paraId="0B88ABBC"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4.41</w:t>
            </w:r>
          </w:p>
        </w:tc>
      </w:tr>
      <w:tr w:rsidR="007100A0" w:rsidRPr="00A45D9D" w14:paraId="0B6569ED" w14:textId="77777777" w:rsidTr="00D04F5D">
        <w:trPr>
          <w:trHeight w:val="272"/>
          <w:jc w:val="center"/>
        </w:trPr>
        <w:tc>
          <w:tcPr>
            <w:cnfStyle w:val="001000000000" w:firstRow="0" w:lastRow="0" w:firstColumn="1" w:lastColumn="0" w:oddVBand="0" w:evenVBand="0" w:oddHBand="0" w:evenHBand="0" w:firstRowFirstColumn="0" w:firstRowLastColumn="0" w:lastRowFirstColumn="0" w:lastRowLastColumn="0"/>
            <w:tcW w:w="2547" w:type="dxa"/>
          </w:tcPr>
          <w:p w14:paraId="14D5B628"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Colesterol</w:t>
            </w:r>
          </w:p>
        </w:tc>
        <w:tc>
          <w:tcPr>
            <w:tcW w:w="850" w:type="dxa"/>
          </w:tcPr>
          <w:p w14:paraId="65B9C8F6" w14:textId="49B835FD" w:rsidR="007100A0" w:rsidRPr="00A45D9D" w:rsidRDefault="00775E7F"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235F7A8F" w14:textId="5A02A36F"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229.555</w:t>
            </w:r>
          </w:p>
        </w:tc>
        <w:tc>
          <w:tcPr>
            <w:tcW w:w="1134" w:type="dxa"/>
          </w:tcPr>
          <w:p w14:paraId="20ED76B9" w14:textId="274AA777"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50.336</w:t>
            </w:r>
          </w:p>
        </w:tc>
        <w:tc>
          <w:tcPr>
            <w:tcW w:w="851" w:type="dxa"/>
          </w:tcPr>
          <w:p w14:paraId="50F06894"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99</w:t>
            </w:r>
          </w:p>
        </w:tc>
        <w:tc>
          <w:tcPr>
            <w:tcW w:w="850" w:type="dxa"/>
          </w:tcPr>
          <w:p w14:paraId="31E8D9A5"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443</w:t>
            </w:r>
          </w:p>
        </w:tc>
        <w:tc>
          <w:tcPr>
            <w:tcW w:w="1709" w:type="dxa"/>
          </w:tcPr>
          <w:p w14:paraId="4CF26DA6"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69.61</w:t>
            </w:r>
          </w:p>
        </w:tc>
      </w:tr>
      <w:tr w:rsidR="007100A0" w:rsidRPr="00A45D9D" w14:paraId="69D2656B" w14:textId="77777777" w:rsidTr="00D04F5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547" w:type="dxa"/>
          </w:tcPr>
          <w:p w14:paraId="4C9D5CCC"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Triglicéridos</w:t>
            </w:r>
          </w:p>
        </w:tc>
        <w:tc>
          <w:tcPr>
            <w:tcW w:w="850" w:type="dxa"/>
          </w:tcPr>
          <w:p w14:paraId="4BFDE4B0" w14:textId="2AB46962" w:rsidR="007100A0" w:rsidRPr="00A45D9D" w:rsidRDefault="00775E7F"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663B00F6" w14:textId="12AB0C23"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247.359</w:t>
            </w:r>
          </w:p>
        </w:tc>
        <w:tc>
          <w:tcPr>
            <w:tcW w:w="1134" w:type="dxa"/>
          </w:tcPr>
          <w:p w14:paraId="00A0D315" w14:textId="1ED2E9AD"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83.233</w:t>
            </w:r>
          </w:p>
        </w:tc>
        <w:tc>
          <w:tcPr>
            <w:tcW w:w="851" w:type="dxa"/>
          </w:tcPr>
          <w:p w14:paraId="34CE8DD1"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80</w:t>
            </w:r>
          </w:p>
        </w:tc>
        <w:tc>
          <w:tcPr>
            <w:tcW w:w="850" w:type="dxa"/>
          </w:tcPr>
          <w:p w14:paraId="732365D0"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532</w:t>
            </w:r>
          </w:p>
        </w:tc>
        <w:tc>
          <w:tcPr>
            <w:tcW w:w="1709" w:type="dxa"/>
          </w:tcPr>
          <w:p w14:paraId="3005CE91"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92.26</w:t>
            </w:r>
          </w:p>
        </w:tc>
      </w:tr>
      <w:tr w:rsidR="007100A0" w:rsidRPr="00A45D9D" w14:paraId="10761731" w14:textId="77777777" w:rsidTr="00D04F5D">
        <w:trPr>
          <w:trHeight w:val="280"/>
          <w:jc w:val="center"/>
        </w:trPr>
        <w:tc>
          <w:tcPr>
            <w:cnfStyle w:val="001000000000" w:firstRow="0" w:lastRow="0" w:firstColumn="1" w:lastColumn="0" w:oddVBand="0" w:evenVBand="0" w:oddHBand="0" w:evenHBand="0" w:firstRowFirstColumn="0" w:firstRowLastColumn="0" w:lastRowFirstColumn="0" w:lastRowLastColumn="0"/>
            <w:tcW w:w="2547" w:type="dxa"/>
          </w:tcPr>
          <w:p w14:paraId="4789A46B"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TGO</w:t>
            </w:r>
          </w:p>
        </w:tc>
        <w:tc>
          <w:tcPr>
            <w:tcW w:w="850" w:type="dxa"/>
          </w:tcPr>
          <w:p w14:paraId="067581F4" w14:textId="10444DC6" w:rsidR="007100A0" w:rsidRPr="00A45D9D" w:rsidRDefault="00775E7F"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w:t>
            </w:r>
          </w:p>
        </w:tc>
        <w:tc>
          <w:tcPr>
            <w:tcW w:w="1276" w:type="dxa"/>
          </w:tcPr>
          <w:p w14:paraId="65072263" w14:textId="7FF530BA"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18.9363</w:t>
            </w:r>
          </w:p>
        </w:tc>
        <w:tc>
          <w:tcPr>
            <w:tcW w:w="1134" w:type="dxa"/>
          </w:tcPr>
          <w:p w14:paraId="5DBF2B5F" w14:textId="52530EC6"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10.069</w:t>
            </w:r>
          </w:p>
        </w:tc>
        <w:tc>
          <w:tcPr>
            <w:tcW w:w="851" w:type="dxa"/>
          </w:tcPr>
          <w:p w14:paraId="09EFBB93"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7</w:t>
            </w:r>
          </w:p>
        </w:tc>
        <w:tc>
          <w:tcPr>
            <w:tcW w:w="850" w:type="dxa"/>
          </w:tcPr>
          <w:p w14:paraId="4CFBA4A2"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63</w:t>
            </w:r>
          </w:p>
        </w:tc>
        <w:tc>
          <w:tcPr>
            <w:tcW w:w="1709" w:type="dxa"/>
          </w:tcPr>
          <w:p w14:paraId="6CE7B776"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10.05</w:t>
            </w:r>
          </w:p>
        </w:tc>
      </w:tr>
      <w:tr w:rsidR="007100A0" w:rsidRPr="00A45D9D" w14:paraId="19B9E19E" w14:textId="77777777" w:rsidTr="00D04F5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547" w:type="dxa"/>
          </w:tcPr>
          <w:p w14:paraId="1D6466E1"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TGP</w:t>
            </w:r>
          </w:p>
        </w:tc>
        <w:tc>
          <w:tcPr>
            <w:tcW w:w="850" w:type="dxa"/>
          </w:tcPr>
          <w:p w14:paraId="2FCB826E" w14:textId="70B4936D" w:rsidR="007100A0" w:rsidRPr="00A45D9D" w:rsidRDefault="00775E7F"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w:t>
            </w:r>
          </w:p>
        </w:tc>
        <w:tc>
          <w:tcPr>
            <w:tcW w:w="1276" w:type="dxa"/>
          </w:tcPr>
          <w:p w14:paraId="2D5794BF" w14:textId="5D6A6976"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17.638</w:t>
            </w:r>
          </w:p>
        </w:tc>
        <w:tc>
          <w:tcPr>
            <w:tcW w:w="1134" w:type="dxa"/>
          </w:tcPr>
          <w:p w14:paraId="13F2349D" w14:textId="106B1F22"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16.599</w:t>
            </w:r>
          </w:p>
        </w:tc>
        <w:tc>
          <w:tcPr>
            <w:tcW w:w="851" w:type="dxa"/>
          </w:tcPr>
          <w:p w14:paraId="4DD91A9D"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w:t>
            </w:r>
          </w:p>
        </w:tc>
        <w:tc>
          <w:tcPr>
            <w:tcW w:w="850" w:type="dxa"/>
          </w:tcPr>
          <w:p w14:paraId="1CDEDFFD"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105</w:t>
            </w:r>
          </w:p>
        </w:tc>
        <w:tc>
          <w:tcPr>
            <w:tcW w:w="1709" w:type="dxa"/>
          </w:tcPr>
          <w:p w14:paraId="2D43B66B"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28.72</w:t>
            </w:r>
          </w:p>
        </w:tc>
      </w:tr>
      <w:tr w:rsidR="007100A0" w:rsidRPr="00A45D9D" w14:paraId="574C40C9" w14:textId="77777777" w:rsidTr="00D04F5D">
        <w:trPr>
          <w:trHeight w:val="260"/>
          <w:jc w:val="center"/>
        </w:trPr>
        <w:tc>
          <w:tcPr>
            <w:cnfStyle w:val="001000000000" w:firstRow="0" w:lastRow="0" w:firstColumn="1" w:lastColumn="0" w:oddVBand="0" w:evenVBand="0" w:oddHBand="0" w:evenHBand="0" w:firstRowFirstColumn="0" w:firstRowLastColumn="0" w:lastRowFirstColumn="0" w:lastRowLastColumn="0"/>
            <w:tcW w:w="2547" w:type="dxa"/>
          </w:tcPr>
          <w:p w14:paraId="0B112D76"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Albumina</w:t>
            </w:r>
          </w:p>
        </w:tc>
        <w:tc>
          <w:tcPr>
            <w:tcW w:w="850" w:type="dxa"/>
          </w:tcPr>
          <w:p w14:paraId="2D09D126" w14:textId="77777777" w:rsidR="007100A0" w:rsidRPr="0087350A"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yellow"/>
              </w:rPr>
            </w:pPr>
            <w:r w:rsidRPr="002E60B8">
              <w:rPr>
                <w:rFonts w:ascii="Times New Roman" w:hAnsi="Times New Roman" w:cs="Times New Roman"/>
                <w:color w:val="000000" w:themeColor="text1"/>
                <w:sz w:val="24"/>
                <w:szCs w:val="24"/>
              </w:rPr>
              <w:t>g/</w:t>
            </w:r>
            <w:proofErr w:type="spellStart"/>
            <w:r w:rsidRPr="002E60B8">
              <w:rPr>
                <w:rFonts w:ascii="Times New Roman" w:hAnsi="Times New Roman" w:cs="Times New Roman"/>
                <w:color w:val="000000" w:themeColor="text1"/>
                <w:sz w:val="24"/>
                <w:szCs w:val="24"/>
              </w:rPr>
              <w:t>dL</w:t>
            </w:r>
            <w:proofErr w:type="spellEnd"/>
          </w:p>
        </w:tc>
        <w:tc>
          <w:tcPr>
            <w:tcW w:w="1276" w:type="dxa"/>
          </w:tcPr>
          <w:p w14:paraId="6CA96B01" w14:textId="5C2AFC52"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3.660</w:t>
            </w:r>
          </w:p>
        </w:tc>
        <w:tc>
          <w:tcPr>
            <w:tcW w:w="1134" w:type="dxa"/>
          </w:tcPr>
          <w:p w14:paraId="3A7AFB27" w14:textId="233A15F7"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0.275</w:t>
            </w:r>
          </w:p>
        </w:tc>
        <w:tc>
          <w:tcPr>
            <w:tcW w:w="851" w:type="dxa"/>
          </w:tcPr>
          <w:p w14:paraId="1B01CF54"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3.01</w:t>
            </w:r>
          </w:p>
        </w:tc>
        <w:tc>
          <w:tcPr>
            <w:tcW w:w="850" w:type="dxa"/>
          </w:tcPr>
          <w:p w14:paraId="2F7B79EC"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4.62</w:t>
            </w:r>
          </w:p>
        </w:tc>
        <w:tc>
          <w:tcPr>
            <w:tcW w:w="1709" w:type="dxa"/>
          </w:tcPr>
          <w:p w14:paraId="2F011340"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w:t>
            </w:r>
          </w:p>
        </w:tc>
      </w:tr>
      <w:tr w:rsidR="007100A0" w:rsidRPr="00A45D9D" w14:paraId="16265624" w14:textId="77777777" w:rsidTr="00D04F5D">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547" w:type="dxa"/>
          </w:tcPr>
          <w:p w14:paraId="235E4440"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Bilirrubina Total</w:t>
            </w:r>
          </w:p>
        </w:tc>
        <w:tc>
          <w:tcPr>
            <w:tcW w:w="850" w:type="dxa"/>
          </w:tcPr>
          <w:p w14:paraId="726D0DEF" w14:textId="37B36073"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5CBC7CFD" w14:textId="3A62030C"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0.302</w:t>
            </w:r>
          </w:p>
        </w:tc>
        <w:tc>
          <w:tcPr>
            <w:tcW w:w="1134" w:type="dxa"/>
          </w:tcPr>
          <w:p w14:paraId="4613D6CB" w14:textId="06696193"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0.197</w:t>
            </w:r>
          </w:p>
        </w:tc>
        <w:tc>
          <w:tcPr>
            <w:tcW w:w="851" w:type="dxa"/>
          </w:tcPr>
          <w:p w14:paraId="0223FE45"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0.0</w:t>
            </w:r>
          </w:p>
        </w:tc>
        <w:tc>
          <w:tcPr>
            <w:tcW w:w="850" w:type="dxa"/>
          </w:tcPr>
          <w:p w14:paraId="39DE4C59"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1.44</w:t>
            </w:r>
          </w:p>
        </w:tc>
        <w:tc>
          <w:tcPr>
            <w:tcW w:w="1709" w:type="dxa"/>
          </w:tcPr>
          <w:p w14:paraId="2023BD6A"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1.68</w:t>
            </w:r>
          </w:p>
        </w:tc>
      </w:tr>
      <w:tr w:rsidR="007100A0" w:rsidRPr="00A45D9D" w14:paraId="799B37F4" w14:textId="77777777" w:rsidTr="00D04F5D">
        <w:trPr>
          <w:trHeight w:val="268"/>
          <w:jc w:val="center"/>
        </w:trPr>
        <w:tc>
          <w:tcPr>
            <w:cnfStyle w:val="001000000000" w:firstRow="0" w:lastRow="0" w:firstColumn="1" w:lastColumn="0" w:oddVBand="0" w:evenVBand="0" w:oddHBand="0" w:evenHBand="0" w:firstRowFirstColumn="0" w:firstRowLastColumn="0" w:lastRowFirstColumn="0" w:lastRowLastColumn="0"/>
            <w:tcW w:w="2547" w:type="dxa"/>
          </w:tcPr>
          <w:p w14:paraId="57C35342"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Bilirrubina Directa</w:t>
            </w:r>
          </w:p>
        </w:tc>
        <w:tc>
          <w:tcPr>
            <w:tcW w:w="850" w:type="dxa"/>
          </w:tcPr>
          <w:p w14:paraId="7B5DDCF2" w14:textId="5ED3246D"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w:t>
            </w:r>
            <w:proofErr w:type="spellStart"/>
            <w:r>
              <w:rPr>
                <w:rFonts w:ascii="Times New Roman" w:hAnsi="Times New Roman" w:cs="Times New Roman"/>
                <w:color w:val="000000" w:themeColor="text1"/>
                <w:sz w:val="24"/>
                <w:szCs w:val="24"/>
              </w:rPr>
              <w:t>dL</w:t>
            </w:r>
            <w:proofErr w:type="spellEnd"/>
          </w:p>
        </w:tc>
        <w:tc>
          <w:tcPr>
            <w:tcW w:w="1276" w:type="dxa"/>
          </w:tcPr>
          <w:p w14:paraId="5AF2252D" w14:textId="59C8682E" w:rsidR="007100A0" w:rsidRPr="00A45D9D" w:rsidRDefault="0087350A"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0.128</w:t>
            </w:r>
          </w:p>
        </w:tc>
        <w:tc>
          <w:tcPr>
            <w:tcW w:w="1134" w:type="dxa"/>
          </w:tcPr>
          <w:p w14:paraId="16891388" w14:textId="13D10AC3" w:rsidR="007100A0" w:rsidRPr="00A45D9D" w:rsidRDefault="006969A7"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0.120</w:t>
            </w:r>
          </w:p>
        </w:tc>
        <w:tc>
          <w:tcPr>
            <w:tcW w:w="851" w:type="dxa"/>
          </w:tcPr>
          <w:p w14:paraId="23BEF644"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0.03</w:t>
            </w:r>
          </w:p>
        </w:tc>
        <w:tc>
          <w:tcPr>
            <w:tcW w:w="850" w:type="dxa"/>
          </w:tcPr>
          <w:p w14:paraId="6FFA4878"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1.1</w:t>
            </w:r>
          </w:p>
        </w:tc>
        <w:tc>
          <w:tcPr>
            <w:tcW w:w="1709" w:type="dxa"/>
          </w:tcPr>
          <w:p w14:paraId="6FBB2584" w14:textId="77777777" w:rsidR="007100A0" w:rsidRPr="00A45D9D" w:rsidRDefault="007100A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2.24</w:t>
            </w:r>
          </w:p>
        </w:tc>
      </w:tr>
      <w:tr w:rsidR="007100A0" w:rsidRPr="00A45D9D" w14:paraId="65661580" w14:textId="77777777" w:rsidTr="00D04F5D">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547" w:type="dxa"/>
          </w:tcPr>
          <w:p w14:paraId="52BE8759" w14:textId="77777777" w:rsidR="007100A0" w:rsidRPr="00A45D9D" w:rsidRDefault="007100A0" w:rsidP="00C03974">
            <w:pPr>
              <w:pStyle w:val="Sinespaciado"/>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LDH</w:t>
            </w:r>
          </w:p>
        </w:tc>
        <w:tc>
          <w:tcPr>
            <w:tcW w:w="850" w:type="dxa"/>
          </w:tcPr>
          <w:p w14:paraId="725B36F9" w14:textId="5DAA04B5"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w:t>
            </w:r>
          </w:p>
        </w:tc>
        <w:tc>
          <w:tcPr>
            <w:tcW w:w="1276" w:type="dxa"/>
          </w:tcPr>
          <w:p w14:paraId="3058DFE6" w14:textId="6A532483" w:rsidR="007100A0" w:rsidRPr="00A45D9D" w:rsidRDefault="0087350A"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349.963</w:t>
            </w:r>
          </w:p>
        </w:tc>
        <w:tc>
          <w:tcPr>
            <w:tcW w:w="1134" w:type="dxa"/>
          </w:tcPr>
          <w:p w14:paraId="5C9254B1" w14:textId="7F258231" w:rsidR="007100A0" w:rsidRPr="00A45D9D" w:rsidRDefault="006969A7"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95.021</w:t>
            </w:r>
          </w:p>
        </w:tc>
        <w:tc>
          <w:tcPr>
            <w:tcW w:w="851" w:type="dxa"/>
          </w:tcPr>
          <w:p w14:paraId="74C7F7D8"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191</w:t>
            </w:r>
          </w:p>
        </w:tc>
        <w:tc>
          <w:tcPr>
            <w:tcW w:w="850" w:type="dxa"/>
          </w:tcPr>
          <w:p w14:paraId="367C08BD"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669</w:t>
            </w:r>
          </w:p>
        </w:tc>
        <w:tc>
          <w:tcPr>
            <w:tcW w:w="1709" w:type="dxa"/>
          </w:tcPr>
          <w:p w14:paraId="4F680A75" w14:textId="77777777" w:rsidR="007100A0" w:rsidRPr="00A45D9D" w:rsidRDefault="007100A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45D9D">
              <w:rPr>
                <w:rFonts w:ascii="Times New Roman" w:hAnsi="Times New Roman" w:cs="Times New Roman"/>
                <w:color w:val="000000" w:themeColor="text1"/>
                <w:sz w:val="24"/>
                <w:szCs w:val="24"/>
              </w:rPr>
              <w:t>36.66</w:t>
            </w:r>
          </w:p>
        </w:tc>
      </w:tr>
    </w:tbl>
    <w:p w14:paraId="32627370" w14:textId="50531BFD" w:rsidR="00400331" w:rsidRDefault="00265F37" w:rsidP="00ED7E4D">
      <w:pPr>
        <w:spacing w:line="360" w:lineRule="auto"/>
        <w:jc w:val="center"/>
      </w:pPr>
      <w:r w:rsidRPr="00BE552E">
        <w:t>Fuente</w:t>
      </w:r>
      <w:r w:rsidRPr="00E27833">
        <w:t xml:space="preserve">: </w:t>
      </w:r>
      <w:r w:rsidR="00653C7C" w:rsidRPr="00E27833">
        <w:t xml:space="preserve">Datos </w:t>
      </w:r>
      <w:r w:rsidR="009D1B0C" w:rsidRPr="002C564C">
        <w:t>de la investigación</w:t>
      </w:r>
      <w:r w:rsidR="00A96D50" w:rsidRPr="00E27833">
        <w:t>.</w:t>
      </w:r>
    </w:p>
    <w:p w14:paraId="1F6598D2" w14:textId="77777777" w:rsidR="00ED7E4D" w:rsidRPr="00ED7E4D" w:rsidRDefault="00ED7E4D" w:rsidP="00ED7E4D">
      <w:pPr>
        <w:spacing w:line="360" w:lineRule="auto"/>
        <w:jc w:val="center"/>
      </w:pPr>
    </w:p>
    <w:p w14:paraId="2C5BCFC1" w14:textId="058FA4C7" w:rsidR="008E2E3E" w:rsidRPr="00A45D9D" w:rsidRDefault="003F66A9" w:rsidP="00934C74">
      <w:pPr>
        <w:spacing w:line="360" w:lineRule="auto"/>
        <w:jc w:val="center"/>
        <w:rPr>
          <w:b/>
        </w:rPr>
      </w:pPr>
      <w:r w:rsidRPr="00A45D9D">
        <w:rPr>
          <w:b/>
        </w:rPr>
        <w:t xml:space="preserve">Tabla </w:t>
      </w:r>
      <w:r w:rsidR="005A5AAC" w:rsidRPr="00A45D9D">
        <w:rPr>
          <w:b/>
        </w:rPr>
        <w:t>3</w:t>
      </w:r>
      <w:r w:rsidR="008E2E3E" w:rsidRPr="00A45D9D">
        <w:rPr>
          <w:b/>
        </w:rPr>
        <w:t xml:space="preserve">. </w:t>
      </w:r>
      <w:r w:rsidR="008E2E3E" w:rsidRPr="00BE552E">
        <w:t>Estadísticos de la citometría hemática presente en las mujeres embarazadas</w:t>
      </w:r>
    </w:p>
    <w:tbl>
      <w:tblPr>
        <w:tblStyle w:val="Tabladecuadrcula6concolores-nfasis51"/>
        <w:tblW w:w="8931" w:type="dxa"/>
        <w:jc w:val="center"/>
        <w:tblLook w:val="04A0" w:firstRow="1" w:lastRow="0" w:firstColumn="1" w:lastColumn="0" w:noHBand="0" w:noVBand="1"/>
      </w:tblPr>
      <w:tblGrid>
        <w:gridCol w:w="1591"/>
        <w:gridCol w:w="1245"/>
        <w:gridCol w:w="1509"/>
        <w:gridCol w:w="1236"/>
        <w:gridCol w:w="799"/>
        <w:gridCol w:w="850"/>
        <w:gridCol w:w="1701"/>
      </w:tblGrid>
      <w:tr w:rsidR="003F66A9" w:rsidRPr="00A45D9D" w14:paraId="03F5C9EE" w14:textId="77777777" w:rsidTr="003F66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593DEA0A" w14:textId="77777777" w:rsidR="003F66A9" w:rsidRPr="00A45D9D" w:rsidRDefault="003F66A9" w:rsidP="00C03974">
            <w:pPr>
              <w:pStyle w:val="Sinespaciado"/>
              <w:jc w:val="center"/>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Variable</w:t>
            </w:r>
          </w:p>
        </w:tc>
        <w:tc>
          <w:tcPr>
            <w:tcW w:w="1245" w:type="dxa"/>
          </w:tcPr>
          <w:p w14:paraId="3748740D"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u</w:t>
            </w:r>
          </w:p>
        </w:tc>
        <w:tc>
          <w:tcPr>
            <w:tcW w:w="1509" w:type="dxa"/>
          </w:tcPr>
          <w:p w14:paraId="7198D835"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Media</w:t>
            </w:r>
          </w:p>
        </w:tc>
        <w:tc>
          <w:tcPr>
            <w:tcW w:w="1236" w:type="dxa"/>
          </w:tcPr>
          <w:p w14:paraId="0FAB6005"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DS</w:t>
            </w:r>
          </w:p>
        </w:tc>
        <w:tc>
          <w:tcPr>
            <w:tcW w:w="799" w:type="dxa"/>
          </w:tcPr>
          <w:p w14:paraId="3C8F4F8C"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Mín</w:t>
            </w:r>
            <w:proofErr w:type="spellEnd"/>
          </w:p>
        </w:tc>
        <w:tc>
          <w:tcPr>
            <w:tcW w:w="850" w:type="dxa"/>
          </w:tcPr>
          <w:p w14:paraId="60EB7C62"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Máx</w:t>
            </w:r>
            <w:proofErr w:type="spellEnd"/>
          </w:p>
        </w:tc>
        <w:tc>
          <w:tcPr>
            <w:tcW w:w="1701" w:type="dxa"/>
          </w:tcPr>
          <w:p w14:paraId="450FA33A" w14:textId="77777777" w:rsidR="003F66A9" w:rsidRPr="00A45D9D" w:rsidRDefault="003F66A9" w:rsidP="00C0397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 Anormales</w:t>
            </w:r>
          </w:p>
        </w:tc>
      </w:tr>
      <w:tr w:rsidR="003F66A9" w:rsidRPr="00A45D9D" w14:paraId="170B5C54"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07506B7B"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Eritrocitos</w:t>
            </w:r>
          </w:p>
        </w:tc>
        <w:tc>
          <w:tcPr>
            <w:tcW w:w="1245" w:type="dxa"/>
          </w:tcPr>
          <w:p w14:paraId="3338141E" w14:textId="58D99CAC" w:rsidR="003F66A9" w:rsidRPr="00A45D9D" w:rsidRDefault="006E4CE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lang w:eastAsia="es-MX"/>
              </w:rPr>
              <w:t xml:space="preserve">x </w:t>
            </w:r>
            <w:r w:rsidR="003F66A9" w:rsidRPr="00A45D9D">
              <w:rPr>
                <w:rFonts w:ascii="Times New Roman" w:hAnsi="Times New Roman" w:cs="Times New Roman"/>
                <w:color w:val="000000" w:themeColor="text1"/>
                <w:sz w:val="24"/>
                <w:szCs w:val="24"/>
                <w:lang w:eastAsia="es-MX"/>
              </w:rPr>
              <w:t>10</w:t>
            </w:r>
            <w:r w:rsidR="003F66A9" w:rsidRPr="00A45D9D">
              <w:rPr>
                <w:rFonts w:ascii="Times New Roman" w:hAnsi="Times New Roman" w:cs="Times New Roman"/>
                <w:color w:val="000000" w:themeColor="text1"/>
                <w:sz w:val="24"/>
                <w:szCs w:val="24"/>
                <w:vertAlign w:val="superscript"/>
                <w:lang w:eastAsia="es-MX"/>
              </w:rPr>
              <w:t>6</w:t>
            </w:r>
            <w:r w:rsidR="003F66A9" w:rsidRPr="00A45D9D">
              <w:rPr>
                <w:rFonts w:ascii="Times New Roman" w:hAnsi="Times New Roman" w:cs="Times New Roman"/>
                <w:color w:val="000000" w:themeColor="text1"/>
                <w:sz w:val="24"/>
                <w:szCs w:val="24"/>
                <w:lang w:eastAsia="es-MX"/>
              </w:rPr>
              <w:t xml:space="preserve"> </w:t>
            </w:r>
            <w:r w:rsidR="00A06D2C">
              <w:rPr>
                <w:rFonts w:ascii="Times New Roman" w:hAnsi="Times New Roman" w:cs="Times New Roman"/>
                <w:color w:val="000000" w:themeColor="text1"/>
                <w:sz w:val="24"/>
                <w:szCs w:val="24"/>
                <w:lang w:eastAsia="es-MX"/>
              </w:rPr>
              <w:t>/</w:t>
            </w:r>
            <w:proofErr w:type="spellStart"/>
            <w:r w:rsidR="003F66A9" w:rsidRPr="00A45D9D">
              <w:rPr>
                <w:rFonts w:ascii="Times New Roman" w:hAnsi="Times New Roman" w:cs="Times New Roman"/>
                <w:color w:val="000000" w:themeColor="text1"/>
                <w:sz w:val="24"/>
                <w:szCs w:val="24"/>
                <w:lang w:eastAsia="es-MX"/>
              </w:rPr>
              <w:t>u</w:t>
            </w:r>
            <w:r w:rsidR="00A06D2C">
              <w:rPr>
                <w:rFonts w:ascii="Times New Roman" w:hAnsi="Times New Roman" w:cs="Times New Roman"/>
                <w:color w:val="000000" w:themeColor="text1"/>
                <w:sz w:val="24"/>
                <w:szCs w:val="24"/>
                <w:lang w:eastAsia="es-MX"/>
              </w:rPr>
              <w:t>L</w:t>
            </w:r>
            <w:proofErr w:type="spellEnd"/>
          </w:p>
        </w:tc>
        <w:tc>
          <w:tcPr>
            <w:tcW w:w="1509" w:type="dxa"/>
          </w:tcPr>
          <w:p w14:paraId="096892DA" w14:textId="1055E823"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4.083</w:t>
            </w:r>
          </w:p>
        </w:tc>
        <w:tc>
          <w:tcPr>
            <w:tcW w:w="1236" w:type="dxa"/>
          </w:tcPr>
          <w:p w14:paraId="0BD66168" w14:textId="3490AD6E"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0.399</w:t>
            </w:r>
          </w:p>
        </w:tc>
        <w:tc>
          <w:tcPr>
            <w:tcW w:w="799" w:type="dxa"/>
          </w:tcPr>
          <w:p w14:paraId="3A638CB4"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1.86</w:t>
            </w:r>
          </w:p>
        </w:tc>
        <w:tc>
          <w:tcPr>
            <w:tcW w:w="850" w:type="dxa"/>
          </w:tcPr>
          <w:p w14:paraId="18199887"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5.15</w:t>
            </w:r>
          </w:p>
        </w:tc>
        <w:tc>
          <w:tcPr>
            <w:tcW w:w="1701" w:type="dxa"/>
          </w:tcPr>
          <w:p w14:paraId="28FD434B"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58.88</w:t>
            </w:r>
          </w:p>
        </w:tc>
      </w:tr>
      <w:tr w:rsidR="003F66A9" w:rsidRPr="00A45D9D" w14:paraId="79613265"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29E1D251"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Hemoglobina</w:t>
            </w:r>
          </w:p>
        </w:tc>
        <w:tc>
          <w:tcPr>
            <w:tcW w:w="1245" w:type="dxa"/>
          </w:tcPr>
          <w:p w14:paraId="574E320F" w14:textId="358AB44F" w:rsidR="003F66A9" w:rsidRPr="00A45D9D" w:rsidRDefault="006E4CE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lang w:eastAsia="es-MX"/>
              </w:rPr>
              <w:t xml:space="preserve">g </w:t>
            </w:r>
            <w:r w:rsidR="003F66A9" w:rsidRPr="00A45D9D">
              <w:rPr>
                <w:rFonts w:ascii="Times New Roman" w:hAnsi="Times New Roman" w:cs="Times New Roman"/>
                <w:color w:val="000000" w:themeColor="text1"/>
                <w:sz w:val="24"/>
                <w:szCs w:val="24"/>
                <w:lang w:eastAsia="es-MX"/>
              </w:rPr>
              <w:t>/</w:t>
            </w:r>
            <w:proofErr w:type="spellStart"/>
            <w:r w:rsidR="003F66A9" w:rsidRPr="00A45D9D">
              <w:rPr>
                <w:rFonts w:ascii="Times New Roman" w:hAnsi="Times New Roman" w:cs="Times New Roman"/>
                <w:color w:val="000000" w:themeColor="text1"/>
                <w:sz w:val="24"/>
                <w:szCs w:val="24"/>
                <w:lang w:eastAsia="es-MX"/>
              </w:rPr>
              <w:t>d</w:t>
            </w:r>
            <w:r>
              <w:rPr>
                <w:rFonts w:ascii="Times New Roman" w:hAnsi="Times New Roman" w:cs="Times New Roman"/>
                <w:color w:val="000000" w:themeColor="text1"/>
                <w:sz w:val="24"/>
                <w:szCs w:val="24"/>
                <w:lang w:eastAsia="es-MX"/>
              </w:rPr>
              <w:t>L</w:t>
            </w:r>
            <w:proofErr w:type="spellEnd"/>
          </w:p>
        </w:tc>
        <w:tc>
          <w:tcPr>
            <w:tcW w:w="1509" w:type="dxa"/>
          </w:tcPr>
          <w:p w14:paraId="6DE351F9" w14:textId="667F0213"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12.103</w:t>
            </w:r>
          </w:p>
        </w:tc>
        <w:tc>
          <w:tcPr>
            <w:tcW w:w="1236" w:type="dxa"/>
          </w:tcPr>
          <w:p w14:paraId="44CCA635" w14:textId="54984575"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1.271</w:t>
            </w:r>
          </w:p>
        </w:tc>
        <w:tc>
          <w:tcPr>
            <w:tcW w:w="799" w:type="dxa"/>
          </w:tcPr>
          <w:p w14:paraId="7A1116B1"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5.1</w:t>
            </w:r>
          </w:p>
        </w:tc>
        <w:tc>
          <w:tcPr>
            <w:tcW w:w="850" w:type="dxa"/>
          </w:tcPr>
          <w:p w14:paraId="7CA08387"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15.1</w:t>
            </w:r>
          </w:p>
        </w:tc>
        <w:tc>
          <w:tcPr>
            <w:tcW w:w="1701" w:type="dxa"/>
          </w:tcPr>
          <w:p w14:paraId="34E2BC5E"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60.55</w:t>
            </w:r>
          </w:p>
        </w:tc>
      </w:tr>
      <w:tr w:rsidR="003F66A9" w:rsidRPr="00A45D9D" w14:paraId="21BF1F56"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20D73B23"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Hematocrito</w:t>
            </w:r>
          </w:p>
        </w:tc>
        <w:tc>
          <w:tcPr>
            <w:tcW w:w="1245" w:type="dxa"/>
          </w:tcPr>
          <w:p w14:paraId="7C047DA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5355B554" w14:textId="5A3DD931"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37.109</w:t>
            </w:r>
          </w:p>
        </w:tc>
        <w:tc>
          <w:tcPr>
            <w:tcW w:w="1236" w:type="dxa"/>
          </w:tcPr>
          <w:p w14:paraId="1A1A37F3" w14:textId="31479451"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4.273</w:t>
            </w:r>
          </w:p>
        </w:tc>
        <w:tc>
          <w:tcPr>
            <w:tcW w:w="799" w:type="dxa"/>
          </w:tcPr>
          <w:p w14:paraId="7AE1365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w:t>
            </w:r>
          </w:p>
        </w:tc>
        <w:tc>
          <w:tcPr>
            <w:tcW w:w="850" w:type="dxa"/>
          </w:tcPr>
          <w:p w14:paraId="2CEEE2B4"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47.8</w:t>
            </w:r>
          </w:p>
        </w:tc>
        <w:tc>
          <w:tcPr>
            <w:tcW w:w="1701" w:type="dxa"/>
          </w:tcPr>
          <w:p w14:paraId="637BDC4B"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38.33</w:t>
            </w:r>
          </w:p>
        </w:tc>
      </w:tr>
      <w:tr w:rsidR="003F66A9" w:rsidRPr="00A45D9D" w14:paraId="75DB868F"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3C21E3E9"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VCM</w:t>
            </w:r>
          </w:p>
        </w:tc>
        <w:tc>
          <w:tcPr>
            <w:tcW w:w="1245" w:type="dxa"/>
          </w:tcPr>
          <w:p w14:paraId="7B3127ED" w14:textId="2718895A"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f</w:t>
            </w:r>
            <w:r w:rsidR="006E4CE0">
              <w:rPr>
                <w:rFonts w:ascii="Times New Roman" w:hAnsi="Times New Roman" w:cs="Times New Roman"/>
                <w:color w:val="000000" w:themeColor="text1"/>
                <w:sz w:val="24"/>
                <w:szCs w:val="24"/>
                <w:lang w:eastAsia="es-MX"/>
              </w:rPr>
              <w:t>L</w:t>
            </w:r>
            <w:proofErr w:type="spellEnd"/>
          </w:p>
        </w:tc>
        <w:tc>
          <w:tcPr>
            <w:tcW w:w="1509" w:type="dxa"/>
          </w:tcPr>
          <w:p w14:paraId="27D59779" w14:textId="4A4C7A63"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90.686</w:t>
            </w:r>
          </w:p>
        </w:tc>
        <w:tc>
          <w:tcPr>
            <w:tcW w:w="1236" w:type="dxa"/>
          </w:tcPr>
          <w:p w14:paraId="4820D7D8" w14:textId="7D4D8046"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8.110</w:t>
            </w:r>
          </w:p>
        </w:tc>
        <w:tc>
          <w:tcPr>
            <w:tcW w:w="799" w:type="dxa"/>
          </w:tcPr>
          <w:p w14:paraId="2F055FF9"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36.4</w:t>
            </w:r>
          </w:p>
        </w:tc>
        <w:tc>
          <w:tcPr>
            <w:tcW w:w="850" w:type="dxa"/>
          </w:tcPr>
          <w:p w14:paraId="7C3F9983"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104.1</w:t>
            </w:r>
          </w:p>
        </w:tc>
        <w:tc>
          <w:tcPr>
            <w:tcW w:w="1701" w:type="dxa"/>
          </w:tcPr>
          <w:p w14:paraId="2EF1306D"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w:t>
            </w:r>
          </w:p>
        </w:tc>
      </w:tr>
      <w:tr w:rsidR="003F66A9" w:rsidRPr="00A45D9D" w14:paraId="2A324B93"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01C6084D"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HCM</w:t>
            </w:r>
          </w:p>
        </w:tc>
        <w:tc>
          <w:tcPr>
            <w:tcW w:w="1245" w:type="dxa"/>
          </w:tcPr>
          <w:p w14:paraId="25391843" w14:textId="52C58253"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pg</w:t>
            </w:r>
            <w:proofErr w:type="spellEnd"/>
          </w:p>
        </w:tc>
        <w:tc>
          <w:tcPr>
            <w:tcW w:w="1509" w:type="dxa"/>
          </w:tcPr>
          <w:p w14:paraId="1A649537" w14:textId="6A047693"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29.605</w:t>
            </w:r>
          </w:p>
        </w:tc>
        <w:tc>
          <w:tcPr>
            <w:tcW w:w="1236" w:type="dxa"/>
          </w:tcPr>
          <w:p w14:paraId="1FBD256A" w14:textId="348184C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2.230</w:t>
            </w:r>
          </w:p>
        </w:tc>
        <w:tc>
          <w:tcPr>
            <w:tcW w:w="799" w:type="dxa"/>
          </w:tcPr>
          <w:p w14:paraId="36512375"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17.1</w:t>
            </w:r>
          </w:p>
        </w:tc>
        <w:tc>
          <w:tcPr>
            <w:tcW w:w="850" w:type="dxa"/>
          </w:tcPr>
          <w:p w14:paraId="61CA1213"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34.4</w:t>
            </w:r>
          </w:p>
        </w:tc>
        <w:tc>
          <w:tcPr>
            <w:tcW w:w="1701" w:type="dxa"/>
          </w:tcPr>
          <w:p w14:paraId="20244330"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14.44</w:t>
            </w:r>
          </w:p>
        </w:tc>
      </w:tr>
      <w:tr w:rsidR="003F66A9" w:rsidRPr="00A45D9D" w14:paraId="68617E55"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668A16A6"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CHMC</w:t>
            </w:r>
          </w:p>
        </w:tc>
        <w:tc>
          <w:tcPr>
            <w:tcW w:w="1245" w:type="dxa"/>
          </w:tcPr>
          <w:p w14:paraId="5A93CCBF" w14:textId="2144FC80" w:rsidR="003F66A9" w:rsidRPr="00A45D9D" w:rsidRDefault="006E4CE0"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lang w:eastAsia="es-MX"/>
              </w:rPr>
              <w:t xml:space="preserve">g </w:t>
            </w:r>
            <w:r w:rsidR="003F66A9" w:rsidRPr="00A45D9D">
              <w:rPr>
                <w:rFonts w:ascii="Times New Roman" w:hAnsi="Times New Roman" w:cs="Times New Roman"/>
                <w:color w:val="000000" w:themeColor="text1"/>
                <w:sz w:val="24"/>
                <w:szCs w:val="24"/>
                <w:lang w:eastAsia="es-MX"/>
              </w:rPr>
              <w:t>/</w:t>
            </w:r>
            <w:proofErr w:type="spellStart"/>
            <w:r w:rsidR="003F66A9" w:rsidRPr="00A45D9D">
              <w:rPr>
                <w:rFonts w:ascii="Times New Roman" w:hAnsi="Times New Roman" w:cs="Times New Roman"/>
                <w:color w:val="000000" w:themeColor="text1"/>
                <w:sz w:val="24"/>
                <w:szCs w:val="24"/>
                <w:lang w:eastAsia="es-MX"/>
              </w:rPr>
              <w:t>d</w:t>
            </w:r>
            <w:r>
              <w:rPr>
                <w:rFonts w:ascii="Times New Roman" w:hAnsi="Times New Roman" w:cs="Times New Roman"/>
                <w:color w:val="000000" w:themeColor="text1"/>
                <w:sz w:val="24"/>
                <w:szCs w:val="24"/>
                <w:lang w:eastAsia="es-MX"/>
              </w:rPr>
              <w:t>L</w:t>
            </w:r>
            <w:proofErr w:type="spellEnd"/>
          </w:p>
        </w:tc>
        <w:tc>
          <w:tcPr>
            <w:tcW w:w="1509" w:type="dxa"/>
          </w:tcPr>
          <w:p w14:paraId="7322B18C" w14:textId="3BABC6CF"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32.4</w:t>
            </w:r>
            <w:r w:rsidR="00EE2A70">
              <w:rPr>
                <w:rFonts w:ascii="Times New Roman" w:hAnsi="Times New Roman" w:cs="Times New Roman"/>
                <w:color w:val="000000" w:themeColor="text1"/>
                <w:sz w:val="24"/>
                <w:szCs w:val="24"/>
                <w:lang w:eastAsia="es-MX"/>
              </w:rPr>
              <w:t>00</w:t>
            </w:r>
          </w:p>
        </w:tc>
        <w:tc>
          <w:tcPr>
            <w:tcW w:w="1236" w:type="dxa"/>
          </w:tcPr>
          <w:p w14:paraId="150232DC" w14:textId="7A15C0CC"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0.914</w:t>
            </w:r>
          </w:p>
        </w:tc>
        <w:tc>
          <w:tcPr>
            <w:tcW w:w="799" w:type="dxa"/>
          </w:tcPr>
          <w:p w14:paraId="1065E416"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28.6</w:t>
            </w:r>
          </w:p>
        </w:tc>
        <w:tc>
          <w:tcPr>
            <w:tcW w:w="850" w:type="dxa"/>
          </w:tcPr>
          <w:p w14:paraId="2FEBE261"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35</w:t>
            </w:r>
          </w:p>
        </w:tc>
        <w:tc>
          <w:tcPr>
            <w:tcW w:w="1701" w:type="dxa"/>
          </w:tcPr>
          <w:p w14:paraId="07587A89"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4.44</w:t>
            </w:r>
          </w:p>
        </w:tc>
      </w:tr>
      <w:tr w:rsidR="003F66A9" w:rsidRPr="00A45D9D" w14:paraId="3F0EA517"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7F38754A"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RDW/CV</w:t>
            </w:r>
          </w:p>
        </w:tc>
        <w:tc>
          <w:tcPr>
            <w:tcW w:w="1245" w:type="dxa"/>
          </w:tcPr>
          <w:p w14:paraId="33F8A61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6508DDA1" w14:textId="06AD7C9D"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14.861</w:t>
            </w:r>
          </w:p>
        </w:tc>
        <w:tc>
          <w:tcPr>
            <w:tcW w:w="1236" w:type="dxa"/>
          </w:tcPr>
          <w:p w14:paraId="202B4D72" w14:textId="6B5701CF"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0.875</w:t>
            </w:r>
          </w:p>
        </w:tc>
        <w:tc>
          <w:tcPr>
            <w:tcW w:w="799" w:type="dxa"/>
          </w:tcPr>
          <w:p w14:paraId="3846CDBB"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11.1</w:t>
            </w:r>
          </w:p>
        </w:tc>
        <w:tc>
          <w:tcPr>
            <w:tcW w:w="850" w:type="dxa"/>
          </w:tcPr>
          <w:p w14:paraId="0F4F4512"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18.8</w:t>
            </w:r>
          </w:p>
        </w:tc>
        <w:tc>
          <w:tcPr>
            <w:tcW w:w="1701" w:type="dxa"/>
          </w:tcPr>
          <w:p w14:paraId="6F19779D"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6.66</w:t>
            </w:r>
          </w:p>
        </w:tc>
      </w:tr>
      <w:tr w:rsidR="003F66A9" w:rsidRPr="00A45D9D" w14:paraId="05618F48"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2FE0424A"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RDW/SD</w:t>
            </w:r>
          </w:p>
        </w:tc>
        <w:tc>
          <w:tcPr>
            <w:tcW w:w="1245" w:type="dxa"/>
          </w:tcPr>
          <w:p w14:paraId="495BF00B" w14:textId="492E46D8"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f</w:t>
            </w:r>
            <w:r w:rsidR="006E4CE0">
              <w:rPr>
                <w:rFonts w:ascii="Times New Roman" w:hAnsi="Times New Roman" w:cs="Times New Roman"/>
                <w:color w:val="000000" w:themeColor="text1"/>
                <w:sz w:val="24"/>
                <w:szCs w:val="24"/>
                <w:lang w:eastAsia="es-MX"/>
              </w:rPr>
              <w:t>L</w:t>
            </w:r>
            <w:proofErr w:type="spellEnd"/>
          </w:p>
        </w:tc>
        <w:tc>
          <w:tcPr>
            <w:tcW w:w="1509" w:type="dxa"/>
          </w:tcPr>
          <w:p w14:paraId="6714A3B2" w14:textId="3EA4A2E6"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48.897</w:t>
            </w:r>
          </w:p>
        </w:tc>
        <w:tc>
          <w:tcPr>
            <w:tcW w:w="1236" w:type="dxa"/>
          </w:tcPr>
          <w:p w14:paraId="1DD8CB5E" w14:textId="5BED2D0A"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3.214</w:t>
            </w:r>
          </w:p>
        </w:tc>
        <w:tc>
          <w:tcPr>
            <w:tcW w:w="799" w:type="dxa"/>
          </w:tcPr>
          <w:p w14:paraId="20FE979D"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38.7</w:t>
            </w:r>
          </w:p>
        </w:tc>
        <w:tc>
          <w:tcPr>
            <w:tcW w:w="850" w:type="dxa"/>
          </w:tcPr>
          <w:p w14:paraId="620B19EE"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57.7</w:t>
            </w:r>
          </w:p>
        </w:tc>
        <w:tc>
          <w:tcPr>
            <w:tcW w:w="1701" w:type="dxa"/>
          </w:tcPr>
          <w:p w14:paraId="5EEEACA1"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22.77</w:t>
            </w:r>
          </w:p>
        </w:tc>
      </w:tr>
      <w:tr w:rsidR="003F66A9" w:rsidRPr="00A45D9D" w14:paraId="0C37F9EF"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0AC27B20"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Plaquetas</w:t>
            </w:r>
          </w:p>
        </w:tc>
        <w:tc>
          <w:tcPr>
            <w:tcW w:w="1245" w:type="dxa"/>
          </w:tcPr>
          <w:p w14:paraId="61FA366B" w14:textId="4F869E4C" w:rsidR="003F66A9" w:rsidRPr="00A45D9D" w:rsidRDefault="006E4CE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lang w:eastAsia="es-MX"/>
              </w:rPr>
              <w:t>x</w:t>
            </w:r>
            <w:r w:rsidR="003F66A9" w:rsidRPr="00A45D9D">
              <w:rPr>
                <w:rFonts w:ascii="Times New Roman" w:hAnsi="Times New Roman" w:cs="Times New Roman"/>
                <w:color w:val="000000" w:themeColor="text1"/>
                <w:sz w:val="24"/>
                <w:szCs w:val="24"/>
                <w:lang w:eastAsia="es-MX"/>
              </w:rPr>
              <w:t xml:space="preserve"> 10</w:t>
            </w:r>
            <w:r w:rsidR="003F66A9" w:rsidRPr="00A45D9D">
              <w:rPr>
                <w:rFonts w:ascii="Times New Roman" w:hAnsi="Times New Roman" w:cs="Times New Roman"/>
                <w:color w:val="000000" w:themeColor="text1"/>
                <w:sz w:val="24"/>
                <w:szCs w:val="24"/>
                <w:vertAlign w:val="superscript"/>
                <w:lang w:eastAsia="es-MX"/>
              </w:rPr>
              <w:t xml:space="preserve">3 </w:t>
            </w:r>
            <w:r w:rsidRPr="006E4CE0">
              <w:rPr>
                <w:rFonts w:ascii="Times New Roman" w:hAnsi="Times New Roman" w:cs="Times New Roman"/>
                <w:color w:val="000000" w:themeColor="text1"/>
                <w:sz w:val="24"/>
                <w:szCs w:val="24"/>
                <w:lang w:eastAsia="es-MX"/>
              </w:rPr>
              <w:t>/</w:t>
            </w:r>
            <w:proofErr w:type="spellStart"/>
            <w:r w:rsidR="003F66A9" w:rsidRPr="00A45D9D">
              <w:rPr>
                <w:rFonts w:ascii="Times New Roman" w:hAnsi="Times New Roman" w:cs="Times New Roman"/>
                <w:color w:val="000000" w:themeColor="text1"/>
                <w:sz w:val="24"/>
                <w:szCs w:val="24"/>
                <w:lang w:eastAsia="es-MX"/>
              </w:rPr>
              <w:t>uL</w:t>
            </w:r>
            <w:proofErr w:type="spellEnd"/>
          </w:p>
        </w:tc>
        <w:tc>
          <w:tcPr>
            <w:tcW w:w="1509" w:type="dxa"/>
          </w:tcPr>
          <w:p w14:paraId="57067EC3" w14:textId="1B40A714"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224.638</w:t>
            </w:r>
          </w:p>
        </w:tc>
        <w:tc>
          <w:tcPr>
            <w:tcW w:w="1236" w:type="dxa"/>
          </w:tcPr>
          <w:p w14:paraId="2F39DB27" w14:textId="676FC439"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59.750</w:t>
            </w:r>
          </w:p>
        </w:tc>
        <w:tc>
          <w:tcPr>
            <w:tcW w:w="799" w:type="dxa"/>
          </w:tcPr>
          <w:p w14:paraId="5999389D"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w:t>
            </w:r>
          </w:p>
        </w:tc>
        <w:tc>
          <w:tcPr>
            <w:tcW w:w="850" w:type="dxa"/>
          </w:tcPr>
          <w:p w14:paraId="661DC9E2"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397</w:t>
            </w:r>
          </w:p>
        </w:tc>
        <w:tc>
          <w:tcPr>
            <w:tcW w:w="1701" w:type="dxa"/>
          </w:tcPr>
          <w:p w14:paraId="1FD6BDB1"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8.33</w:t>
            </w:r>
          </w:p>
        </w:tc>
      </w:tr>
      <w:tr w:rsidR="003F66A9" w:rsidRPr="00A45D9D" w14:paraId="0B1F1500"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5A7BF600"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VPM</w:t>
            </w:r>
          </w:p>
        </w:tc>
        <w:tc>
          <w:tcPr>
            <w:tcW w:w="1245" w:type="dxa"/>
          </w:tcPr>
          <w:p w14:paraId="60995655" w14:textId="5E219973"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proofErr w:type="spellStart"/>
            <w:r w:rsidRPr="00A45D9D">
              <w:rPr>
                <w:rFonts w:ascii="Times New Roman" w:hAnsi="Times New Roman" w:cs="Times New Roman"/>
                <w:color w:val="000000" w:themeColor="text1"/>
                <w:sz w:val="24"/>
                <w:szCs w:val="24"/>
                <w:lang w:eastAsia="es-MX"/>
              </w:rPr>
              <w:t>f</w:t>
            </w:r>
            <w:r w:rsidR="00B210D5">
              <w:rPr>
                <w:rFonts w:ascii="Times New Roman" w:hAnsi="Times New Roman" w:cs="Times New Roman"/>
                <w:color w:val="000000" w:themeColor="text1"/>
                <w:sz w:val="24"/>
                <w:szCs w:val="24"/>
                <w:lang w:eastAsia="es-MX"/>
              </w:rPr>
              <w:t>L</w:t>
            </w:r>
            <w:proofErr w:type="spellEnd"/>
          </w:p>
        </w:tc>
        <w:tc>
          <w:tcPr>
            <w:tcW w:w="1509" w:type="dxa"/>
          </w:tcPr>
          <w:p w14:paraId="7591F024" w14:textId="293D21A0"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9.394</w:t>
            </w:r>
          </w:p>
        </w:tc>
        <w:tc>
          <w:tcPr>
            <w:tcW w:w="1236" w:type="dxa"/>
          </w:tcPr>
          <w:p w14:paraId="7AB6792E" w14:textId="5103183F"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1.017</w:t>
            </w:r>
          </w:p>
        </w:tc>
        <w:tc>
          <w:tcPr>
            <w:tcW w:w="799" w:type="dxa"/>
          </w:tcPr>
          <w:p w14:paraId="4553CD53"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3.4</w:t>
            </w:r>
          </w:p>
        </w:tc>
        <w:tc>
          <w:tcPr>
            <w:tcW w:w="850" w:type="dxa"/>
          </w:tcPr>
          <w:p w14:paraId="3AF8CD7B"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12.7</w:t>
            </w:r>
          </w:p>
        </w:tc>
        <w:tc>
          <w:tcPr>
            <w:tcW w:w="1701" w:type="dxa"/>
          </w:tcPr>
          <w:p w14:paraId="75EFC9D6"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2.22</w:t>
            </w:r>
          </w:p>
        </w:tc>
      </w:tr>
      <w:tr w:rsidR="003F66A9" w:rsidRPr="00A45D9D" w14:paraId="41B6B8CD"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42755706"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Leucocitos</w:t>
            </w:r>
          </w:p>
        </w:tc>
        <w:tc>
          <w:tcPr>
            <w:tcW w:w="1245" w:type="dxa"/>
          </w:tcPr>
          <w:p w14:paraId="2A985999" w14:textId="21107879" w:rsidR="003F66A9" w:rsidRPr="00A45D9D" w:rsidRDefault="006E4CE0"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Pr>
                <w:rFonts w:ascii="Times New Roman" w:hAnsi="Times New Roman" w:cs="Times New Roman"/>
                <w:color w:val="000000" w:themeColor="text1"/>
                <w:sz w:val="24"/>
                <w:szCs w:val="24"/>
                <w:lang w:eastAsia="es-MX"/>
              </w:rPr>
              <w:t xml:space="preserve">x </w:t>
            </w:r>
            <w:r w:rsidR="003F66A9" w:rsidRPr="00A45D9D">
              <w:rPr>
                <w:rFonts w:ascii="Times New Roman" w:hAnsi="Times New Roman" w:cs="Times New Roman"/>
                <w:color w:val="000000" w:themeColor="text1"/>
                <w:sz w:val="24"/>
                <w:szCs w:val="24"/>
                <w:lang w:eastAsia="es-MX"/>
              </w:rPr>
              <w:t>10</w:t>
            </w:r>
            <w:r w:rsidR="003F66A9" w:rsidRPr="00A45D9D">
              <w:rPr>
                <w:rFonts w:ascii="Times New Roman" w:hAnsi="Times New Roman" w:cs="Times New Roman"/>
                <w:color w:val="000000" w:themeColor="text1"/>
                <w:sz w:val="24"/>
                <w:szCs w:val="24"/>
                <w:vertAlign w:val="superscript"/>
                <w:lang w:eastAsia="es-MX"/>
              </w:rPr>
              <w:t>3</w:t>
            </w:r>
            <w:r>
              <w:rPr>
                <w:rFonts w:ascii="Times New Roman" w:hAnsi="Times New Roman" w:cs="Times New Roman"/>
                <w:color w:val="000000" w:themeColor="text1"/>
                <w:sz w:val="24"/>
                <w:szCs w:val="24"/>
                <w:vertAlign w:val="superscript"/>
                <w:lang w:eastAsia="es-MX"/>
              </w:rPr>
              <w:t xml:space="preserve"> </w:t>
            </w:r>
            <w:r w:rsidRPr="006E4CE0">
              <w:rPr>
                <w:rFonts w:ascii="Times New Roman" w:hAnsi="Times New Roman" w:cs="Times New Roman"/>
                <w:color w:val="000000" w:themeColor="text1"/>
                <w:sz w:val="24"/>
                <w:szCs w:val="24"/>
                <w:lang w:eastAsia="es-MX"/>
              </w:rPr>
              <w:t>/</w:t>
            </w:r>
            <w:proofErr w:type="spellStart"/>
            <w:r w:rsidR="003F66A9" w:rsidRPr="00A45D9D">
              <w:rPr>
                <w:rFonts w:ascii="Times New Roman" w:hAnsi="Times New Roman" w:cs="Times New Roman"/>
                <w:color w:val="000000" w:themeColor="text1"/>
                <w:sz w:val="24"/>
                <w:szCs w:val="24"/>
                <w:lang w:eastAsia="es-MX"/>
              </w:rPr>
              <w:t>uL</w:t>
            </w:r>
            <w:proofErr w:type="spellEnd"/>
          </w:p>
        </w:tc>
        <w:tc>
          <w:tcPr>
            <w:tcW w:w="1509" w:type="dxa"/>
          </w:tcPr>
          <w:p w14:paraId="31B202F2" w14:textId="738A7170"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8.912</w:t>
            </w:r>
          </w:p>
        </w:tc>
        <w:tc>
          <w:tcPr>
            <w:tcW w:w="1236" w:type="dxa"/>
          </w:tcPr>
          <w:p w14:paraId="1527D8E1" w14:textId="5FEA5476"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2.139</w:t>
            </w:r>
          </w:p>
        </w:tc>
        <w:tc>
          <w:tcPr>
            <w:tcW w:w="799" w:type="dxa"/>
          </w:tcPr>
          <w:p w14:paraId="34B7F6D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2.6</w:t>
            </w:r>
          </w:p>
        </w:tc>
        <w:tc>
          <w:tcPr>
            <w:tcW w:w="850" w:type="dxa"/>
          </w:tcPr>
          <w:p w14:paraId="1085A4C6"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17</w:t>
            </w:r>
          </w:p>
        </w:tc>
        <w:tc>
          <w:tcPr>
            <w:tcW w:w="1701" w:type="dxa"/>
          </w:tcPr>
          <w:p w14:paraId="720EED6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15.08</w:t>
            </w:r>
          </w:p>
        </w:tc>
      </w:tr>
      <w:tr w:rsidR="003F66A9" w:rsidRPr="00A45D9D" w14:paraId="4CD86245"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19DC5A6E"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Segmentados</w:t>
            </w:r>
          </w:p>
        </w:tc>
        <w:tc>
          <w:tcPr>
            <w:tcW w:w="1245" w:type="dxa"/>
          </w:tcPr>
          <w:p w14:paraId="3585EC27"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6DC164DD" w14:textId="564043B6"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67.865</w:t>
            </w:r>
          </w:p>
        </w:tc>
        <w:tc>
          <w:tcPr>
            <w:tcW w:w="1236" w:type="dxa"/>
          </w:tcPr>
          <w:p w14:paraId="2F47642D" w14:textId="448D30DF"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7.334</w:t>
            </w:r>
          </w:p>
        </w:tc>
        <w:tc>
          <w:tcPr>
            <w:tcW w:w="799" w:type="dxa"/>
          </w:tcPr>
          <w:p w14:paraId="60DAEFC8"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39</w:t>
            </w:r>
          </w:p>
        </w:tc>
        <w:tc>
          <w:tcPr>
            <w:tcW w:w="850" w:type="dxa"/>
          </w:tcPr>
          <w:p w14:paraId="4A2DB8E7"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86</w:t>
            </w:r>
          </w:p>
        </w:tc>
        <w:tc>
          <w:tcPr>
            <w:tcW w:w="1701" w:type="dxa"/>
          </w:tcPr>
          <w:p w14:paraId="571B4950"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35.19</w:t>
            </w:r>
          </w:p>
        </w:tc>
      </w:tr>
      <w:tr w:rsidR="003F66A9" w:rsidRPr="00A45D9D" w14:paraId="52CEC584"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243ED399"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Basófilos</w:t>
            </w:r>
          </w:p>
        </w:tc>
        <w:tc>
          <w:tcPr>
            <w:tcW w:w="1245" w:type="dxa"/>
          </w:tcPr>
          <w:p w14:paraId="194868F4"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09EF205A" w14:textId="772B4F68"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2.413</w:t>
            </w:r>
          </w:p>
        </w:tc>
        <w:tc>
          <w:tcPr>
            <w:tcW w:w="1236" w:type="dxa"/>
          </w:tcPr>
          <w:p w14:paraId="35B8C9A7" w14:textId="3713CA75"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1.990</w:t>
            </w:r>
          </w:p>
        </w:tc>
        <w:tc>
          <w:tcPr>
            <w:tcW w:w="799" w:type="dxa"/>
          </w:tcPr>
          <w:p w14:paraId="0D1CE4E9"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w:t>
            </w:r>
          </w:p>
        </w:tc>
        <w:tc>
          <w:tcPr>
            <w:tcW w:w="850" w:type="dxa"/>
          </w:tcPr>
          <w:p w14:paraId="28867EEF"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w:t>
            </w:r>
          </w:p>
        </w:tc>
        <w:tc>
          <w:tcPr>
            <w:tcW w:w="1701" w:type="dxa"/>
          </w:tcPr>
          <w:p w14:paraId="4AC06AD2"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7.26</w:t>
            </w:r>
          </w:p>
        </w:tc>
      </w:tr>
      <w:tr w:rsidR="003F66A9" w:rsidRPr="00A45D9D" w14:paraId="3B70D21F"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617C40E0" w14:textId="77777777"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Eosinófilos</w:t>
            </w:r>
          </w:p>
        </w:tc>
        <w:tc>
          <w:tcPr>
            <w:tcW w:w="1245" w:type="dxa"/>
          </w:tcPr>
          <w:p w14:paraId="76D1CF1A"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6A0310B4" w14:textId="7CF35058"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1.016</w:t>
            </w:r>
          </w:p>
        </w:tc>
        <w:tc>
          <w:tcPr>
            <w:tcW w:w="1236" w:type="dxa"/>
          </w:tcPr>
          <w:p w14:paraId="12A4B7C3" w14:textId="3DFB4ED9"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1.098</w:t>
            </w:r>
          </w:p>
        </w:tc>
        <w:tc>
          <w:tcPr>
            <w:tcW w:w="799" w:type="dxa"/>
          </w:tcPr>
          <w:p w14:paraId="542A7CAB"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w:t>
            </w:r>
          </w:p>
        </w:tc>
        <w:tc>
          <w:tcPr>
            <w:tcW w:w="850" w:type="dxa"/>
          </w:tcPr>
          <w:p w14:paraId="7CFD9B3D"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7</w:t>
            </w:r>
          </w:p>
        </w:tc>
        <w:tc>
          <w:tcPr>
            <w:tcW w:w="1701" w:type="dxa"/>
          </w:tcPr>
          <w:p w14:paraId="28395B50"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0.55</w:t>
            </w:r>
          </w:p>
        </w:tc>
      </w:tr>
      <w:tr w:rsidR="003F66A9" w:rsidRPr="00A45D9D" w14:paraId="20F44ABA" w14:textId="77777777" w:rsidTr="003F6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1" w:type="dxa"/>
          </w:tcPr>
          <w:p w14:paraId="7239C2BB" w14:textId="17A476F3"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Monocito</w:t>
            </w:r>
            <w:r w:rsidR="00ED7E4D">
              <w:rPr>
                <w:rFonts w:ascii="Times New Roman" w:hAnsi="Times New Roman" w:cs="Times New Roman"/>
                <w:color w:val="000000" w:themeColor="text1"/>
                <w:sz w:val="24"/>
                <w:szCs w:val="24"/>
                <w:lang w:eastAsia="es-MX"/>
              </w:rPr>
              <w:t>s</w:t>
            </w:r>
          </w:p>
        </w:tc>
        <w:tc>
          <w:tcPr>
            <w:tcW w:w="1245" w:type="dxa"/>
          </w:tcPr>
          <w:p w14:paraId="2CF0671D"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1DB07BA9" w14:textId="32DB67EE"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4.050</w:t>
            </w:r>
          </w:p>
        </w:tc>
        <w:tc>
          <w:tcPr>
            <w:tcW w:w="1236" w:type="dxa"/>
          </w:tcPr>
          <w:p w14:paraId="1684B7BF" w14:textId="512BA1E4"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3.153</w:t>
            </w:r>
          </w:p>
        </w:tc>
        <w:tc>
          <w:tcPr>
            <w:tcW w:w="799" w:type="dxa"/>
          </w:tcPr>
          <w:p w14:paraId="7C89DA72"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1</w:t>
            </w:r>
          </w:p>
        </w:tc>
        <w:tc>
          <w:tcPr>
            <w:tcW w:w="850" w:type="dxa"/>
          </w:tcPr>
          <w:p w14:paraId="4F8E533B"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36</w:t>
            </w:r>
          </w:p>
        </w:tc>
        <w:tc>
          <w:tcPr>
            <w:tcW w:w="1701" w:type="dxa"/>
          </w:tcPr>
          <w:p w14:paraId="221BD62D" w14:textId="77777777" w:rsidR="003F66A9" w:rsidRPr="00A45D9D" w:rsidRDefault="003F66A9"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3.91</w:t>
            </w:r>
          </w:p>
        </w:tc>
      </w:tr>
      <w:tr w:rsidR="003F66A9" w:rsidRPr="00A45D9D" w14:paraId="0E38F8EB" w14:textId="77777777" w:rsidTr="003F66A9">
        <w:trPr>
          <w:jc w:val="center"/>
        </w:trPr>
        <w:tc>
          <w:tcPr>
            <w:cnfStyle w:val="001000000000" w:firstRow="0" w:lastRow="0" w:firstColumn="1" w:lastColumn="0" w:oddVBand="0" w:evenVBand="0" w:oddHBand="0" w:evenHBand="0" w:firstRowFirstColumn="0" w:firstRowLastColumn="0" w:lastRowFirstColumn="0" w:lastRowLastColumn="0"/>
            <w:tcW w:w="1591" w:type="dxa"/>
          </w:tcPr>
          <w:p w14:paraId="56E374E5" w14:textId="1B7406C5" w:rsidR="003F66A9" w:rsidRPr="00A45D9D" w:rsidRDefault="003F66A9" w:rsidP="00C03974">
            <w:pPr>
              <w:pStyle w:val="Sinespaciado"/>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Linfocito</w:t>
            </w:r>
            <w:r w:rsidR="00ED7E4D">
              <w:rPr>
                <w:rFonts w:ascii="Times New Roman" w:hAnsi="Times New Roman" w:cs="Times New Roman"/>
                <w:color w:val="000000" w:themeColor="text1"/>
                <w:sz w:val="24"/>
                <w:szCs w:val="24"/>
                <w:lang w:eastAsia="es-MX"/>
              </w:rPr>
              <w:t>s</w:t>
            </w:r>
          </w:p>
        </w:tc>
        <w:tc>
          <w:tcPr>
            <w:tcW w:w="1245" w:type="dxa"/>
          </w:tcPr>
          <w:p w14:paraId="6F085F4A"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w:t>
            </w:r>
          </w:p>
        </w:tc>
        <w:tc>
          <w:tcPr>
            <w:tcW w:w="1509" w:type="dxa"/>
          </w:tcPr>
          <w:p w14:paraId="2F3C7B84" w14:textId="05AFD84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24.525</w:t>
            </w:r>
          </w:p>
        </w:tc>
        <w:tc>
          <w:tcPr>
            <w:tcW w:w="1236" w:type="dxa"/>
          </w:tcPr>
          <w:p w14:paraId="3E5B4481" w14:textId="0FACD4AF"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6.352</w:t>
            </w:r>
          </w:p>
        </w:tc>
        <w:tc>
          <w:tcPr>
            <w:tcW w:w="799" w:type="dxa"/>
          </w:tcPr>
          <w:p w14:paraId="4E5FE2A0"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9</w:t>
            </w:r>
          </w:p>
        </w:tc>
        <w:tc>
          <w:tcPr>
            <w:tcW w:w="850" w:type="dxa"/>
          </w:tcPr>
          <w:p w14:paraId="4F860531"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42</w:t>
            </w:r>
          </w:p>
        </w:tc>
        <w:tc>
          <w:tcPr>
            <w:tcW w:w="1701" w:type="dxa"/>
          </w:tcPr>
          <w:p w14:paraId="6382064F" w14:textId="77777777" w:rsidR="003F66A9" w:rsidRPr="00A45D9D" w:rsidRDefault="003F66A9" w:rsidP="00C03974">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s-MX"/>
              </w:rPr>
            </w:pPr>
            <w:r w:rsidRPr="00A45D9D">
              <w:rPr>
                <w:rFonts w:ascii="Times New Roman" w:hAnsi="Times New Roman" w:cs="Times New Roman"/>
                <w:color w:val="000000" w:themeColor="text1"/>
                <w:sz w:val="24"/>
                <w:szCs w:val="24"/>
                <w:lang w:eastAsia="es-MX"/>
              </w:rPr>
              <w:t>22.90</w:t>
            </w:r>
          </w:p>
        </w:tc>
      </w:tr>
    </w:tbl>
    <w:p w14:paraId="3AB1F848" w14:textId="77777777" w:rsidR="000428B5" w:rsidRPr="00E27833" w:rsidRDefault="00646677" w:rsidP="00653C7C">
      <w:pPr>
        <w:spacing w:line="360" w:lineRule="auto"/>
        <w:jc w:val="center"/>
        <w:rPr>
          <w:rFonts w:eastAsia="Arial"/>
          <w:lang w:val="es-ES"/>
        </w:rPr>
      </w:pPr>
      <w:r w:rsidRPr="00BE552E">
        <w:rPr>
          <w:rFonts w:eastAsia="Arial"/>
          <w:lang w:val="es-ES"/>
        </w:rPr>
        <w:t>Fuente</w:t>
      </w:r>
      <w:r w:rsidRPr="00E27833">
        <w:rPr>
          <w:rFonts w:eastAsia="Arial"/>
          <w:lang w:val="es-ES"/>
        </w:rPr>
        <w:t xml:space="preserve">: </w:t>
      </w:r>
      <w:r w:rsidR="00653C7C" w:rsidRPr="00E27833">
        <w:rPr>
          <w:rFonts w:eastAsia="Arial"/>
          <w:lang w:val="es-ES"/>
        </w:rPr>
        <w:t xml:space="preserve">Datos </w:t>
      </w:r>
      <w:r w:rsidR="009D1B0C" w:rsidRPr="00E27833">
        <w:rPr>
          <w:rFonts w:eastAsia="Arial"/>
          <w:lang w:val="es-ES"/>
        </w:rPr>
        <w:t>de la investigación</w:t>
      </w:r>
      <w:r w:rsidR="00A96D50" w:rsidRPr="00E27833">
        <w:rPr>
          <w:rFonts w:eastAsia="Arial"/>
          <w:lang w:val="es-ES"/>
        </w:rPr>
        <w:t>.</w:t>
      </w:r>
    </w:p>
    <w:p w14:paraId="61B20319" w14:textId="71308255" w:rsidR="00E27833" w:rsidRDefault="00E27833" w:rsidP="00BE552E">
      <w:pPr>
        <w:spacing w:line="360" w:lineRule="auto"/>
        <w:jc w:val="both"/>
      </w:pPr>
      <w:r w:rsidRPr="00A45D9D">
        <w:lastRenderedPageBreak/>
        <w:t>Como puede observarse en la tabla 3, los parámetros destacados que presentan anormalidades en la citometría hemática son los eritrocitos y la hemoglobina</w:t>
      </w:r>
      <w:r>
        <w:t>,</w:t>
      </w:r>
      <w:r w:rsidRPr="00A45D9D">
        <w:t xml:space="preserve"> ya que la mayoría de las pacientes presentan </w:t>
      </w:r>
      <w:r w:rsidR="00ED7E4D">
        <w:t>valores por debajo del valor de referencia.</w:t>
      </w:r>
    </w:p>
    <w:p w14:paraId="7CD60992" w14:textId="77777777" w:rsidR="00E27833" w:rsidRDefault="00E27833" w:rsidP="0097034C">
      <w:pPr>
        <w:spacing w:line="360" w:lineRule="auto"/>
        <w:jc w:val="both"/>
      </w:pPr>
    </w:p>
    <w:p w14:paraId="77D1ABAB" w14:textId="77777777" w:rsidR="00230825" w:rsidRPr="00BE552E" w:rsidRDefault="00230825" w:rsidP="00230825">
      <w:pPr>
        <w:spacing w:line="360" w:lineRule="auto"/>
        <w:jc w:val="center"/>
      </w:pPr>
      <w:r w:rsidRPr="00A45D9D">
        <w:rPr>
          <w:b/>
        </w:rPr>
        <w:t>Tabla</w:t>
      </w:r>
      <w:r w:rsidR="005A5AAC" w:rsidRPr="00A45D9D">
        <w:rPr>
          <w:b/>
        </w:rPr>
        <w:t xml:space="preserve"> 4</w:t>
      </w:r>
      <w:r w:rsidRPr="00A45D9D">
        <w:rPr>
          <w:b/>
        </w:rPr>
        <w:t xml:space="preserve">.  </w:t>
      </w:r>
      <w:r w:rsidRPr="00BE552E">
        <w:t>Estadísticos de la relación del índice de masa corporal en contraste con las presiones arteriales en las pacientes embarazadas del HGRAA.</w:t>
      </w:r>
    </w:p>
    <w:tbl>
      <w:tblPr>
        <w:tblStyle w:val="Cuadrculaclara-nfasis5"/>
        <w:tblW w:w="8676" w:type="dxa"/>
        <w:jc w:val="center"/>
        <w:tblLook w:val="04A0" w:firstRow="1" w:lastRow="0" w:firstColumn="1" w:lastColumn="0" w:noHBand="0" w:noVBand="1"/>
      </w:tblPr>
      <w:tblGrid>
        <w:gridCol w:w="2887"/>
        <w:gridCol w:w="1267"/>
        <w:gridCol w:w="1114"/>
        <w:gridCol w:w="1112"/>
        <w:gridCol w:w="722"/>
        <w:gridCol w:w="698"/>
        <w:gridCol w:w="876"/>
      </w:tblGrid>
      <w:tr w:rsidR="000650F0" w:rsidRPr="00ED7E4D" w14:paraId="1C020B01" w14:textId="77777777" w:rsidTr="00604C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tcPr>
          <w:p w14:paraId="41B3A540" w14:textId="77777777" w:rsidR="000650F0" w:rsidRPr="00A45D9D" w:rsidRDefault="000650F0" w:rsidP="00230825">
            <w:pPr>
              <w:pStyle w:val="Sinespaciado"/>
              <w:jc w:val="center"/>
              <w:rPr>
                <w:rFonts w:ascii="Times New Roman" w:hAnsi="Times New Roman" w:cs="Times New Roman"/>
                <w:sz w:val="24"/>
              </w:rPr>
            </w:pPr>
            <w:r w:rsidRPr="00A45D9D">
              <w:rPr>
                <w:rFonts w:ascii="Times New Roman" w:hAnsi="Times New Roman" w:cs="Times New Roman"/>
                <w:sz w:val="24"/>
              </w:rPr>
              <w:t>Variable</w:t>
            </w:r>
          </w:p>
        </w:tc>
        <w:tc>
          <w:tcPr>
            <w:tcW w:w="1268" w:type="dxa"/>
          </w:tcPr>
          <w:p w14:paraId="23D751E8" w14:textId="77777777" w:rsidR="000650F0" w:rsidRPr="00A45D9D" w:rsidRDefault="000650F0"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45D9D">
              <w:rPr>
                <w:rFonts w:ascii="Times New Roman" w:hAnsi="Times New Roman" w:cs="Times New Roman"/>
                <w:sz w:val="24"/>
              </w:rPr>
              <w:t>IMC</w:t>
            </w:r>
          </w:p>
        </w:tc>
        <w:tc>
          <w:tcPr>
            <w:tcW w:w="1117" w:type="dxa"/>
          </w:tcPr>
          <w:p w14:paraId="166DF9F7" w14:textId="77777777" w:rsidR="000650F0" w:rsidRPr="00A45D9D" w:rsidRDefault="000650F0"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45D9D">
              <w:rPr>
                <w:rFonts w:ascii="Times New Roman" w:hAnsi="Times New Roman" w:cs="Times New Roman"/>
                <w:sz w:val="24"/>
              </w:rPr>
              <w:t>Media</w:t>
            </w:r>
          </w:p>
        </w:tc>
        <w:tc>
          <w:tcPr>
            <w:tcW w:w="1117" w:type="dxa"/>
          </w:tcPr>
          <w:p w14:paraId="141B338D" w14:textId="77777777" w:rsidR="000650F0" w:rsidRPr="00A45D9D" w:rsidRDefault="000650F0"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45D9D">
              <w:rPr>
                <w:rFonts w:ascii="Times New Roman" w:hAnsi="Times New Roman" w:cs="Times New Roman"/>
                <w:sz w:val="24"/>
              </w:rPr>
              <w:t>DS</w:t>
            </w:r>
          </w:p>
        </w:tc>
        <w:tc>
          <w:tcPr>
            <w:tcW w:w="724" w:type="dxa"/>
          </w:tcPr>
          <w:p w14:paraId="72957240" w14:textId="77777777" w:rsidR="000650F0" w:rsidRPr="00A45D9D" w:rsidRDefault="000650F0"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45D9D">
              <w:rPr>
                <w:rFonts w:ascii="Times New Roman" w:hAnsi="Times New Roman" w:cs="Times New Roman"/>
                <w:sz w:val="24"/>
              </w:rPr>
              <w:t>Min</w:t>
            </w:r>
          </w:p>
        </w:tc>
        <w:tc>
          <w:tcPr>
            <w:tcW w:w="698" w:type="dxa"/>
          </w:tcPr>
          <w:p w14:paraId="6A4CECC5" w14:textId="77777777" w:rsidR="000650F0" w:rsidRPr="00A45D9D" w:rsidRDefault="000650F0"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45D9D">
              <w:rPr>
                <w:rFonts w:ascii="Times New Roman" w:hAnsi="Times New Roman" w:cs="Times New Roman"/>
                <w:sz w:val="24"/>
              </w:rPr>
              <w:t>Max</w:t>
            </w:r>
          </w:p>
        </w:tc>
        <w:tc>
          <w:tcPr>
            <w:tcW w:w="833" w:type="dxa"/>
          </w:tcPr>
          <w:p w14:paraId="24243495" w14:textId="0C19C86D" w:rsidR="000650F0" w:rsidRPr="00B623D5" w:rsidRDefault="00B623D5" w:rsidP="00230825">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highlight w:val="cyan"/>
              </w:rPr>
            </w:pPr>
            <w:r w:rsidRPr="00B623D5">
              <w:rPr>
                <w:rFonts w:ascii="Times New Roman" w:hAnsi="Times New Roman" w:cs="Times New Roman"/>
                <w:i/>
                <w:sz w:val="24"/>
              </w:rPr>
              <w:t>p</w:t>
            </w:r>
          </w:p>
        </w:tc>
      </w:tr>
      <w:tr w:rsidR="00604CBE" w:rsidRPr="00A45D9D" w14:paraId="23EF89B1"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val="restart"/>
          </w:tcPr>
          <w:p w14:paraId="156CD4CC" w14:textId="77777777" w:rsidR="00604CBE" w:rsidRPr="00A45D9D" w:rsidRDefault="00604CBE" w:rsidP="00C03974">
            <w:pPr>
              <w:pStyle w:val="Sinespaciado"/>
              <w:rPr>
                <w:rFonts w:ascii="Times New Roman" w:hAnsi="Times New Roman" w:cs="Times New Roman"/>
                <w:sz w:val="24"/>
                <w:szCs w:val="24"/>
              </w:rPr>
            </w:pPr>
          </w:p>
          <w:p w14:paraId="0B2C48C4" w14:textId="77777777" w:rsidR="00604CBE" w:rsidRPr="00A45D9D" w:rsidRDefault="00604CBE" w:rsidP="00C03974">
            <w:pPr>
              <w:pStyle w:val="Sinespaciado"/>
              <w:rPr>
                <w:rFonts w:ascii="Times New Roman" w:hAnsi="Times New Roman" w:cs="Times New Roman"/>
                <w:b w:val="0"/>
                <w:bCs w:val="0"/>
                <w:sz w:val="24"/>
                <w:szCs w:val="24"/>
              </w:rPr>
            </w:pPr>
            <w:r w:rsidRPr="00A45D9D">
              <w:rPr>
                <w:rFonts w:ascii="Times New Roman" w:hAnsi="Times New Roman" w:cs="Times New Roman"/>
                <w:sz w:val="24"/>
                <w:szCs w:val="24"/>
              </w:rPr>
              <w:t>Presión arterial sistólica</w:t>
            </w:r>
          </w:p>
          <w:p w14:paraId="3CF03296"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65D184D9" w14:textId="77777777" w:rsidR="00604CBE" w:rsidRPr="00A45D9D" w:rsidRDefault="00604CBE" w:rsidP="007A4182">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Normal</w:t>
            </w:r>
          </w:p>
        </w:tc>
        <w:tc>
          <w:tcPr>
            <w:tcW w:w="1117" w:type="dxa"/>
          </w:tcPr>
          <w:p w14:paraId="31E2694D" w14:textId="69BA1708"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111.045</w:t>
            </w:r>
          </w:p>
        </w:tc>
        <w:tc>
          <w:tcPr>
            <w:tcW w:w="1117" w:type="dxa"/>
          </w:tcPr>
          <w:p w14:paraId="55EE7B19" w14:textId="42F3CC1F" w:rsidR="00604CBE" w:rsidRPr="00A45D9D" w:rsidRDefault="002E60B8"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12.685</w:t>
            </w:r>
          </w:p>
        </w:tc>
        <w:tc>
          <w:tcPr>
            <w:tcW w:w="724" w:type="dxa"/>
          </w:tcPr>
          <w:p w14:paraId="38F55CE7"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95</w:t>
            </w:r>
          </w:p>
        </w:tc>
        <w:tc>
          <w:tcPr>
            <w:tcW w:w="698" w:type="dxa"/>
          </w:tcPr>
          <w:p w14:paraId="37F9D632"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159</w:t>
            </w:r>
          </w:p>
        </w:tc>
        <w:tc>
          <w:tcPr>
            <w:tcW w:w="833" w:type="dxa"/>
            <w:vMerge w:val="restart"/>
          </w:tcPr>
          <w:p w14:paraId="069B128F"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623BBFD"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0.0439</w:t>
            </w:r>
          </w:p>
        </w:tc>
      </w:tr>
      <w:tr w:rsidR="00604CBE" w:rsidRPr="00A45D9D" w14:paraId="610FF99D"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3782084B"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1284F98B"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Sobrepeso</w:t>
            </w:r>
          </w:p>
        </w:tc>
        <w:tc>
          <w:tcPr>
            <w:tcW w:w="1117" w:type="dxa"/>
          </w:tcPr>
          <w:p w14:paraId="12660A3D" w14:textId="16EE9BDC"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113.526</w:t>
            </w:r>
          </w:p>
        </w:tc>
        <w:tc>
          <w:tcPr>
            <w:tcW w:w="1117" w:type="dxa"/>
          </w:tcPr>
          <w:p w14:paraId="6FA3773C" w14:textId="4AEE55E5" w:rsidR="00604CBE" w:rsidRPr="00A45D9D" w:rsidRDefault="002E60B8"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10.143</w:t>
            </w:r>
          </w:p>
        </w:tc>
        <w:tc>
          <w:tcPr>
            <w:tcW w:w="724" w:type="dxa"/>
          </w:tcPr>
          <w:p w14:paraId="6D223806"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93</w:t>
            </w:r>
          </w:p>
        </w:tc>
        <w:tc>
          <w:tcPr>
            <w:tcW w:w="698" w:type="dxa"/>
          </w:tcPr>
          <w:p w14:paraId="54CC2881"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136</w:t>
            </w:r>
          </w:p>
        </w:tc>
        <w:tc>
          <w:tcPr>
            <w:tcW w:w="833" w:type="dxa"/>
            <w:vMerge/>
          </w:tcPr>
          <w:p w14:paraId="373AAD1D"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04CBE" w:rsidRPr="00A45D9D" w14:paraId="091A2DB8"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3CE7F233"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2943532A"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Obesidad</w:t>
            </w:r>
          </w:p>
        </w:tc>
        <w:tc>
          <w:tcPr>
            <w:tcW w:w="1117" w:type="dxa"/>
          </w:tcPr>
          <w:p w14:paraId="16DA346C" w14:textId="5ADE039D"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117.15</w:t>
            </w:r>
            <w:r w:rsidR="002E60B8">
              <w:rPr>
                <w:rFonts w:ascii="Times New Roman" w:hAnsi="Times New Roman" w:cs="Times New Roman"/>
                <w:sz w:val="24"/>
                <w:szCs w:val="24"/>
              </w:rPr>
              <w:t>0</w:t>
            </w:r>
          </w:p>
        </w:tc>
        <w:tc>
          <w:tcPr>
            <w:tcW w:w="1117" w:type="dxa"/>
          </w:tcPr>
          <w:p w14:paraId="4C19D59F" w14:textId="30FE5A5F"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11.523</w:t>
            </w:r>
          </w:p>
        </w:tc>
        <w:tc>
          <w:tcPr>
            <w:tcW w:w="724" w:type="dxa"/>
          </w:tcPr>
          <w:p w14:paraId="16250C0E"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98</w:t>
            </w:r>
          </w:p>
        </w:tc>
        <w:tc>
          <w:tcPr>
            <w:tcW w:w="698" w:type="dxa"/>
          </w:tcPr>
          <w:p w14:paraId="264C4004"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154</w:t>
            </w:r>
          </w:p>
        </w:tc>
        <w:tc>
          <w:tcPr>
            <w:tcW w:w="833" w:type="dxa"/>
            <w:vMerge/>
          </w:tcPr>
          <w:p w14:paraId="5640A581"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4CBE" w:rsidRPr="00A45D9D" w14:paraId="02B1579F"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val="restart"/>
          </w:tcPr>
          <w:p w14:paraId="4C5895E1" w14:textId="77777777" w:rsidR="00604CBE" w:rsidRPr="00A45D9D" w:rsidRDefault="00604CBE" w:rsidP="00C03974">
            <w:pPr>
              <w:pStyle w:val="Sinespaciado"/>
              <w:rPr>
                <w:rFonts w:ascii="Times New Roman" w:hAnsi="Times New Roman" w:cs="Times New Roman"/>
                <w:sz w:val="24"/>
                <w:szCs w:val="24"/>
              </w:rPr>
            </w:pPr>
          </w:p>
          <w:p w14:paraId="7D7AAEC1" w14:textId="77777777" w:rsidR="00604CBE" w:rsidRPr="00A45D9D" w:rsidRDefault="00604CBE" w:rsidP="00C03974">
            <w:pPr>
              <w:pStyle w:val="Sinespaciado"/>
              <w:rPr>
                <w:rFonts w:ascii="Times New Roman" w:hAnsi="Times New Roman" w:cs="Times New Roman"/>
                <w:b w:val="0"/>
                <w:bCs w:val="0"/>
                <w:sz w:val="24"/>
                <w:szCs w:val="24"/>
              </w:rPr>
            </w:pPr>
            <w:r w:rsidRPr="00A45D9D">
              <w:rPr>
                <w:rFonts w:ascii="Times New Roman" w:hAnsi="Times New Roman" w:cs="Times New Roman"/>
                <w:sz w:val="24"/>
                <w:szCs w:val="24"/>
              </w:rPr>
              <w:t>Presión arterial diastólica</w:t>
            </w:r>
          </w:p>
          <w:p w14:paraId="668F1008"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1966EEBB"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Normal</w:t>
            </w:r>
          </w:p>
        </w:tc>
        <w:tc>
          <w:tcPr>
            <w:tcW w:w="1117" w:type="dxa"/>
          </w:tcPr>
          <w:p w14:paraId="1CE13E06" w14:textId="5BEA5583" w:rsidR="00604CBE" w:rsidRPr="00A45D9D" w:rsidRDefault="002E60B8"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62.772</w:t>
            </w:r>
          </w:p>
        </w:tc>
        <w:tc>
          <w:tcPr>
            <w:tcW w:w="1117" w:type="dxa"/>
          </w:tcPr>
          <w:p w14:paraId="0815279A" w14:textId="5E64C17D" w:rsidR="00604CBE" w:rsidRPr="00A45D9D" w:rsidRDefault="002E60B8"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11.342</w:t>
            </w:r>
          </w:p>
        </w:tc>
        <w:tc>
          <w:tcPr>
            <w:tcW w:w="724" w:type="dxa"/>
          </w:tcPr>
          <w:p w14:paraId="2E9CF3FF"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48</w:t>
            </w:r>
          </w:p>
        </w:tc>
        <w:tc>
          <w:tcPr>
            <w:tcW w:w="698" w:type="dxa"/>
          </w:tcPr>
          <w:p w14:paraId="56494830"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106</w:t>
            </w:r>
          </w:p>
        </w:tc>
        <w:tc>
          <w:tcPr>
            <w:tcW w:w="833" w:type="dxa"/>
            <w:vMerge w:val="restart"/>
          </w:tcPr>
          <w:p w14:paraId="54634F60"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0E8EBF9"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0.0374</w:t>
            </w:r>
          </w:p>
        </w:tc>
      </w:tr>
      <w:tr w:rsidR="00604CBE" w:rsidRPr="00A45D9D" w14:paraId="60E13625"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687B3006"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58EE4389"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Sobrepeso</w:t>
            </w:r>
          </w:p>
        </w:tc>
        <w:tc>
          <w:tcPr>
            <w:tcW w:w="1117" w:type="dxa"/>
          </w:tcPr>
          <w:p w14:paraId="47A1B8D5" w14:textId="5E54405B"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66.903</w:t>
            </w:r>
          </w:p>
        </w:tc>
        <w:tc>
          <w:tcPr>
            <w:tcW w:w="1117" w:type="dxa"/>
          </w:tcPr>
          <w:p w14:paraId="223CA9F5" w14:textId="259383EC"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7.618</w:t>
            </w:r>
          </w:p>
        </w:tc>
        <w:tc>
          <w:tcPr>
            <w:tcW w:w="724" w:type="dxa"/>
          </w:tcPr>
          <w:p w14:paraId="0C50E909"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51</w:t>
            </w:r>
          </w:p>
        </w:tc>
        <w:tc>
          <w:tcPr>
            <w:tcW w:w="698" w:type="dxa"/>
          </w:tcPr>
          <w:p w14:paraId="1708A742"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89</w:t>
            </w:r>
          </w:p>
        </w:tc>
        <w:tc>
          <w:tcPr>
            <w:tcW w:w="833" w:type="dxa"/>
            <w:vMerge/>
          </w:tcPr>
          <w:p w14:paraId="4205502A"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4CBE" w:rsidRPr="00A45D9D" w14:paraId="323FD251"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3AE70FF2"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4D5B7CF9"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Obesidad</w:t>
            </w:r>
          </w:p>
        </w:tc>
        <w:tc>
          <w:tcPr>
            <w:tcW w:w="1117" w:type="dxa"/>
          </w:tcPr>
          <w:p w14:paraId="49D62FED"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86.275</w:t>
            </w:r>
          </w:p>
        </w:tc>
        <w:tc>
          <w:tcPr>
            <w:tcW w:w="1117" w:type="dxa"/>
          </w:tcPr>
          <w:p w14:paraId="38F97E46" w14:textId="46A20E5F" w:rsidR="00604CBE" w:rsidRPr="00A45D9D" w:rsidRDefault="002E60B8"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94.319</w:t>
            </w:r>
          </w:p>
        </w:tc>
        <w:tc>
          <w:tcPr>
            <w:tcW w:w="724" w:type="dxa"/>
          </w:tcPr>
          <w:p w14:paraId="566E21D7"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59</w:t>
            </w:r>
          </w:p>
        </w:tc>
        <w:tc>
          <w:tcPr>
            <w:tcW w:w="698" w:type="dxa"/>
          </w:tcPr>
          <w:p w14:paraId="5A1509D9"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96</w:t>
            </w:r>
          </w:p>
        </w:tc>
        <w:tc>
          <w:tcPr>
            <w:tcW w:w="833" w:type="dxa"/>
            <w:vMerge/>
          </w:tcPr>
          <w:p w14:paraId="7427B461"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04CBE" w:rsidRPr="00A45D9D" w14:paraId="39444209"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val="restart"/>
          </w:tcPr>
          <w:p w14:paraId="5574489D" w14:textId="77777777" w:rsidR="00604CBE" w:rsidRPr="00A45D9D" w:rsidRDefault="00604CBE" w:rsidP="00C03974">
            <w:pPr>
              <w:pStyle w:val="Sinespaciado"/>
              <w:rPr>
                <w:rFonts w:ascii="Times New Roman" w:hAnsi="Times New Roman" w:cs="Times New Roman"/>
                <w:sz w:val="24"/>
                <w:szCs w:val="24"/>
              </w:rPr>
            </w:pPr>
          </w:p>
          <w:p w14:paraId="69128B0B" w14:textId="77777777" w:rsidR="00604CBE" w:rsidRPr="00A45D9D" w:rsidRDefault="00604CBE" w:rsidP="00C03974">
            <w:pPr>
              <w:pStyle w:val="Sinespaciado"/>
              <w:rPr>
                <w:rFonts w:ascii="Times New Roman" w:hAnsi="Times New Roman" w:cs="Times New Roman"/>
                <w:b w:val="0"/>
                <w:bCs w:val="0"/>
                <w:sz w:val="24"/>
                <w:szCs w:val="24"/>
              </w:rPr>
            </w:pPr>
            <w:r w:rsidRPr="00A45D9D">
              <w:rPr>
                <w:rFonts w:ascii="Times New Roman" w:hAnsi="Times New Roman" w:cs="Times New Roman"/>
                <w:sz w:val="24"/>
                <w:szCs w:val="24"/>
              </w:rPr>
              <w:t>Presión de pulso</w:t>
            </w:r>
          </w:p>
          <w:p w14:paraId="076D274D"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01896395" w14:textId="77777777" w:rsidR="00604CBE" w:rsidRPr="00A45D9D" w:rsidRDefault="00604CBE" w:rsidP="007A4182">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Normal</w:t>
            </w:r>
          </w:p>
        </w:tc>
        <w:tc>
          <w:tcPr>
            <w:tcW w:w="1117" w:type="dxa"/>
          </w:tcPr>
          <w:p w14:paraId="0EBDFDDC" w14:textId="68E9AF34" w:rsidR="00604CBE" w:rsidRPr="00A45D9D" w:rsidRDefault="002E60B8"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48.272</w:t>
            </w:r>
          </w:p>
        </w:tc>
        <w:tc>
          <w:tcPr>
            <w:tcW w:w="1117" w:type="dxa"/>
          </w:tcPr>
          <w:p w14:paraId="29C09347" w14:textId="04B14B68" w:rsidR="00604CBE" w:rsidRPr="00A45D9D" w:rsidRDefault="002E60B8"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8.619</w:t>
            </w:r>
          </w:p>
        </w:tc>
        <w:tc>
          <w:tcPr>
            <w:tcW w:w="724" w:type="dxa"/>
          </w:tcPr>
          <w:p w14:paraId="5BDECC2B"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32</w:t>
            </w:r>
          </w:p>
        </w:tc>
        <w:tc>
          <w:tcPr>
            <w:tcW w:w="698" w:type="dxa"/>
          </w:tcPr>
          <w:p w14:paraId="0D4B66C0"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66</w:t>
            </w:r>
          </w:p>
        </w:tc>
        <w:tc>
          <w:tcPr>
            <w:tcW w:w="833" w:type="dxa"/>
            <w:vMerge w:val="restart"/>
          </w:tcPr>
          <w:p w14:paraId="20B19CBB"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8D688A0" w14:textId="77777777" w:rsidR="00604CBE" w:rsidRPr="00A45D9D" w:rsidRDefault="00604CBE" w:rsidP="00230825">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0.3852</w:t>
            </w:r>
          </w:p>
        </w:tc>
      </w:tr>
      <w:tr w:rsidR="00604CBE" w:rsidRPr="00A45D9D" w14:paraId="7BD09863"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0AA619EE"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213D7DF4"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Sobrepeso</w:t>
            </w:r>
          </w:p>
        </w:tc>
        <w:tc>
          <w:tcPr>
            <w:tcW w:w="1117" w:type="dxa"/>
          </w:tcPr>
          <w:p w14:paraId="4F15BFD9" w14:textId="7B03B7B4" w:rsidR="00604CBE" w:rsidRPr="00A45D9D" w:rsidRDefault="002E60B8"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46.591</w:t>
            </w:r>
          </w:p>
        </w:tc>
        <w:tc>
          <w:tcPr>
            <w:tcW w:w="1117" w:type="dxa"/>
          </w:tcPr>
          <w:p w14:paraId="106DC93E" w14:textId="2EE5E7BD" w:rsidR="00604CBE" w:rsidRPr="00A45D9D" w:rsidRDefault="002E60B8"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8.179</w:t>
            </w:r>
          </w:p>
        </w:tc>
        <w:tc>
          <w:tcPr>
            <w:tcW w:w="724" w:type="dxa"/>
          </w:tcPr>
          <w:p w14:paraId="5ECE0818"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30</w:t>
            </w:r>
          </w:p>
        </w:tc>
        <w:tc>
          <w:tcPr>
            <w:tcW w:w="698" w:type="dxa"/>
          </w:tcPr>
          <w:p w14:paraId="21195FE1"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72</w:t>
            </w:r>
          </w:p>
        </w:tc>
        <w:tc>
          <w:tcPr>
            <w:tcW w:w="833" w:type="dxa"/>
            <w:vMerge/>
          </w:tcPr>
          <w:p w14:paraId="65800870"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04CBE" w:rsidRPr="00A45D9D" w14:paraId="59399C14"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0C72F6CB"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317281B8"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Obesidad</w:t>
            </w:r>
          </w:p>
        </w:tc>
        <w:tc>
          <w:tcPr>
            <w:tcW w:w="1117" w:type="dxa"/>
          </w:tcPr>
          <w:p w14:paraId="10E73D9F"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45.875</w:t>
            </w:r>
          </w:p>
        </w:tc>
        <w:tc>
          <w:tcPr>
            <w:tcW w:w="1117" w:type="dxa"/>
          </w:tcPr>
          <w:p w14:paraId="1233C512" w14:textId="79070512"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8.385</w:t>
            </w:r>
          </w:p>
        </w:tc>
        <w:tc>
          <w:tcPr>
            <w:tcW w:w="724" w:type="dxa"/>
          </w:tcPr>
          <w:p w14:paraId="671C01E1"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31</w:t>
            </w:r>
          </w:p>
        </w:tc>
        <w:tc>
          <w:tcPr>
            <w:tcW w:w="698" w:type="dxa"/>
          </w:tcPr>
          <w:p w14:paraId="3880F360"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68</w:t>
            </w:r>
          </w:p>
        </w:tc>
        <w:tc>
          <w:tcPr>
            <w:tcW w:w="833" w:type="dxa"/>
            <w:vMerge/>
          </w:tcPr>
          <w:p w14:paraId="46056D29"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4CBE" w:rsidRPr="00A45D9D" w14:paraId="72C64BD0"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val="restart"/>
          </w:tcPr>
          <w:p w14:paraId="12259179" w14:textId="77777777" w:rsidR="00604CBE" w:rsidRPr="00A45D9D" w:rsidRDefault="00604CBE" w:rsidP="00C03974">
            <w:pPr>
              <w:pStyle w:val="Sinespaciado"/>
              <w:rPr>
                <w:rFonts w:ascii="Times New Roman" w:hAnsi="Times New Roman" w:cs="Times New Roman"/>
                <w:sz w:val="24"/>
                <w:szCs w:val="24"/>
              </w:rPr>
            </w:pPr>
          </w:p>
          <w:p w14:paraId="464A7924" w14:textId="77777777" w:rsidR="00604CBE" w:rsidRPr="00A45D9D" w:rsidRDefault="00604CBE" w:rsidP="00C03974">
            <w:pPr>
              <w:pStyle w:val="Sinespaciado"/>
              <w:rPr>
                <w:rFonts w:ascii="Times New Roman" w:hAnsi="Times New Roman" w:cs="Times New Roman"/>
                <w:b w:val="0"/>
                <w:bCs w:val="0"/>
                <w:sz w:val="24"/>
                <w:szCs w:val="24"/>
              </w:rPr>
            </w:pPr>
            <w:r w:rsidRPr="00A45D9D">
              <w:rPr>
                <w:rFonts w:ascii="Times New Roman" w:hAnsi="Times New Roman" w:cs="Times New Roman"/>
                <w:sz w:val="24"/>
                <w:szCs w:val="24"/>
              </w:rPr>
              <w:t>Frecuencia cardiaca</w:t>
            </w:r>
          </w:p>
          <w:p w14:paraId="32163E09"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1A569E96"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Normal</w:t>
            </w:r>
          </w:p>
        </w:tc>
        <w:tc>
          <w:tcPr>
            <w:tcW w:w="1117" w:type="dxa"/>
          </w:tcPr>
          <w:p w14:paraId="080EA6A1" w14:textId="42999481" w:rsidR="00604CBE" w:rsidRPr="00A45D9D" w:rsidRDefault="002E60B8"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82.688</w:t>
            </w:r>
          </w:p>
        </w:tc>
        <w:tc>
          <w:tcPr>
            <w:tcW w:w="1117" w:type="dxa"/>
          </w:tcPr>
          <w:p w14:paraId="351B2290" w14:textId="334C2F7B" w:rsidR="00604CBE" w:rsidRPr="00A45D9D" w:rsidRDefault="002E60B8"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9.022</w:t>
            </w:r>
          </w:p>
        </w:tc>
        <w:tc>
          <w:tcPr>
            <w:tcW w:w="724" w:type="dxa"/>
          </w:tcPr>
          <w:p w14:paraId="6D09D15E"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61</w:t>
            </w:r>
          </w:p>
        </w:tc>
        <w:tc>
          <w:tcPr>
            <w:tcW w:w="698" w:type="dxa"/>
          </w:tcPr>
          <w:p w14:paraId="2CB1E1EF"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105</w:t>
            </w:r>
          </w:p>
        </w:tc>
        <w:tc>
          <w:tcPr>
            <w:tcW w:w="833" w:type="dxa"/>
            <w:vMerge w:val="restart"/>
          </w:tcPr>
          <w:p w14:paraId="3F355F1F"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D8F052B" w14:textId="77777777" w:rsidR="00604CBE" w:rsidRPr="00A45D9D" w:rsidRDefault="00604CBE" w:rsidP="00230825">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0.6768</w:t>
            </w:r>
          </w:p>
        </w:tc>
      </w:tr>
      <w:tr w:rsidR="00604CBE" w:rsidRPr="00A45D9D" w14:paraId="6C69A6AD" w14:textId="77777777" w:rsidTr="0060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3C575AE1"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7E464E5D"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Sobrepeso</w:t>
            </w:r>
          </w:p>
        </w:tc>
        <w:tc>
          <w:tcPr>
            <w:tcW w:w="1117" w:type="dxa"/>
          </w:tcPr>
          <w:p w14:paraId="6A3943D0" w14:textId="53EAA78E"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82.172</w:t>
            </w:r>
          </w:p>
        </w:tc>
        <w:tc>
          <w:tcPr>
            <w:tcW w:w="1117" w:type="dxa"/>
          </w:tcPr>
          <w:p w14:paraId="31EB707C" w14:textId="2E2572B6" w:rsidR="00604CBE" w:rsidRPr="00A45D9D" w:rsidRDefault="002E60B8"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11.856</w:t>
            </w:r>
          </w:p>
        </w:tc>
        <w:tc>
          <w:tcPr>
            <w:tcW w:w="724" w:type="dxa"/>
          </w:tcPr>
          <w:p w14:paraId="30470A6F"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20</w:t>
            </w:r>
          </w:p>
        </w:tc>
        <w:tc>
          <w:tcPr>
            <w:tcW w:w="698" w:type="dxa"/>
          </w:tcPr>
          <w:p w14:paraId="3067FF72"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113</w:t>
            </w:r>
          </w:p>
        </w:tc>
        <w:tc>
          <w:tcPr>
            <w:tcW w:w="833" w:type="dxa"/>
            <w:vMerge/>
          </w:tcPr>
          <w:p w14:paraId="20BF77F5" w14:textId="77777777" w:rsidR="00604CBE" w:rsidRPr="00A45D9D" w:rsidRDefault="00604CBE" w:rsidP="00C03974">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04CBE" w:rsidRPr="00A45D9D" w14:paraId="28D67BDB" w14:textId="77777777" w:rsidTr="00604CB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9" w:type="dxa"/>
            <w:vMerge/>
          </w:tcPr>
          <w:p w14:paraId="2C2C2F4A" w14:textId="77777777" w:rsidR="00604CBE" w:rsidRPr="00A45D9D" w:rsidRDefault="00604CBE" w:rsidP="00C03974">
            <w:pPr>
              <w:pStyle w:val="Sinespaciado"/>
              <w:rPr>
                <w:rFonts w:ascii="Times New Roman" w:hAnsi="Times New Roman" w:cs="Times New Roman"/>
                <w:sz w:val="24"/>
                <w:szCs w:val="24"/>
              </w:rPr>
            </w:pPr>
          </w:p>
        </w:tc>
        <w:tc>
          <w:tcPr>
            <w:tcW w:w="1268" w:type="dxa"/>
          </w:tcPr>
          <w:p w14:paraId="361EE7D9"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Obesidad</w:t>
            </w:r>
          </w:p>
        </w:tc>
        <w:tc>
          <w:tcPr>
            <w:tcW w:w="1117" w:type="dxa"/>
          </w:tcPr>
          <w:p w14:paraId="5AB151FD"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80.725</w:t>
            </w:r>
          </w:p>
        </w:tc>
        <w:tc>
          <w:tcPr>
            <w:tcW w:w="1117" w:type="dxa"/>
          </w:tcPr>
          <w:p w14:paraId="5FA32ECD" w14:textId="58549730" w:rsidR="00604CBE" w:rsidRPr="00A45D9D" w:rsidRDefault="002E60B8"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9.336</w:t>
            </w:r>
          </w:p>
        </w:tc>
        <w:tc>
          <w:tcPr>
            <w:tcW w:w="724" w:type="dxa"/>
          </w:tcPr>
          <w:p w14:paraId="12474ACA"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61</w:t>
            </w:r>
          </w:p>
        </w:tc>
        <w:tc>
          <w:tcPr>
            <w:tcW w:w="698" w:type="dxa"/>
          </w:tcPr>
          <w:p w14:paraId="540CD277"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45D9D">
              <w:rPr>
                <w:rFonts w:ascii="Times New Roman" w:hAnsi="Times New Roman" w:cs="Times New Roman"/>
                <w:sz w:val="24"/>
                <w:szCs w:val="24"/>
              </w:rPr>
              <w:t>102</w:t>
            </w:r>
          </w:p>
        </w:tc>
        <w:tc>
          <w:tcPr>
            <w:tcW w:w="833" w:type="dxa"/>
            <w:vMerge/>
          </w:tcPr>
          <w:p w14:paraId="0AF30A15" w14:textId="77777777" w:rsidR="00604CBE" w:rsidRPr="00A45D9D" w:rsidRDefault="00604CBE" w:rsidP="00C03974">
            <w:pPr>
              <w:pStyle w:val="Sinespaciad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14:paraId="475A4B30" w14:textId="77777777" w:rsidR="00230825" w:rsidRPr="00E27833" w:rsidRDefault="009D1B0C" w:rsidP="00801254">
      <w:pPr>
        <w:jc w:val="center"/>
      </w:pPr>
      <w:r w:rsidRPr="00BE552E">
        <w:t>Fuente</w:t>
      </w:r>
      <w:r w:rsidRPr="00E27833">
        <w:t xml:space="preserve">: </w:t>
      </w:r>
      <w:r w:rsidR="00653C7C" w:rsidRPr="00E27833">
        <w:t xml:space="preserve">Datos </w:t>
      </w:r>
      <w:r w:rsidRPr="00E27833">
        <w:t>de la investigación</w:t>
      </w:r>
      <w:r w:rsidR="00A96D50" w:rsidRPr="00E27833">
        <w:t>.</w:t>
      </w:r>
    </w:p>
    <w:p w14:paraId="6E0346FA" w14:textId="77777777" w:rsidR="007A4182" w:rsidRPr="00A45D9D" w:rsidRDefault="007A4182" w:rsidP="00801254"/>
    <w:p w14:paraId="436941E5" w14:textId="2D542AEF" w:rsidR="00E27833" w:rsidRDefault="00E27833" w:rsidP="00E27833">
      <w:pPr>
        <w:spacing w:line="360" w:lineRule="auto"/>
        <w:jc w:val="both"/>
      </w:pPr>
      <w:r w:rsidRPr="00A45D9D">
        <w:t>En la tabla 4 se presenta una correlación de las presiones de las pacientes embarazadas en relación</w:t>
      </w:r>
      <w:r>
        <w:t xml:space="preserve"> con e</w:t>
      </w:r>
      <w:r w:rsidRPr="00A45D9D">
        <w:t>l índice de masa corporal de tipo normal, sobrepeso y obesi</w:t>
      </w:r>
      <w:r>
        <w:t>dad respectivamente. S</w:t>
      </w:r>
      <w:r w:rsidRPr="00A45D9D">
        <w:t>e observa que cuando aumenta la masa corporal de las pacientes</w:t>
      </w:r>
      <w:r>
        <w:t>,</w:t>
      </w:r>
      <w:r w:rsidRPr="00A45D9D">
        <w:t xml:space="preserve"> las presiones arteriales tanto diastólica y sistólica incrementan, a diferencia de la presión de pulso y frecuencia cardiaca</w:t>
      </w:r>
      <w:r>
        <w:t xml:space="preserve">, las cuales </w:t>
      </w:r>
      <w:r w:rsidRPr="00A45D9D">
        <w:t>disminuyen al presentar mayor masa corporal. A</w:t>
      </w:r>
      <w:r>
        <w:t xml:space="preserve">demás, se determinó el valor de </w:t>
      </w:r>
      <w:r w:rsidRPr="00C91C67">
        <w:rPr>
          <w:i/>
        </w:rPr>
        <w:t>p</w:t>
      </w:r>
      <w:r>
        <w:t xml:space="preserve"> utilizando un análisis de Anova</w:t>
      </w:r>
      <w:r w:rsidRPr="00A45D9D">
        <w:t xml:space="preserve"> de un </w:t>
      </w:r>
      <w:r w:rsidRPr="00B623D5">
        <w:t>factor</w:t>
      </w:r>
      <w:r w:rsidR="00B623D5" w:rsidRPr="00B623D5">
        <w:t xml:space="preserve"> para</w:t>
      </w:r>
      <w:r w:rsidRPr="00A45D9D">
        <w:t xml:space="preserve"> 3 niveles donde se observa diferencia significativa para las presiones diastólica y sistólica.</w:t>
      </w:r>
    </w:p>
    <w:p w14:paraId="05F35394" w14:textId="77777777" w:rsidR="00400331" w:rsidRDefault="00400331" w:rsidP="0097034C">
      <w:pPr>
        <w:spacing w:line="360" w:lineRule="auto"/>
        <w:jc w:val="both"/>
      </w:pPr>
    </w:p>
    <w:p w14:paraId="12102B1C" w14:textId="77777777" w:rsidR="000879BD" w:rsidRDefault="000879BD" w:rsidP="0097034C">
      <w:pPr>
        <w:spacing w:line="360" w:lineRule="auto"/>
        <w:jc w:val="both"/>
      </w:pPr>
    </w:p>
    <w:p w14:paraId="11528EB1" w14:textId="77777777" w:rsidR="000879BD" w:rsidRDefault="000879BD" w:rsidP="0097034C">
      <w:pPr>
        <w:spacing w:line="360" w:lineRule="auto"/>
        <w:jc w:val="both"/>
      </w:pPr>
    </w:p>
    <w:p w14:paraId="2738D4A6" w14:textId="77777777" w:rsidR="000879BD" w:rsidRDefault="000879BD" w:rsidP="0097034C">
      <w:pPr>
        <w:spacing w:line="360" w:lineRule="auto"/>
        <w:jc w:val="both"/>
      </w:pPr>
    </w:p>
    <w:p w14:paraId="4A42AE8F" w14:textId="77777777" w:rsidR="000879BD" w:rsidRDefault="000879BD" w:rsidP="0097034C">
      <w:pPr>
        <w:spacing w:line="360" w:lineRule="auto"/>
        <w:jc w:val="both"/>
      </w:pPr>
    </w:p>
    <w:p w14:paraId="7B2F7E02" w14:textId="77777777" w:rsidR="000879BD" w:rsidRDefault="000879BD" w:rsidP="0097034C">
      <w:pPr>
        <w:spacing w:line="360" w:lineRule="auto"/>
        <w:jc w:val="both"/>
      </w:pPr>
    </w:p>
    <w:p w14:paraId="09B21DCF" w14:textId="38EDFFC6" w:rsidR="00877653" w:rsidRPr="00A45D9D" w:rsidRDefault="00877653" w:rsidP="00877653">
      <w:pPr>
        <w:spacing w:line="360" w:lineRule="auto"/>
        <w:jc w:val="center"/>
      </w:pPr>
      <w:r w:rsidRPr="00A45D9D">
        <w:rPr>
          <w:b/>
        </w:rPr>
        <w:lastRenderedPageBreak/>
        <w:t>Tabl</w:t>
      </w:r>
      <w:r w:rsidR="005A5AAC" w:rsidRPr="00A45D9D">
        <w:rPr>
          <w:b/>
        </w:rPr>
        <w:t>a 5</w:t>
      </w:r>
      <w:r w:rsidRPr="00A45D9D">
        <w:rPr>
          <w:b/>
        </w:rPr>
        <w:t xml:space="preserve">. </w:t>
      </w:r>
      <w:r w:rsidRPr="00BE552E">
        <w:t xml:space="preserve">Pacientes diagnosticadas con preeclampsia, </w:t>
      </w:r>
      <w:r w:rsidRPr="00B623D5">
        <w:t>candidato a</w:t>
      </w:r>
      <w:r w:rsidRPr="00BE552E">
        <w:t xml:space="preserve"> desarrollar la enfermedad y pacientes normales</w:t>
      </w:r>
    </w:p>
    <w:tbl>
      <w:tblPr>
        <w:tblStyle w:val="Cuadrculaclara-nfasis5"/>
        <w:tblpPr w:leftFromText="141" w:rightFromText="141" w:vertAnchor="text" w:horzAnchor="margin" w:tblpXSpec="center" w:tblpY="249"/>
        <w:tblW w:w="0" w:type="auto"/>
        <w:tblLook w:val="04A0" w:firstRow="1" w:lastRow="0" w:firstColumn="1" w:lastColumn="0" w:noHBand="0" w:noVBand="1"/>
      </w:tblPr>
      <w:tblGrid>
        <w:gridCol w:w="3510"/>
        <w:gridCol w:w="1560"/>
      </w:tblGrid>
      <w:tr w:rsidR="00877653" w:rsidRPr="00A45D9D" w14:paraId="039F74E8" w14:textId="77777777" w:rsidTr="00877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112E535C" w14:textId="77777777" w:rsidR="00877653" w:rsidRPr="00A45D9D" w:rsidRDefault="00877653" w:rsidP="00877653">
            <w:pPr>
              <w:spacing w:line="360" w:lineRule="auto"/>
              <w:jc w:val="center"/>
            </w:pPr>
            <w:r w:rsidRPr="00A45D9D">
              <w:t>Número de pacientes</w:t>
            </w:r>
          </w:p>
        </w:tc>
        <w:tc>
          <w:tcPr>
            <w:tcW w:w="1560" w:type="dxa"/>
            <w:hideMark/>
          </w:tcPr>
          <w:p w14:paraId="3940BD00" w14:textId="77777777" w:rsidR="00877653" w:rsidRPr="00A45D9D" w:rsidRDefault="00877653" w:rsidP="00877653">
            <w:pPr>
              <w:spacing w:line="360" w:lineRule="auto"/>
              <w:jc w:val="center"/>
              <w:cnfStyle w:val="100000000000" w:firstRow="1" w:lastRow="0" w:firstColumn="0" w:lastColumn="0" w:oddVBand="0" w:evenVBand="0" w:oddHBand="0" w:evenHBand="0" w:firstRowFirstColumn="0" w:firstRowLastColumn="0" w:lastRowFirstColumn="0" w:lastRowLastColumn="0"/>
            </w:pPr>
            <w:r w:rsidRPr="00A45D9D">
              <w:t>Porcentaje</w:t>
            </w:r>
          </w:p>
        </w:tc>
      </w:tr>
      <w:tr w:rsidR="00877653" w:rsidRPr="00A45D9D" w14:paraId="0C457C17" w14:textId="77777777" w:rsidTr="00877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17549BD6" w14:textId="161B00C3" w:rsidR="00877653" w:rsidRPr="00A45D9D" w:rsidRDefault="006545C3">
            <w:pPr>
              <w:spacing w:line="360" w:lineRule="auto"/>
              <w:jc w:val="both"/>
            </w:pPr>
            <w:r>
              <w:t>2</w:t>
            </w:r>
            <w:r w:rsidR="00877653" w:rsidRPr="00A45D9D">
              <w:t xml:space="preserve"> Pacientes con preeclampsia.</w:t>
            </w:r>
          </w:p>
        </w:tc>
        <w:tc>
          <w:tcPr>
            <w:tcW w:w="1560" w:type="dxa"/>
            <w:hideMark/>
          </w:tcPr>
          <w:p w14:paraId="23EB1305" w14:textId="3BB6BDD0" w:rsidR="00877653" w:rsidRPr="00257C50" w:rsidRDefault="004A3A1F">
            <w:pPr>
              <w:spacing w:line="360" w:lineRule="auto"/>
              <w:jc w:val="center"/>
              <w:cnfStyle w:val="000000100000" w:firstRow="0" w:lastRow="0" w:firstColumn="0" w:lastColumn="0" w:oddVBand="0" w:evenVBand="0" w:oddHBand="1" w:evenHBand="0" w:firstRowFirstColumn="0" w:firstRowLastColumn="0" w:lastRowFirstColumn="0" w:lastRowLastColumn="0"/>
            </w:pPr>
            <w:r w:rsidRPr="00257C50">
              <w:t>1.14</w:t>
            </w:r>
            <w:r w:rsidR="00877653" w:rsidRPr="00257C50">
              <w:t>%</w:t>
            </w:r>
          </w:p>
        </w:tc>
      </w:tr>
      <w:tr w:rsidR="00877653" w:rsidRPr="00A45D9D" w14:paraId="0154E284" w14:textId="77777777" w:rsidTr="008776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60B62697" w14:textId="77777777" w:rsidR="00877653" w:rsidRPr="00A45D9D" w:rsidRDefault="00877653">
            <w:pPr>
              <w:spacing w:line="360" w:lineRule="auto"/>
              <w:jc w:val="both"/>
            </w:pPr>
            <w:r w:rsidRPr="00A45D9D">
              <w:t>1 Candidato potencial.</w:t>
            </w:r>
          </w:p>
        </w:tc>
        <w:tc>
          <w:tcPr>
            <w:tcW w:w="1560" w:type="dxa"/>
            <w:hideMark/>
          </w:tcPr>
          <w:p w14:paraId="46F35D73" w14:textId="40B9934A" w:rsidR="00877653" w:rsidRPr="00257C50" w:rsidRDefault="00077251">
            <w:pPr>
              <w:spacing w:line="360" w:lineRule="auto"/>
              <w:jc w:val="center"/>
              <w:cnfStyle w:val="000000010000" w:firstRow="0" w:lastRow="0" w:firstColumn="0" w:lastColumn="0" w:oddVBand="0" w:evenVBand="0" w:oddHBand="0" w:evenHBand="1" w:firstRowFirstColumn="0" w:firstRowLastColumn="0" w:lastRowFirstColumn="0" w:lastRowLastColumn="0"/>
            </w:pPr>
            <w:r w:rsidRPr="00257C50">
              <w:t>0.57</w:t>
            </w:r>
            <w:r w:rsidR="00877653" w:rsidRPr="00257C50">
              <w:t>%</w:t>
            </w:r>
          </w:p>
        </w:tc>
      </w:tr>
      <w:tr w:rsidR="00877653" w:rsidRPr="00A45D9D" w14:paraId="3A7B5ABB" w14:textId="77777777" w:rsidTr="00877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30829E59" w14:textId="77777777" w:rsidR="00877653" w:rsidRPr="00A45D9D" w:rsidRDefault="00877653">
            <w:pPr>
              <w:spacing w:line="360" w:lineRule="auto"/>
              <w:jc w:val="both"/>
            </w:pPr>
            <w:r w:rsidRPr="00A45D9D">
              <w:t>173 Pacientes normales.</w:t>
            </w:r>
          </w:p>
        </w:tc>
        <w:tc>
          <w:tcPr>
            <w:tcW w:w="1560" w:type="dxa"/>
            <w:hideMark/>
          </w:tcPr>
          <w:p w14:paraId="1E017F3F" w14:textId="7D99E9B3" w:rsidR="00877653" w:rsidRPr="00257C50" w:rsidRDefault="00077251">
            <w:pPr>
              <w:spacing w:line="360" w:lineRule="auto"/>
              <w:jc w:val="center"/>
              <w:cnfStyle w:val="000000100000" w:firstRow="0" w:lastRow="0" w:firstColumn="0" w:lastColumn="0" w:oddVBand="0" w:evenVBand="0" w:oddHBand="1" w:evenHBand="0" w:firstRowFirstColumn="0" w:firstRowLastColumn="0" w:lastRowFirstColumn="0" w:lastRowLastColumn="0"/>
            </w:pPr>
            <w:r w:rsidRPr="00257C50">
              <w:t>98.29</w:t>
            </w:r>
            <w:r w:rsidR="00877653" w:rsidRPr="00257C50">
              <w:t>%</w:t>
            </w:r>
          </w:p>
        </w:tc>
      </w:tr>
    </w:tbl>
    <w:p w14:paraId="29549B07" w14:textId="77777777" w:rsidR="00877653" w:rsidRPr="00A45D9D" w:rsidRDefault="00877653" w:rsidP="00877653">
      <w:pPr>
        <w:pStyle w:val="Prrafodelista"/>
        <w:spacing w:line="360" w:lineRule="auto"/>
        <w:ind w:left="1428"/>
        <w:jc w:val="both"/>
        <w:rPr>
          <w:rFonts w:ascii="Times New Roman" w:hAnsi="Times New Roman" w:cs="Times New Roman"/>
          <w:sz w:val="24"/>
          <w:szCs w:val="24"/>
        </w:rPr>
      </w:pPr>
    </w:p>
    <w:p w14:paraId="2DCC2AAB" w14:textId="77777777" w:rsidR="00EA11E4" w:rsidRPr="00A45D9D" w:rsidRDefault="00EA11E4" w:rsidP="003F3F5D">
      <w:pPr>
        <w:spacing w:line="360" w:lineRule="auto"/>
        <w:jc w:val="both"/>
      </w:pPr>
    </w:p>
    <w:p w14:paraId="0C8DB4C5" w14:textId="77777777" w:rsidR="00024F68" w:rsidRPr="00A45D9D" w:rsidRDefault="00024F68" w:rsidP="00801254">
      <w:pPr>
        <w:rPr>
          <w:b/>
        </w:rPr>
      </w:pPr>
    </w:p>
    <w:p w14:paraId="335CAA75" w14:textId="77777777" w:rsidR="00801254" w:rsidRPr="00A45D9D" w:rsidRDefault="00801254" w:rsidP="00801254">
      <w:pPr>
        <w:jc w:val="center"/>
        <w:rPr>
          <w:b/>
        </w:rPr>
      </w:pPr>
      <w:r w:rsidRPr="00A45D9D">
        <w:rPr>
          <w:b/>
        </w:rPr>
        <w:t xml:space="preserve">                         </w:t>
      </w:r>
    </w:p>
    <w:p w14:paraId="05040986" w14:textId="77777777" w:rsidR="00191243" w:rsidRPr="00A45D9D" w:rsidRDefault="00191243" w:rsidP="00801254">
      <w:pPr>
        <w:jc w:val="center"/>
        <w:rPr>
          <w:b/>
        </w:rPr>
      </w:pPr>
    </w:p>
    <w:p w14:paraId="79DC86A2" w14:textId="77777777" w:rsidR="00616727" w:rsidRDefault="00616727" w:rsidP="00953827">
      <w:pPr>
        <w:rPr>
          <w:b/>
        </w:rPr>
      </w:pPr>
    </w:p>
    <w:p w14:paraId="7419F91B" w14:textId="77777777" w:rsidR="004970F8" w:rsidRDefault="00801254" w:rsidP="00616727">
      <w:pPr>
        <w:jc w:val="center"/>
      </w:pPr>
      <w:r w:rsidRPr="00BE552E">
        <w:t>Fuente</w:t>
      </w:r>
      <w:r w:rsidRPr="00E27833">
        <w:t>: Datos de la investigación</w:t>
      </w:r>
      <w:r w:rsidRPr="00A45D9D">
        <w:t>.</w:t>
      </w:r>
    </w:p>
    <w:p w14:paraId="4A03B38A" w14:textId="77777777" w:rsidR="00E27833" w:rsidRDefault="00E27833" w:rsidP="00616727">
      <w:pPr>
        <w:jc w:val="center"/>
      </w:pPr>
    </w:p>
    <w:p w14:paraId="6223E2BD" w14:textId="6E83710E" w:rsidR="00E27833" w:rsidRDefault="00E27833" w:rsidP="00E27833">
      <w:pPr>
        <w:spacing w:line="360" w:lineRule="auto"/>
        <w:jc w:val="both"/>
      </w:pPr>
      <w:r w:rsidRPr="00A45D9D">
        <w:t>E</w:t>
      </w:r>
      <w:r>
        <w:t xml:space="preserve">n la tabla 5 se encontró </w:t>
      </w:r>
      <w:r w:rsidRPr="000879BD">
        <w:t xml:space="preserve">que </w:t>
      </w:r>
      <w:r w:rsidR="00077251" w:rsidRPr="00257C50">
        <w:t>1.14</w:t>
      </w:r>
      <w:r w:rsidRPr="00257C50">
        <w:t xml:space="preserve"> % han sido detectadas con preeclampsia, mientras que </w:t>
      </w:r>
      <w:r w:rsidR="00077251" w:rsidRPr="00257C50">
        <w:t xml:space="preserve"> 0.57</w:t>
      </w:r>
      <w:r w:rsidRPr="00257C50">
        <w:t xml:space="preserve"> % representa un paciente como candidato potencial a desarrollar la enfermedad y, </w:t>
      </w:r>
      <w:r w:rsidR="00077251" w:rsidRPr="00257C50">
        <w:t xml:space="preserve"> 98.29</w:t>
      </w:r>
      <w:r w:rsidRPr="00257C50">
        <w:t xml:space="preserve"> % de los pacientes se encontraron</w:t>
      </w:r>
      <w:r w:rsidR="000879BD" w:rsidRPr="00257C50">
        <w:t xml:space="preserve"> sin datos de preeclampsia</w:t>
      </w:r>
      <w:r w:rsidRPr="00257C50">
        <w:t>.</w:t>
      </w:r>
    </w:p>
    <w:p w14:paraId="15BE57E3" w14:textId="77777777" w:rsidR="00E27833" w:rsidRDefault="00E27833" w:rsidP="00E27833">
      <w:pPr>
        <w:spacing w:line="360" w:lineRule="auto"/>
        <w:ind w:firstLine="708"/>
        <w:jc w:val="both"/>
      </w:pPr>
    </w:p>
    <w:p w14:paraId="26BE0072" w14:textId="77777777" w:rsidR="00E27833" w:rsidRDefault="00E27833" w:rsidP="00616727">
      <w:pPr>
        <w:jc w:val="center"/>
      </w:pPr>
    </w:p>
    <w:p w14:paraId="2FC63284" w14:textId="5B8FDDB2" w:rsidR="00D96AE9" w:rsidRPr="00BE552E" w:rsidRDefault="00D96AE9" w:rsidP="00BE552E">
      <w:pPr>
        <w:spacing w:line="360" w:lineRule="auto"/>
        <w:jc w:val="center"/>
        <w:rPr>
          <w:color w:val="000000" w:themeColor="text1"/>
        </w:rPr>
      </w:pPr>
      <w:r w:rsidRPr="00400331">
        <w:rPr>
          <w:b/>
          <w:color w:val="000000" w:themeColor="text1"/>
        </w:rPr>
        <w:t xml:space="preserve">Tabla 6. </w:t>
      </w:r>
      <w:r w:rsidRPr="00BE552E">
        <w:rPr>
          <w:color w:val="000000" w:themeColor="text1"/>
        </w:rPr>
        <w:t>Estadísticos de las variables colesterol y triglicéridos en el 2</w:t>
      </w:r>
      <w:r w:rsidR="00455673" w:rsidRPr="00BE552E">
        <w:rPr>
          <w:color w:val="000000" w:themeColor="text1"/>
          <w:vertAlign w:val="superscript"/>
        </w:rPr>
        <w:t>o</w:t>
      </w:r>
      <w:r w:rsidRPr="00BE552E">
        <w:rPr>
          <w:color w:val="000000" w:themeColor="text1"/>
          <w:vertAlign w:val="superscript"/>
        </w:rPr>
        <w:t xml:space="preserve"> </w:t>
      </w:r>
      <w:r w:rsidRPr="00BE552E">
        <w:rPr>
          <w:color w:val="000000" w:themeColor="text1"/>
        </w:rPr>
        <w:t>y 3</w:t>
      </w:r>
      <w:r w:rsidR="00455673" w:rsidRPr="00BE552E">
        <w:rPr>
          <w:color w:val="000000" w:themeColor="text1"/>
          <w:vertAlign w:val="superscript"/>
        </w:rPr>
        <w:t>o</w:t>
      </w:r>
      <w:r w:rsidRPr="00BE552E">
        <w:rPr>
          <w:color w:val="000000" w:themeColor="text1"/>
        </w:rPr>
        <w:t xml:space="preserve"> trimestre en las mujeres embarazadas del HGRAA</w:t>
      </w:r>
    </w:p>
    <w:p w14:paraId="73CD7F20" w14:textId="77777777" w:rsidR="006545C3" w:rsidRDefault="006545C3" w:rsidP="00616727">
      <w:pPr>
        <w:jc w:val="center"/>
      </w:pPr>
    </w:p>
    <w:tbl>
      <w:tblPr>
        <w:tblStyle w:val="Cuadrculaclara-nfasis5"/>
        <w:tblW w:w="8784" w:type="dxa"/>
        <w:tblLook w:val="04A0" w:firstRow="1" w:lastRow="0" w:firstColumn="1" w:lastColumn="0" w:noHBand="0" w:noVBand="1"/>
      </w:tblPr>
      <w:tblGrid>
        <w:gridCol w:w="1243"/>
        <w:gridCol w:w="940"/>
        <w:gridCol w:w="643"/>
        <w:gridCol w:w="683"/>
        <w:gridCol w:w="1205"/>
        <w:gridCol w:w="941"/>
        <w:gridCol w:w="917"/>
        <w:gridCol w:w="1336"/>
        <w:gridCol w:w="876"/>
      </w:tblGrid>
      <w:tr w:rsidR="006545C3" w:rsidRPr="004F2D5F" w14:paraId="4858AC1A" w14:textId="77777777" w:rsidTr="00400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9"/>
          </w:tcPr>
          <w:p w14:paraId="78C212D0" w14:textId="77777777" w:rsidR="006545C3" w:rsidRPr="004F2D5F" w:rsidRDefault="006545C3" w:rsidP="00D96AE9">
            <w:r w:rsidRPr="004F2D5F">
              <w:t>Colesterol.</w:t>
            </w:r>
          </w:p>
        </w:tc>
      </w:tr>
      <w:tr w:rsidR="006545C3" w:rsidRPr="004F2D5F" w14:paraId="3021E43B" w14:textId="77777777" w:rsidTr="00320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0CCF39A4" w14:textId="77777777" w:rsidR="006545C3" w:rsidRPr="004F2D5F" w:rsidRDefault="006545C3" w:rsidP="00D9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2D5F">
              <w:rPr>
                <w:color w:val="000000"/>
                <w:lang w:eastAsia="es-ES"/>
              </w:rPr>
              <w:t>Trimestre</w:t>
            </w:r>
          </w:p>
        </w:tc>
        <w:tc>
          <w:tcPr>
            <w:tcW w:w="940" w:type="dxa"/>
          </w:tcPr>
          <w:p w14:paraId="04E2F40A"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Media</w:t>
            </w:r>
          </w:p>
        </w:tc>
        <w:tc>
          <w:tcPr>
            <w:tcW w:w="643" w:type="dxa"/>
          </w:tcPr>
          <w:p w14:paraId="11B8E499"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Min</w:t>
            </w:r>
          </w:p>
        </w:tc>
        <w:tc>
          <w:tcPr>
            <w:tcW w:w="683" w:type="dxa"/>
          </w:tcPr>
          <w:p w14:paraId="7D268790"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Max</w:t>
            </w:r>
          </w:p>
        </w:tc>
        <w:tc>
          <w:tcPr>
            <w:tcW w:w="1205" w:type="dxa"/>
          </w:tcPr>
          <w:p w14:paraId="4A2B922D"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DS</w:t>
            </w:r>
          </w:p>
        </w:tc>
        <w:tc>
          <w:tcPr>
            <w:tcW w:w="941" w:type="dxa"/>
          </w:tcPr>
          <w:p w14:paraId="0493B3B9"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p95</w:t>
            </w:r>
          </w:p>
        </w:tc>
        <w:tc>
          <w:tcPr>
            <w:tcW w:w="917" w:type="dxa"/>
          </w:tcPr>
          <w:p w14:paraId="31627ED9"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Rango</w:t>
            </w:r>
          </w:p>
        </w:tc>
        <w:tc>
          <w:tcPr>
            <w:tcW w:w="1336" w:type="dxa"/>
          </w:tcPr>
          <w:p w14:paraId="2AA91EFA"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CV</w:t>
            </w:r>
          </w:p>
        </w:tc>
        <w:tc>
          <w:tcPr>
            <w:tcW w:w="876" w:type="dxa"/>
          </w:tcPr>
          <w:p w14:paraId="351635FC"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N</w:t>
            </w:r>
          </w:p>
        </w:tc>
      </w:tr>
      <w:tr w:rsidR="006545C3" w:rsidRPr="004F2D5F" w14:paraId="020C98ED" w14:textId="77777777" w:rsidTr="00320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1F3D838D" w14:textId="77777777" w:rsidR="006545C3" w:rsidRPr="004F2D5F" w:rsidRDefault="006545C3" w:rsidP="00D96AE9">
            <w:pPr>
              <w:jc w:val="center"/>
            </w:pPr>
            <w:r w:rsidRPr="004F2D5F">
              <w:t>2</w:t>
            </w:r>
            <w:r w:rsidRPr="004F2D5F">
              <w:rPr>
                <w:vertAlign w:val="superscript"/>
              </w:rPr>
              <w:t>o</w:t>
            </w:r>
          </w:p>
        </w:tc>
        <w:tc>
          <w:tcPr>
            <w:tcW w:w="940" w:type="dxa"/>
          </w:tcPr>
          <w:p w14:paraId="15EC8314" w14:textId="77777777" w:rsidR="006545C3" w:rsidRPr="004F2D5F" w:rsidRDefault="006545C3" w:rsidP="00D96AE9">
            <w:pPr>
              <w:pStyle w:val="HTMLconformatoprevi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4F2D5F">
              <w:rPr>
                <w:rFonts w:ascii="Times New Roman" w:hAnsi="Times New Roman" w:cs="Times New Roman"/>
                <w:color w:val="000000"/>
                <w:sz w:val="24"/>
                <w:szCs w:val="24"/>
              </w:rPr>
              <w:t xml:space="preserve">205.27  </w:t>
            </w:r>
          </w:p>
        </w:tc>
        <w:tc>
          <w:tcPr>
            <w:tcW w:w="643" w:type="dxa"/>
          </w:tcPr>
          <w:p w14:paraId="2D6D5B5A"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99</w:t>
            </w:r>
          </w:p>
        </w:tc>
        <w:tc>
          <w:tcPr>
            <w:tcW w:w="683" w:type="dxa"/>
          </w:tcPr>
          <w:p w14:paraId="5756514D"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309</w:t>
            </w:r>
          </w:p>
        </w:tc>
        <w:tc>
          <w:tcPr>
            <w:tcW w:w="1205" w:type="dxa"/>
          </w:tcPr>
          <w:p w14:paraId="2579ED5C"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39.56285</w:t>
            </w:r>
          </w:p>
        </w:tc>
        <w:tc>
          <w:tcPr>
            <w:tcW w:w="941" w:type="dxa"/>
          </w:tcPr>
          <w:p w14:paraId="5193BBF6"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279</w:t>
            </w:r>
          </w:p>
        </w:tc>
        <w:tc>
          <w:tcPr>
            <w:tcW w:w="917" w:type="dxa"/>
          </w:tcPr>
          <w:p w14:paraId="2B9EA888"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210</w:t>
            </w:r>
          </w:p>
        </w:tc>
        <w:tc>
          <w:tcPr>
            <w:tcW w:w="1336" w:type="dxa"/>
          </w:tcPr>
          <w:p w14:paraId="00B42CEC"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0.1927278</w:t>
            </w:r>
          </w:p>
        </w:tc>
        <w:tc>
          <w:tcPr>
            <w:tcW w:w="876" w:type="dxa"/>
          </w:tcPr>
          <w:p w14:paraId="1B2C001A"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57</w:t>
            </w:r>
          </w:p>
        </w:tc>
      </w:tr>
      <w:tr w:rsidR="006545C3" w:rsidRPr="004F2D5F" w14:paraId="500BEE72" w14:textId="77777777" w:rsidTr="00320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385372E9" w14:textId="77777777" w:rsidR="006545C3" w:rsidRPr="004F2D5F" w:rsidRDefault="006545C3" w:rsidP="00D96AE9">
            <w:pPr>
              <w:jc w:val="center"/>
            </w:pPr>
            <w:r w:rsidRPr="004F2D5F">
              <w:t>3</w:t>
            </w:r>
            <w:r w:rsidRPr="004F2D5F">
              <w:rPr>
                <w:vertAlign w:val="superscript"/>
              </w:rPr>
              <w:t>o</w:t>
            </w:r>
          </w:p>
        </w:tc>
        <w:tc>
          <w:tcPr>
            <w:tcW w:w="940" w:type="dxa"/>
          </w:tcPr>
          <w:p w14:paraId="746C1652"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242.81</w:t>
            </w:r>
          </w:p>
        </w:tc>
        <w:tc>
          <w:tcPr>
            <w:tcW w:w="643" w:type="dxa"/>
          </w:tcPr>
          <w:p w14:paraId="71A12D64"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146</w:t>
            </w:r>
          </w:p>
        </w:tc>
        <w:tc>
          <w:tcPr>
            <w:tcW w:w="683" w:type="dxa"/>
          </w:tcPr>
          <w:p w14:paraId="4F573ADB"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443</w:t>
            </w:r>
          </w:p>
        </w:tc>
        <w:tc>
          <w:tcPr>
            <w:tcW w:w="1205" w:type="dxa"/>
          </w:tcPr>
          <w:p w14:paraId="6079C231"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51.22719</w:t>
            </w:r>
          </w:p>
        </w:tc>
        <w:tc>
          <w:tcPr>
            <w:tcW w:w="941" w:type="dxa"/>
          </w:tcPr>
          <w:p w14:paraId="3A1BBB73"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341.06</w:t>
            </w:r>
          </w:p>
        </w:tc>
        <w:tc>
          <w:tcPr>
            <w:tcW w:w="917" w:type="dxa"/>
          </w:tcPr>
          <w:p w14:paraId="54F308F6"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297</w:t>
            </w:r>
          </w:p>
        </w:tc>
        <w:tc>
          <w:tcPr>
            <w:tcW w:w="1336" w:type="dxa"/>
          </w:tcPr>
          <w:p w14:paraId="0AABAB93"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0.2109741</w:t>
            </w:r>
          </w:p>
        </w:tc>
        <w:tc>
          <w:tcPr>
            <w:tcW w:w="876" w:type="dxa"/>
          </w:tcPr>
          <w:p w14:paraId="76E1D095"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111</w:t>
            </w:r>
          </w:p>
        </w:tc>
      </w:tr>
      <w:tr w:rsidR="006545C3" w:rsidRPr="004F2D5F" w14:paraId="22502B98" w14:textId="77777777" w:rsidTr="00400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9"/>
          </w:tcPr>
          <w:p w14:paraId="74C7713D" w14:textId="7E961841" w:rsidR="006545C3" w:rsidRPr="004F2D5F" w:rsidRDefault="00132489" w:rsidP="00D96AE9">
            <w:pPr>
              <w:rPr>
                <w:color w:val="FFFFFF" w:themeColor="background1"/>
              </w:rPr>
            </w:pPr>
            <w:r>
              <w:rPr>
                <w:color w:val="000000" w:themeColor="text1"/>
              </w:rPr>
              <w:t>Tr</w:t>
            </w:r>
            <w:r w:rsidR="006545C3" w:rsidRPr="00132489">
              <w:rPr>
                <w:color w:val="000000" w:themeColor="text1"/>
              </w:rPr>
              <w:t>iglicéridos.</w:t>
            </w:r>
          </w:p>
        </w:tc>
      </w:tr>
      <w:tr w:rsidR="006545C3" w:rsidRPr="004F2D5F" w14:paraId="49E2368B" w14:textId="77777777" w:rsidTr="00320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78A53890" w14:textId="77777777" w:rsidR="006545C3" w:rsidRPr="004F2D5F" w:rsidRDefault="006545C3" w:rsidP="00D9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2D5F">
              <w:rPr>
                <w:color w:val="000000"/>
                <w:lang w:eastAsia="es-ES"/>
              </w:rPr>
              <w:t>Trimestre</w:t>
            </w:r>
          </w:p>
        </w:tc>
        <w:tc>
          <w:tcPr>
            <w:tcW w:w="940" w:type="dxa"/>
          </w:tcPr>
          <w:p w14:paraId="7577DE0D"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Media</w:t>
            </w:r>
          </w:p>
        </w:tc>
        <w:tc>
          <w:tcPr>
            <w:tcW w:w="643" w:type="dxa"/>
          </w:tcPr>
          <w:p w14:paraId="128E8EBD"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Min</w:t>
            </w:r>
          </w:p>
        </w:tc>
        <w:tc>
          <w:tcPr>
            <w:tcW w:w="683" w:type="dxa"/>
          </w:tcPr>
          <w:p w14:paraId="02069F70"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Max</w:t>
            </w:r>
          </w:p>
        </w:tc>
        <w:tc>
          <w:tcPr>
            <w:tcW w:w="1205" w:type="dxa"/>
          </w:tcPr>
          <w:p w14:paraId="531F36B2"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DS</w:t>
            </w:r>
          </w:p>
        </w:tc>
        <w:tc>
          <w:tcPr>
            <w:tcW w:w="941" w:type="dxa"/>
          </w:tcPr>
          <w:p w14:paraId="6F822E8B"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p95</w:t>
            </w:r>
          </w:p>
        </w:tc>
        <w:tc>
          <w:tcPr>
            <w:tcW w:w="917" w:type="dxa"/>
          </w:tcPr>
          <w:p w14:paraId="70408035"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Rango</w:t>
            </w:r>
          </w:p>
        </w:tc>
        <w:tc>
          <w:tcPr>
            <w:tcW w:w="1336" w:type="dxa"/>
          </w:tcPr>
          <w:p w14:paraId="758358E0"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CV</w:t>
            </w:r>
          </w:p>
        </w:tc>
        <w:tc>
          <w:tcPr>
            <w:tcW w:w="876" w:type="dxa"/>
          </w:tcPr>
          <w:p w14:paraId="4AF591AB"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rPr>
                <w:b/>
              </w:rPr>
            </w:pPr>
            <w:r w:rsidRPr="004F2D5F">
              <w:rPr>
                <w:b/>
              </w:rPr>
              <w:t>N</w:t>
            </w:r>
          </w:p>
        </w:tc>
      </w:tr>
      <w:tr w:rsidR="006545C3" w:rsidRPr="004F2D5F" w14:paraId="2B291904" w14:textId="77777777" w:rsidTr="00320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06536225" w14:textId="77777777" w:rsidR="006545C3" w:rsidRPr="004F2D5F" w:rsidRDefault="006545C3" w:rsidP="00D96AE9">
            <w:pPr>
              <w:jc w:val="center"/>
            </w:pPr>
            <w:r w:rsidRPr="004F2D5F">
              <w:t>2</w:t>
            </w:r>
            <w:r w:rsidRPr="004F2D5F">
              <w:rPr>
                <w:vertAlign w:val="superscript"/>
              </w:rPr>
              <w:t>o</w:t>
            </w:r>
          </w:p>
        </w:tc>
        <w:tc>
          <w:tcPr>
            <w:tcW w:w="940" w:type="dxa"/>
          </w:tcPr>
          <w:p w14:paraId="47E8CB48"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209.89</w:t>
            </w:r>
          </w:p>
        </w:tc>
        <w:tc>
          <w:tcPr>
            <w:tcW w:w="643" w:type="dxa"/>
          </w:tcPr>
          <w:p w14:paraId="48CB5894"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80</w:t>
            </w:r>
          </w:p>
        </w:tc>
        <w:tc>
          <w:tcPr>
            <w:tcW w:w="683" w:type="dxa"/>
          </w:tcPr>
          <w:p w14:paraId="3C121449"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455</w:t>
            </w:r>
          </w:p>
        </w:tc>
        <w:tc>
          <w:tcPr>
            <w:tcW w:w="1205" w:type="dxa"/>
          </w:tcPr>
          <w:p w14:paraId="1CA10B4A"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75.27209</w:t>
            </w:r>
          </w:p>
        </w:tc>
        <w:tc>
          <w:tcPr>
            <w:tcW w:w="941" w:type="dxa"/>
          </w:tcPr>
          <w:p w14:paraId="693AD665"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378</w:t>
            </w:r>
          </w:p>
        </w:tc>
        <w:tc>
          <w:tcPr>
            <w:tcW w:w="917" w:type="dxa"/>
          </w:tcPr>
          <w:p w14:paraId="113FC998"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375</w:t>
            </w:r>
          </w:p>
        </w:tc>
        <w:tc>
          <w:tcPr>
            <w:tcW w:w="1336" w:type="dxa"/>
          </w:tcPr>
          <w:p w14:paraId="57258B15"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0.3586126</w:t>
            </w:r>
          </w:p>
        </w:tc>
        <w:tc>
          <w:tcPr>
            <w:tcW w:w="876" w:type="dxa"/>
          </w:tcPr>
          <w:p w14:paraId="56558DAD" w14:textId="77777777" w:rsidR="006545C3" w:rsidRPr="004F2D5F" w:rsidRDefault="006545C3" w:rsidP="00D96AE9">
            <w:pPr>
              <w:cnfStyle w:val="000000010000" w:firstRow="0" w:lastRow="0" w:firstColumn="0" w:lastColumn="0" w:oddVBand="0" w:evenVBand="0" w:oddHBand="0" w:evenHBand="1" w:firstRowFirstColumn="0" w:firstRowLastColumn="0" w:lastRowFirstColumn="0" w:lastRowLastColumn="0"/>
            </w:pPr>
            <w:r w:rsidRPr="004F2D5F">
              <w:t>57</w:t>
            </w:r>
          </w:p>
        </w:tc>
      </w:tr>
      <w:tr w:rsidR="006545C3" w:rsidRPr="004F2D5F" w14:paraId="60C00E4D" w14:textId="77777777" w:rsidTr="00320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 w:type="dxa"/>
          </w:tcPr>
          <w:p w14:paraId="62B168E5" w14:textId="77777777" w:rsidR="006545C3" w:rsidRPr="004F2D5F" w:rsidRDefault="006545C3" w:rsidP="00D96AE9">
            <w:pPr>
              <w:jc w:val="center"/>
            </w:pPr>
            <w:r w:rsidRPr="004F2D5F">
              <w:t>3</w:t>
            </w:r>
            <w:r w:rsidRPr="004F2D5F">
              <w:rPr>
                <w:vertAlign w:val="superscript"/>
              </w:rPr>
              <w:t>o</w:t>
            </w:r>
          </w:p>
        </w:tc>
        <w:tc>
          <w:tcPr>
            <w:tcW w:w="940" w:type="dxa"/>
          </w:tcPr>
          <w:p w14:paraId="4B120D1B"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265.17</w:t>
            </w:r>
          </w:p>
        </w:tc>
        <w:tc>
          <w:tcPr>
            <w:tcW w:w="643" w:type="dxa"/>
          </w:tcPr>
          <w:p w14:paraId="0E8D9E93"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122</w:t>
            </w:r>
          </w:p>
        </w:tc>
        <w:tc>
          <w:tcPr>
            <w:tcW w:w="683" w:type="dxa"/>
          </w:tcPr>
          <w:p w14:paraId="6A09381B"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532</w:t>
            </w:r>
          </w:p>
        </w:tc>
        <w:tc>
          <w:tcPr>
            <w:tcW w:w="1205" w:type="dxa"/>
          </w:tcPr>
          <w:p w14:paraId="7EBA4151"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76.98628</w:t>
            </w:r>
          </w:p>
        </w:tc>
        <w:tc>
          <w:tcPr>
            <w:tcW w:w="941" w:type="dxa"/>
          </w:tcPr>
          <w:p w14:paraId="4A68B4A4"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406</w:t>
            </w:r>
          </w:p>
        </w:tc>
        <w:tc>
          <w:tcPr>
            <w:tcW w:w="917" w:type="dxa"/>
          </w:tcPr>
          <w:p w14:paraId="2DE6C6EE"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410</w:t>
            </w:r>
          </w:p>
        </w:tc>
        <w:tc>
          <w:tcPr>
            <w:tcW w:w="1336" w:type="dxa"/>
          </w:tcPr>
          <w:p w14:paraId="096A59A7"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0.2903221</w:t>
            </w:r>
          </w:p>
        </w:tc>
        <w:tc>
          <w:tcPr>
            <w:tcW w:w="876" w:type="dxa"/>
          </w:tcPr>
          <w:p w14:paraId="4FFE1031" w14:textId="77777777" w:rsidR="006545C3" w:rsidRPr="004F2D5F" w:rsidRDefault="006545C3" w:rsidP="00D96AE9">
            <w:pPr>
              <w:cnfStyle w:val="000000100000" w:firstRow="0" w:lastRow="0" w:firstColumn="0" w:lastColumn="0" w:oddVBand="0" w:evenVBand="0" w:oddHBand="1" w:evenHBand="0" w:firstRowFirstColumn="0" w:firstRowLastColumn="0" w:lastRowFirstColumn="0" w:lastRowLastColumn="0"/>
            </w:pPr>
            <w:r w:rsidRPr="004F2D5F">
              <w:t>111</w:t>
            </w:r>
          </w:p>
        </w:tc>
      </w:tr>
    </w:tbl>
    <w:p w14:paraId="034A37D9" w14:textId="77777777" w:rsidR="00320B94" w:rsidRPr="00E27833" w:rsidRDefault="00320B94" w:rsidP="00320B94">
      <w:pPr>
        <w:jc w:val="center"/>
      </w:pPr>
      <w:r w:rsidRPr="00BE552E">
        <w:t>Fuente</w:t>
      </w:r>
      <w:r w:rsidRPr="00E27833">
        <w:t>: Datos de la investigación.</w:t>
      </w:r>
    </w:p>
    <w:p w14:paraId="223E4E63" w14:textId="77777777" w:rsidR="00CB5204" w:rsidRDefault="00CB5204" w:rsidP="00297DF7">
      <w:pPr>
        <w:rPr>
          <w:color w:val="7030A0"/>
        </w:rPr>
      </w:pPr>
    </w:p>
    <w:p w14:paraId="23F46AE5" w14:textId="7643B20B" w:rsidR="00E27833" w:rsidRPr="00400331" w:rsidRDefault="00E27833" w:rsidP="00E27833">
      <w:pPr>
        <w:spacing w:line="360" w:lineRule="auto"/>
        <w:rPr>
          <w:color w:val="000000" w:themeColor="text1"/>
        </w:rPr>
      </w:pPr>
      <w:r w:rsidRPr="00400331">
        <w:rPr>
          <w:color w:val="000000" w:themeColor="text1"/>
        </w:rPr>
        <w:t>En la tabla 6 se presenta</w:t>
      </w:r>
      <w:r>
        <w:rPr>
          <w:color w:val="000000" w:themeColor="text1"/>
        </w:rPr>
        <w:t>n los valores obtenidos, de</w:t>
      </w:r>
      <w:r w:rsidRPr="00400331">
        <w:rPr>
          <w:color w:val="000000" w:themeColor="text1"/>
        </w:rPr>
        <w:t xml:space="preserve"> las pacientes embarazadas</w:t>
      </w:r>
      <w:r>
        <w:rPr>
          <w:color w:val="000000" w:themeColor="text1"/>
        </w:rPr>
        <w:t>,</w:t>
      </w:r>
      <w:r w:rsidRPr="00400331">
        <w:rPr>
          <w:color w:val="000000" w:themeColor="text1"/>
        </w:rPr>
        <w:t xml:space="preserve"> para las variables</w:t>
      </w:r>
      <w:r>
        <w:rPr>
          <w:color w:val="000000" w:themeColor="text1"/>
        </w:rPr>
        <w:t xml:space="preserve"> de</w:t>
      </w:r>
      <w:r w:rsidRPr="00400331">
        <w:rPr>
          <w:color w:val="000000" w:themeColor="text1"/>
        </w:rPr>
        <w:t xml:space="preserve"> colesterol y triglicéridos, en la que se observa que a medida que aumenta el trimestre de embarazo</w:t>
      </w:r>
      <w:r>
        <w:rPr>
          <w:color w:val="000000" w:themeColor="text1"/>
        </w:rPr>
        <w:t>,</w:t>
      </w:r>
      <w:r w:rsidRPr="00400331">
        <w:rPr>
          <w:color w:val="000000" w:themeColor="text1"/>
        </w:rPr>
        <w:t xml:space="preserve"> aumenta proporcionalmente</w:t>
      </w:r>
      <w:r w:rsidR="00077251">
        <w:rPr>
          <w:color w:val="000000" w:themeColor="text1"/>
        </w:rPr>
        <w:t xml:space="preserve"> la media para ambas variables.</w:t>
      </w:r>
      <w:r w:rsidR="00132489">
        <w:rPr>
          <w:color w:val="000000" w:themeColor="text1"/>
        </w:rPr>
        <w:t xml:space="preserve"> </w:t>
      </w:r>
    </w:p>
    <w:p w14:paraId="0FFE2594" w14:textId="77777777" w:rsidR="00E27833" w:rsidRDefault="00E27833" w:rsidP="00DB4760">
      <w:pPr>
        <w:spacing w:line="360" w:lineRule="auto"/>
        <w:rPr>
          <w:color w:val="000000" w:themeColor="text1"/>
        </w:rPr>
      </w:pPr>
    </w:p>
    <w:p w14:paraId="18A8D442" w14:textId="77777777" w:rsidR="00455673" w:rsidRDefault="00455673" w:rsidP="00DB4760">
      <w:pPr>
        <w:tabs>
          <w:tab w:val="left" w:pos="3165"/>
        </w:tabs>
        <w:spacing w:line="360" w:lineRule="auto"/>
        <w:rPr>
          <w:b/>
          <w:color w:val="000000" w:themeColor="text1"/>
        </w:rPr>
      </w:pPr>
    </w:p>
    <w:p w14:paraId="6E7ED9EF" w14:textId="77777777" w:rsidR="000879BD" w:rsidRPr="00400331" w:rsidRDefault="000879BD" w:rsidP="00DB4760">
      <w:pPr>
        <w:tabs>
          <w:tab w:val="left" w:pos="3165"/>
        </w:tabs>
        <w:spacing w:line="360" w:lineRule="auto"/>
        <w:rPr>
          <w:b/>
          <w:color w:val="000000" w:themeColor="text1"/>
        </w:rPr>
      </w:pPr>
    </w:p>
    <w:p w14:paraId="62D9F79B" w14:textId="77777777" w:rsidR="00400331" w:rsidRDefault="00400331" w:rsidP="00D96AE9">
      <w:pPr>
        <w:tabs>
          <w:tab w:val="left" w:pos="3165"/>
        </w:tabs>
        <w:rPr>
          <w:b/>
          <w:color w:val="000000" w:themeColor="text1"/>
        </w:rPr>
      </w:pPr>
    </w:p>
    <w:p w14:paraId="42E75BDB" w14:textId="7AB0ACCA" w:rsidR="006545C3" w:rsidRPr="00BE552E" w:rsidRDefault="00297DF7" w:rsidP="00BE552E">
      <w:pPr>
        <w:tabs>
          <w:tab w:val="left" w:pos="3165"/>
        </w:tabs>
        <w:jc w:val="center"/>
        <w:rPr>
          <w:color w:val="000000" w:themeColor="text1"/>
        </w:rPr>
      </w:pPr>
      <w:r w:rsidRPr="00400331">
        <w:rPr>
          <w:b/>
          <w:color w:val="000000" w:themeColor="text1"/>
        </w:rPr>
        <w:lastRenderedPageBreak/>
        <w:t>Tabla 7</w:t>
      </w:r>
      <w:r w:rsidR="0079364B" w:rsidRPr="00400331">
        <w:rPr>
          <w:b/>
          <w:color w:val="000000" w:themeColor="text1"/>
        </w:rPr>
        <w:t xml:space="preserve">. </w:t>
      </w:r>
      <w:r w:rsidR="0079364B" w:rsidRPr="00BE552E">
        <w:rPr>
          <w:color w:val="000000" w:themeColor="text1"/>
        </w:rPr>
        <w:t xml:space="preserve">Percentil 95 obtenidos para colesterol y </w:t>
      </w:r>
      <w:r w:rsidR="00CB5204" w:rsidRPr="00BE552E">
        <w:rPr>
          <w:color w:val="000000" w:themeColor="text1"/>
        </w:rPr>
        <w:t>triglicéridos</w:t>
      </w:r>
      <w:r w:rsidR="0079364B" w:rsidRPr="00BE552E">
        <w:rPr>
          <w:color w:val="000000" w:themeColor="text1"/>
        </w:rPr>
        <w:t xml:space="preserve"> en A</w:t>
      </w:r>
      <w:r w:rsidR="00AF5FC9" w:rsidRPr="00BE552E">
        <w:rPr>
          <w:color w:val="000000" w:themeColor="text1"/>
        </w:rPr>
        <w:t>rgentina y</w:t>
      </w:r>
      <w:r w:rsidR="0079364B" w:rsidRPr="00BE552E">
        <w:rPr>
          <w:color w:val="000000" w:themeColor="text1"/>
        </w:rPr>
        <w:t xml:space="preserve"> contra</w:t>
      </w:r>
      <w:r w:rsidR="00E27833">
        <w:rPr>
          <w:color w:val="000000" w:themeColor="text1"/>
        </w:rPr>
        <w:t>s</w:t>
      </w:r>
      <w:r w:rsidR="0079364B" w:rsidRPr="00BE552E">
        <w:rPr>
          <w:color w:val="000000" w:themeColor="text1"/>
        </w:rPr>
        <w:t>tados con los obtenidos en</w:t>
      </w:r>
      <w:r w:rsidR="00AF5FC9" w:rsidRPr="00BE552E">
        <w:rPr>
          <w:color w:val="000000" w:themeColor="text1"/>
        </w:rPr>
        <w:t xml:space="preserve"> México durante el 2</w:t>
      </w:r>
      <w:r w:rsidR="00B31FC8" w:rsidRPr="00BE552E">
        <w:rPr>
          <w:color w:val="000000" w:themeColor="text1"/>
          <w:vertAlign w:val="superscript"/>
        </w:rPr>
        <w:t>o</w:t>
      </w:r>
      <w:r w:rsidR="00AF5FC9" w:rsidRPr="00BE552E">
        <w:rPr>
          <w:color w:val="000000" w:themeColor="text1"/>
          <w:vertAlign w:val="superscript"/>
        </w:rPr>
        <w:t xml:space="preserve"> </w:t>
      </w:r>
      <w:r w:rsidR="00AF5FC9" w:rsidRPr="00BE552E">
        <w:rPr>
          <w:color w:val="000000" w:themeColor="text1"/>
        </w:rPr>
        <w:t>y 3</w:t>
      </w:r>
      <w:r w:rsidR="00B31FC8" w:rsidRPr="00BE552E">
        <w:rPr>
          <w:color w:val="000000" w:themeColor="text1"/>
          <w:vertAlign w:val="superscript"/>
        </w:rPr>
        <w:t>o</w:t>
      </w:r>
      <w:r w:rsidR="009E527F" w:rsidRPr="00BE552E">
        <w:rPr>
          <w:color w:val="000000" w:themeColor="text1"/>
          <w:vertAlign w:val="superscript"/>
        </w:rPr>
        <w:t xml:space="preserve"> </w:t>
      </w:r>
      <w:r w:rsidR="0079364B" w:rsidRPr="00BE552E">
        <w:rPr>
          <w:color w:val="000000" w:themeColor="text1"/>
          <w:vertAlign w:val="superscript"/>
        </w:rPr>
        <w:t xml:space="preserve"> </w:t>
      </w:r>
      <w:r w:rsidR="0079364B" w:rsidRPr="00BE552E">
        <w:rPr>
          <w:color w:val="000000" w:themeColor="text1"/>
        </w:rPr>
        <w:t xml:space="preserve">trimestre </w:t>
      </w:r>
      <w:r w:rsidR="009E527F" w:rsidRPr="00BE552E">
        <w:rPr>
          <w:color w:val="000000" w:themeColor="text1"/>
        </w:rPr>
        <w:t>de</w:t>
      </w:r>
      <w:r w:rsidR="0079364B" w:rsidRPr="00BE552E">
        <w:rPr>
          <w:color w:val="000000" w:themeColor="text1"/>
        </w:rPr>
        <w:t xml:space="preserve"> la</w:t>
      </w:r>
      <w:r w:rsidR="009E527F" w:rsidRPr="00BE552E">
        <w:rPr>
          <w:color w:val="000000" w:themeColor="text1"/>
          <w:vertAlign w:val="superscript"/>
        </w:rPr>
        <w:t xml:space="preserve"> </w:t>
      </w:r>
      <w:r w:rsidR="009E527F" w:rsidRPr="00BE552E">
        <w:rPr>
          <w:color w:val="000000" w:themeColor="text1"/>
        </w:rPr>
        <w:t>gestación.</w:t>
      </w:r>
    </w:p>
    <w:p w14:paraId="4269BA76" w14:textId="77777777" w:rsidR="00D96AE9" w:rsidRPr="00400331" w:rsidRDefault="00D96AE9" w:rsidP="00D96AE9">
      <w:pPr>
        <w:tabs>
          <w:tab w:val="left" w:pos="3165"/>
        </w:tabs>
        <w:rPr>
          <w:b/>
          <w:color w:val="000000" w:themeColor="text1"/>
        </w:rPr>
      </w:pPr>
    </w:p>
    <w:tbl>
      <w:tblPr>
        <w:tblStyle w:val="Cuadrculaclara-nfasis5"/>
        <w:tblW w:w="0" w:type="auto"/>
        <w:jc w:val="center"/>
        <w:tblLook w:val="04A0" w:firstRow="1" w:lastRow="0" w:firstColumn="1" w:lastColumn="0" w:noHBand="0" w:noVBand="1"/>
      </w:tblPr>
      <w:tblGrid>
        <w:gridCol w:w="2055"/>
        <w:gridCol w:w="833"/>
        <w:gridCol w:w="657"/>
        <w:gridCol w:w="756"/>
        <w:gridCol w:w="992"/>
        <w:gridCol w:w="887"/>
        <w:gridCol w:w="761"/>
      </w:tblGrid>
      <w:tr w:rsidR="006545C3" w:rsidRPr="004F2D5F" w14:paraId="18BAB03E" w14:textId="77777777" w:rsidTr="00975A3C">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941" w:type="dxa"/>
            <w:gridSpan w:val="7"/>
          </w:tcPr>
          <w:p w14:paraId="7834B2C2" w14:textId="77777777" w:rsidR="006545C3" w:rsidRPr="004F2D5F" w:rsidRDefault="006545C3" w:rsidP="00D96AE9">
            <w:pPr>
              <w:jc w:val="center"/>
            </w:pPr>
            <w:r w:rsidRPr="004F2D5F">
              <w:t>Percentil 95</w:t>
            </w:r>
          </w:p>
        </w:tc>
      </w:tr>
      <w:tr w:rsidR="006545C3" w:rsidRPr="004F2D5F" w14:paraId="667303B3" w14:textId="77777777" w:rsidTr="00975A3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2055" w:type="dxa"/>
            <w:vMerge w:val="restart"/>
          </w:tcPr>
          <w:p w14:paraId="4D08066D" w14:textId="77777777" w:rsidR="006545C3" w:rsidRDefault="006545C3" w:rsidP="00D96AE9">
            <w:pPr>
              <w:jc w:val="center"/>
            </w:pPr>
          </w:p>
          <w:p w14:paraId="47EB5D83" w14:textId="77777777" w:rsidR="006545C3" w:rsidRPr="004F2D5F" w:rsidRDefault="006545C3" w:rsidP="00D96AE9">
            <w:pPr>
              <w:jc w:val="center"/>
            </w:pPr>
            <w:r w:rsidRPr="004F2D5F">
              <w:t>Variable</w:t>
            </w:r>
          </w:p>
        </w:tc>
        <w:tc>
          <w:tcPr>
            <w:tcW w:w="4886" w:type="dxa"/>
            <w:gridSpan w:val="6"/>
          </w:tcPr>
          <w:p w14:paraId="2B6F433B" w14:textId="77777777" w:rsidR="006545C3" w:rsidRPr="004F2D5F" w:rsidRDefault="006545C3" w:rsidP="00D96AE9">
            <w:pPr>
              <w:jc w:val="center"/>
              <w:cnfStyle w:val="000000100000" w:firstRow="0" w:lastRow="0" w:firstColumn="0" w:lastColumn="0" w:oddVBand="0" w:evenVBand="0" w:oddHBand="1" w:evenHBand="0" w:firstRowFirstColumn="0" w:firstRowLastColumn="0" w:lastRowFirstColumn="0" w:lastRowLastColumn="0"/>
            </w:pPr>
            <w:r w:rsidRPr="004F2D5F">
              <w:t>Trimestre</w:t>
            </w:r>
          </w:p>
        </w:tc>
      </w:tr>
      <w:tr w:rsidR="006545C3" w:rsidRPr="004F2D5F" w14:paraId="33FEE86A" w14:textId="77777777" w:rsidTr="00975A3C">
        <w:trPr>
          <w:cnfStyle w:val="000000010000" w:firstRow="0" w:lastRow="0" w:firstColumn="0" w:lastColumn="0" w:oddVBand="0" w:evenVBand="0" w:oddHBand="0" w:evenHBand="1"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055" w:type="dxa"/>
            <w:vMerge/>
          </w:tcPr>
          <w:p w14:paraId="6561DEFD" w14:textId="77777777" w:rsidR="006545C3" w:rsidRPr="004F2D5F" w:rsidRDefault="006545C3" w:rsidP="00D96AE9">
            <w:pPr>
              <w:jc w:val="center"/>
            </w:pPr>
          </w:p>
        </w:tc>
        <w:tc>
          <w:tcPr>
            <w:tcW w:w="2246" w:type="dxa"/>
            <w:gridSpan w:val="3"/>
          </w:tcPr>
          <w:p w14:paraId="76B47E80" w14:textId="77777777" w:rsidR="006545C3" w:rsidRPr="004F2D5F" w:rsidRDefault="006545C3" w:rsidP="00D96AE9">
            <w:pPr>
              <w:tabs>
                <w:tab w:val="left" w:pos="3210"/>
              </w:tabs>
              <w:jc w:val="center"/>
              <w:cnfStyle w:val="000000010000" w:firstRow="0" w:lastRow="0" w:firstColumn="0" w:lastColumn="0" w:oddVBand="0" w:evenVBand="0" w:oddHBand="0" w:evenHBand="1" w:firstRowFirstColumn="0" w:firstRowLastColumn="0" w:lastRowFirstColumn="0" w:lastRowLastColumn="0"/>
            </w:pPr>
            <w:r w:rsidRPr="004F2D5F">
              <w:t>2</w:t>
            </w:r>
            <w:r w:rsidRPr="004F2D5F">
              <w:rPr>
                <w:vertAlign w:val="superscript"/>
              </w:rPr>
              <w:t>o</w:t>
            </w:r>
          </w:p>
        </w:tc>
        <w:tc>
          <w:tcPr>
            <w:tcW w:w="2640" w:type="dxa"/>
            <w:gridSpan w:val="3"/>
          </w:tcPr>
          <w:p w14:paraId="0565F89A" w14:textId="77777777" w:rsidR="006545C3" w:rsidRPr="004F2D5F" w:rsidRDefault="006545C3" w:rsidP="00D96AE9">
            <w:pPr>
              <w:tabs>
                <w:tab w:val="left" w:pos="3210"/>
              </w:tabs>
              <w:cnfStyle w:val="000000010000" w:firstRow="0" w:lastRow="0" w:firstColumn="0" w:lastColumn="0" w:oddVBand="0" w:evenVBand="0" w:oddHBand="0" w:evenHBand="1" w:firstRowFirstColumn="0" w:firstRowLastColumn="0" w:lastRowFirstColumn="0" w:lastRowLastColumn="0"/>
            </w:pPr>
            <w:r w:rsidRPr="004F2D5F">
              <w:t xml:space="preserve">              3</w:t>
            </w:r>
            <w:r w:rsidRPr="004F2D5F">
              <w:rPr>
                <w:vertAlign w:val="superscript"/>
              </w:rPr>
              <w:t>o</w:t>
            </w:r>
          </w:p>
        </w:tc>
      </w:tr>
      <w:tr w:rsidR="00455673" w:rsidRPr="004F2D5F" w14:paraId="2A14AC7B" w14:textId="24BB182F" w:rsidTr="00975A3C">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2055" w:type="dxa"/>
            <w:vMerge/>
          </w:tcPr>
          <w:p w14:paraId="5526F463" w14:textId="77777777" w:rsidR="00455673" w:rsidRPr="004F2D5F" w:rsidRDefault="00455673" w:rsidP="00D96AE9">
            <w:pPr>
              <w:jc w:val="center"/>
            </w:pPr>
          </w:p>
        </w:tc>
        <w:tc>
          <w:tcPr>
            <w:tcW w:w="833" w:type="dxa"/>
          </w:tcPr>
          <w:p w14:paraId="527A578D" w14:textId="77777777" w:rsidR="00455673" w:rsidRPr="004F2D5F" w:rsidRDefault="00455673" w:rsidP="00D96AE9">
            <w:pPr>
              <w:tabs>
                <w:tab w:val="left" w:pos="3210"/>
              </w:tabs>
              <w:jc w:val="center"/>
              <w:cnfStyle w:val="000000100000" w:firstRow="0" w:lastRow="0" w:firstColumn="0" w:lastColumn="0" w:oddVBand="0" w:evenVBand="0" w:oddHBand="1" w:evenHBand="0" w:firstRowFirstColumn="0" w:firstRowLastColumn="0" w:lastRowFirstColumn="0" w:lastRowLastColumn="0"/>
            </w:pPr>
            <w:r>
              <w:t>Arg</w:t>
            </w:r>
          </w:p>
        </w:tc>
        <w:tc>
          <w:tcPr>
            <w:tcW w:w="1413" w:type="dxa"/>
            <w:gridSpan w:val="2"/>
          </w:tcPr>
          <w:p w14:paraId="057DA8EF" w14:textId="146A4357" w:rsidR="00455673" w:rsidRPr="00455673" w:rsidRDefault="00455673" w:rsidP="00455673">
            <w:pPr>
              <w:tabs>
                <w:tab w:val="left" w:pos="3210"/>
              </w:tabs>
              <w:jc w:val="center"/>
              <w:cnfStyle w:val="000000100000" w:firstRow="0" w:lastRow="0" w:firstColumn="0" w:lastColumn="0" w:oddVBand="0" w:evenVBand="0" w:oddHBand="1" w:evenHBand="0" w:firstRowFirstColumn="0" w:firstRowLastColumn="0" w:lastRowFirstColumn="0" w:lastRowLastColumn="0"/>
            </w:pPr>
            <w:r>
              <w:t>Méx     %</w:t>
            </w:r>
          </w:p>
        </w:tc>
        <w:tc>
          <w:tcPr>
            <w:tcW w:w="992" w:type="dxa"/>
          </w:tcPr>
          <w:p w14:paraId="7E321E25" w14:textId="6E607537" w:rsidR="00455673" w:rsidRPr="004F2D5F" w:rsidRDefault="00455673" w:rsidP="00D96AE9">
            <w:pPr>
              <w:tabs>
                <w:tab w:val="left" w:pos="3210"/>
              </w:tabs>
              <w:jc w:val="center"/>
              <w:cnfStyle w:val="000000100000" w:firstRow="0" w:lastRow="0" w:firstColumn="0" w:lastColumn="0" w:oddVBand="0" w:evenVBand="0" w:oddHBand="1" w:evenHBand="0" w:firstRowFirstColumn="0" w:firstRowLastColumn="0" w:lastRowFirstColumn="0" w:lastRowLastColumn="0"/>
            </w:pPr>
            <w:r>
              <w:t>Arg</w:t>
            </w:r>
          </w:p>
        </w:tc>
        <w:tc>
          <w:tcPr>
            <w:tcW w:w="1648" w:type="dxa"/>
            <w:gridSpan w:val="2"/>
          </w:tcPr>
          <w:p w14:paraId="389B9785" w14:textId="0B06160C" w:rsidR="00455673" w:rsidRPr="00455673" w:rsidRDefault="00455673" w:rsidP="00455673">
            <w:pPr>
              <w:tabs>
                <w:tab w:val="left" w:pos="3210"/>
              </w:tabs>
              <w:jc w:val="center"/>
              <w:cnfStyle w:val="000000100000" w:firstRow="0" w:lastRow="0" w:firstColumn="0" w:lastColumn="0" w:oddVBand="0" w:evenVBand="0" w:oddHBand="1" w:evenHBand="0" w:firstRowFirstColumn="0" w:firstRowLastColumn="0" w:lastRowFirstColumn="0" w:lastRowLastColumn="0"/>
            </w:pPr>
            <w:r>
              <w:t>Méx  %</w:t>
            </w:r>
          </w:p>
        </w:tc>
      </w:tr>
      <w:tr w:rsidR="004E37E3" w:rsidRPr="004F2D5F" w14:paraId="74296725" w14:textId="40F14060" w:rsidTr="00975A3C">
        <w:trPr>
          <w:cnfStyle w:val="000000010000" w:firstRow="0" w:lastRow="0" w:firstColumn="0" w:lastColumn="0" w:oddVBand="0" w:evenVBand="0" w:oddHBand="0" w:evenHBand="1"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055" w:type="dxa"/>
          </w:tcPr>
          <w:p w14:paraId="7629A3C7" w14:textId="77777777" w:rsidR="004E37E3" w:rsidRPr="004F2D5F" w:rsidRDefault="004E37E3" w:rsidP="00D96AE9">
            <w:pPr>
              <w:jc w:val="center"/>
            </w:pPr>
            <w:r w:rsidRPr="004F2D5F">
              <w:t>Colesterol</w:t>
            </w:r>
          </w:p>
        </w:tc>
        <w:tc>
          <w:tcPr>
            <w:tcW w:w="833" w:type="dxa"/>
          </w:tcPr>
          <w:p w14:paraId="367CF2DE" w14:textId="77777777" w:rsidR="004E37E3" w:rsidRPr="004F2D5F" w:rsidRDefault="004E37E3" w:rsidP="00D96AE9">
            <w:pPr>
              <w:jc w:val="center"/>
              <w:cnfStyle w:val="000000010000" w:firstRow="0" w:lastRow="0" w:firstColumn="0" w:lastColumn="0" w:oddVBand="0" w:evenVBand="0" w:oddHBand="0" w:evenHBand="1" w:firstRowFirstColumn="0" w:firstRowLastColumn="0" w:lastRowFirstColumn="0" w:lastRowLastColumn="0"/>
            </w:pPr>
            <w:r w:rsidRPr="004F2D5F">
              <w:t>290</w:t>
            </w:r>
          </w:p>
        </w:tc>
        <w:tc>
          <w:tcPr>
            <w:tcW w:w="657" w:type="dxa"/>
          </w:tcPr>
          <w:p w14:paraId="727E05F0" w14:textId="77777777" w:rsidR="004E37E3" w:rsidRPr="004F2D5F" w:rsidRDefault="004E37E3" w:rsidP="004E37E3">
            <w:pPr>
              <w:cnfStyle w:val="000000010000" w:firstRow="0" w:lastRow="0" w:firstColumn="0" w:lastColumn="0" w:oddVBand="0" w:evenVBand="0" w:oddHBand="0" w:evenHBand="1" w:firstRowFirstColumn="0" w:firstRowLastColumn="0" w:lastRowFirstColumn="0" w:lastRowLastColumn="0"/>
            </w:pPr>
            <w:r>
              <w:t>279</w:t>
            </w:r>
          </w:p>
        </w:tc>
        <w:tc>
          <w:tcPr>
            <w:tcW w:w="756" w:type="dxa"/>
          </w:tcPr>
          <w:p w14:paraId="6D957BD9" w14:textId="12C8FDE8" w:rsidR="004E37E3" w:rsidRPr="004F2D5F" w:rsidRDefault="004E37E3" w:rsidP="004E37E3">
            <w:pPr>
              <w:jc w:val="center"/>
              <w:cnfStyle w:val="000000010000" w:firstRow="0" w:lastRow="0" w:firstColumn="0" w:lastColumn="0" w:oddVBand="0" w:evenVBand="0" w:oddHBand="0" w:evenHBand="1" w:firstRowFirstColumn="0" w:firstRowLastColumn="0" w:lastRowFirstColumn="0" w:lastRowLastColumn="0"/>
              <w:rPr>
                <w:lang w:val="es-ES"/>
              </w:rPr>
            </w:pPr>
            <w:r>
              <w:t>3.50</w:t>
            </w:r>
          </w:p>
        </w:tc>
        <w:tc>
          <w:tcPr>
            <w:tcW w:w="992" w:type="dxa"/>
          </w:tcPr>
          <w:p w14:paraId="67B6B97A" w14:textId="3ABC870B" w:rsidR="004E37E3" w:rsidRPr="004F2D5F" w:rsidRDefault="004E37E3" w:rsidP="00D96AE9">
            <w:pPr>
              <w:jc w:val="center"/>
              <w:cnfStyle w:val="000000010000" w:firstRow="0" w:lastRow="0" w:firstColumn="0" w:lastColumn="0" w:oddVBand="0" w:evenVBand="0" w:oddHBand="0" w:evenHBand="1" w:firstRowFirstColumn="0" w:firstRowLastColumn="0" w:lastRowFirstColumn="0" w:lastRowLastColumn="0"/>
            </w:pPr>
            <w:r w:rsidRPr="004F2D5F">
              <w:t>321</w:t>
            </w:r>
          </w:p>
        </w:tc>
        <w:tc>
          <w:tcPr>
            <w:tcW w:w="887" w:type="dxa"/>
          </w:tcPr>
          <w:p w14:paraId="67F66FBC" w14:textId="77777777" w:rsidR="004E37E3" w:rsidRPr="004F2D5F" w:rsidRDefault="004E37E3" w:rsidP="00D96AE9">
            <w:pPr>
              <w:jc w:val="center"/>
              <w:cnfStyle w:val="000000010000" w:firstRow="0" w:lastRow="0" w:firstColumn="0" w:lastColumn="0" w:oddVBand="0" w:evenVBand="0" w:oddHBand="0" w:evenHBand="1" w:firstRowFirstColumn="0" w:firstRowLastColumn="0" w:lastRowFirstColumn="0" w:lastRowLastColumn="0"/>
            </w:pPr>
            <w:r>
              <w:t>341</w:t>
            </w:r>
          </w:p>
        </w:tc>
        <w:tc>
          <w:tcPr>
            <w:tcW w:w="761" w:type="dxa"/>
          </w:tcPr>
          <w:p w14:paraId="023F6FFB" w14:textId="19188111" w:rsidR="004E37E3" w:rsidRPr="004F2D5F" w:rsidRDefault="004E37E3" w:rsidP="004E37E3">
            <w:pPr>
              <w:jc w:val="center"/>
              <w:cnfStyle w:val="000000010000" w:firstRow="0" w:lastRow="0" w:firstColumn="0" w:lastColumn="0" w:oddVBand="0" w:evenVBand="0" w:oddHBand="0" w:evenHBand="1" w:firstRowFirstColumn="0" w:firstRowLastColumn="0" w:lastRowFirstColumn="0" w:lastRowLastColumn="0"/>
              <w:rPr>
                <w:lang w:val="es-ES"/>
              </w:rPr>
            </w:pPr>
            <w:r>
              <w:t>6.30</w:t>
            </w:r>
          </w:p>
        </w:tc>
      </w:tr>
      <w:tr w:rsidR="004E37E3" w:rsidRPr="004F2D5F" w14:paraId="418DB11E" w14:textId="77A35CC2" w:rsidTr="00975A3C">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055" w:type="dxa"/>
          </w:tcPr>
          <w:p w14:paraId="7366ED33" w14:textId="77777777" w:rsidR="004E37E3" w:rsidRPr="004F2D5F" w:rsidRDefault="004E37E3" w:rsidP="00D96AE9">
            <w:pPr>
              <w:jc w:val="center"/>
            </w:pPr>
            <w:r>
              <w:t>Triglicéridos</w:t>
            </w:r>
          </w:p>
        </w:tc>
        <w:tc>
          <w:tcPr>
            <w:tcW w:w="833" w:type="dxa"/>
          </w:tcPr>
          <w:p w14:paraId="4EA6B9FC" w14:textId="77777777" w:rsidR="004E37E3" w:rsidRPr="004F2D5F" w:rsidRDefault="004E37E3" w:rsidP="00D96AE9">
            <w:pPr>
              <w:jc w:val="center"/>
              <w:cnfStyle w:val="000000100000" w:firstRow="0" w:lastRow="0" w:firstColumn="0" w:lastColumn="0" w:oddVBand="0" w:evenVBand="0" w:oddHBand="1" w:evenHBand="0" w:firstRowFirstColumn="0" w:firstRowLastColumn="0" w:lastRowFirstColumn="0" w:lastRowLastColumn="0"/>
            </w:pPr>
            <w:r>
              <w:t>257</w:t>
            </w:r>
          </w:p>
        </w:tc>
        <w:tc>
          <w:tcPr>
            <w:tcW w:w="657" w:type="dxa"/>
          </w:tcPr>
          <w:p w14:paraId="6D39C725" w14:textId="77777777" w:rsidR="004E37E3" w:rsidRPr="004F2D5F" w:rsidRDefault="004E37E3" w:rsidP="004E37E3">
            <w:pPr>
              <w:cnfStyle w:val="000000100000" w:firstRow="0" w:lastRow="0" w:firstColumn="0" w:lastColumn="0" w:oddVBand="0" w:evenVBand="0" w:oddHBand="1" w:evenHBand="0" w:firstRowFirstColumn="0" w:firstRowLastColumn="0" w:lastRowFirstColumn="0" w:lastRowLastColumn="0"/>
            </w:pPr>
            <w:r>
              <w:t>378</w:t>
            </w:r>
          </w:p>
        </w:tc>
        <w:tc>
          <w:tcPr>
            <w:tcW w:w="756" w:type="dxa"/>
          </w:tcPr>
          <w:p w14:paraId="6E7506FD" w14:textId="43C15C69" w:rsidR="004E37E3" w:rsidRPr="004F2D5F" w:rsidRDefault="004E37E3" w:rsidP="004E37E3">
            <w:pPr>
              <w:jc w:val="center"/>
              <w:cnfStyle w:val="000000100000" w:firstRow="0" w:lastRow="0" w:firstColumn="0" w:lastColumn="0" w:oddVBand="0" w:evenVBand="0" w:oddHBand="1" w:evenHBand="0" w:firstRowFirstColumn="0" w:firstRowLastColumn="0" w:lastRowFirstColumn="0" w:lastRowLastColumn="0"/>
              <w:rPr>
                <w:lang w:val="es-ES"/>
              </w:rPr>
            </w:pPr>
            <w:r>
              <w:t>21.05</w:t>
            </w:r>
          </w:p>
        </w:tc>
        <w:tc>
          <w:tcPr>
            <w:tcW w:w="992" w:type="dxa"/>
          </w:tcPr>
          <w:p w14:paraId="5C99C509" w14:textId="4CEB003D" w:rsidR="004E37E3" w:rsidRPr="004F2D5F" w:rsidRDefault="004E37E3" w:rsidP="00D96AE9">
            <w:pPr>
              <w:jc w:val="center"/>
              <w:cnfStyle w:val="000000100000" w:firstRow="0" w:lastRow="0" w:firstColumn="0" w:lastColumn="0" w:oddVBand="0" w:evenVBand="0" w:oddHBand="1" w:evenHBand="0" w:firstRowFirstColumn="0" w:firstRowLastColumn="0" w:lastRowFirstColumn="0" w:lastRowLastColumn="0"/>
            </w:pPr>
            <w:r>
              <w:t>371</w:t>
            </w:r>
          </w:p>
        </w:tc>
        <w:tc>
          <w:tcPr>
            <w:tcW w:w="887" w:type="dxa"/>
          </w:tcPr>
          <w:p w14:paraId="1228C802" w14:textId="77777777" w:rsidR="004E37E3" w:rsidRPr="004F2D5F" w:rsidRDefault="004E37E3" w:rsidP="00D96AE9">
            <w:pPr>
              <w:jc w:val="center"/>
              <w:cnfStyle w:val="000000100000" w:firstRow="0" w:lastRow="0" w:firstColumn="0" w:lastColumn="0" w:oddVBand="0" w:evenVBand="0" w:oddHBand="1" w:evenHBand="0" w:firstRowFirstColumn="0" w:firstRowLastColumn="0" w:lastRowFirstColumn="0" w:lastRowLastColumn="0"/>
            </w:pPr>
            <w:r>
              <w:t>406</w:t>
            </w:r>
          </w:p>
        </w:tc>
        <w:tc>
          <w:tcPr>
            <w:tcW w:w="761" w:type="dxa"/>
          </w:tcPr>
          <w:p w14:paraId="512A7A1C" w14:textId="5C1C2FFB" w:rsidR="004E37E3" w:rsidRPr="004F2D5F" w:rsidRDefault="004E37E3" w:rsidP="004E37E3">
            <w:pPr>
              <w:jc w:val="center"/>
              <w:cnfStyle w:val="000000100000" w:firstRow="0" w:lastRow="0" w:firstColumn="0" w:lastColumn="0" w:oddVBand="0" w:evenVBand="0" w:oddHBand="1" w:evenHBand="0" w:firstRowFirstColumn="0" w:firstRowLastColumn="0" w:lastRowFirstColumn="0" w:lastRowLastColumn="0"/>
              <w:rPr>
                <w:lang w:val="es-ES"/>
              </w:rPr>
            </w:pPr>
            <w:r>
              <w:t>8.10</w:t>
            </w:r>
          </w:p>
        </w:tc>
      </w:tr>
    </w:tbl>
    <w:p w14:paraId="514D3ED9" w14:textId="47F2EFD5" w:rsidR="00320B94" w:rsidRPr="00E27833" w:rsidRDefault="00320B94" w:rsidP="00975A3C">
      <w:pPr>
        <w:jc w:val="center"/>
      </w:pPr>
      <w:r w:rsidRPr="00BE552E">
        <w:t>Fuente</w:t>
      </w:r>
      <w:r w:rsidRPr="00E27833">
        <w:t xml:space="preserve">: </w:t>
      </w:r>
      <w:r w:rsidR="000D0524">
        <w:t>Ywaskewycz-Benítez, L. R.</w:t>
      </w:r>
      <w:r w:rsidR="00AF2CBF">
        <w:t>, et al.</w:t>
      </w:r>
      <w:r w:rsidR="000D0524">
        <w:t xml:space="preserve"> (2010) y d</w:t>
      </w:r>
      <w:r w:rsidRPr="00E27833">
        <w:t>atos de la investigación.</w:t>
      </w:r>
    </w:p>
    <w:p w14:paraId="190820E8" w14:textId="5E8170DB" w:rsidR="00E27833" w:rsidRDefault="00E27833" w:rsidP="0063507C">
      <w:pPr>
        <w:spacing w:line="360" w:lineRule="auto"/>
        <w:jc w:val="both"/>
        <w:rPr>
          <w:rFonts w:eastAsia="Arial"/>
          <w:color w:val="000000" w:themeColor="text1"/>
          <w:lang w:val="es-ES"/>
        </w:rPr>
      </w:pPr>
    </w:p>
    <w:p w14:paraId="67E320D2" w14:textId="3A3CABAB" w:rsidR="00E27833" w:rsidRDefault="00320B94" w:rsidP="0063507C">
      <w:pPr>
        <w:spacing w:line="360" w:lineRule="auto"/>
        <w:jc w:val="both"/>
        <w:rPr>
          <w:rFonts w:eastAsia="Arial"/>
          <w:color w:val="000000" w:themeColor="text1"/>
          <w:lang w:val="es-ES"/>
        </w:rPr>
      </w:pPr>
      <w:r>
        <w:rPr>
          <w:rFonts w:eastAsia="Arial"/>
          <w:color w:val="000000" w:themeColor="text1"/>
          <w:lang w:val="es-ES"/>
        </w:rPr>
        <w:t>En la tabla 7</w:t>
      </w:r>
      <w:r w:rsidR="00E27833" w:rsidRPr="00400331">
        <w:rPr>
          <w:rFonts w:eastAsia="Arial"/>
          <w:color w:val="000000" w:themeColor="text1"/>
          <w:lang w:val="es-ES"/>
        </w:rPr>
        <w:t xml:space="preserve"> se observa una comparación de los percentiles 95 obtenidos en el trabajo argentino y los encontrados en este trabajo. Se observan los porcentajes de individuos mexicanos por arriba de los límites de corte de los argentinos. Los percentiles obtenidos en este estudio mexicano fueron más altos en comparación con los argentinos</w:t>
      </w:r>
      <w:r w:rsidR="00E27833">
        <w:rPr>
          <w:rFonts w:eastAsia="Arial"/>
          <w:color w:val="000000" w:themeColor="text1"/>
          <w:lang w:val="es-ES"/>
        </w:rPr>
        <w:t>,</w:t>
      </w:r>
      <w:r w:rsidR="00E27833" w:rsidRPr="00400331">
        <w:rPr>
          <w:rFonts w:eastAsia="Arial"/>
          <w:color w:val="000000" w:themeColor="text1"/>
          <w:lang w:val="es-ES"/>
        </w:rPr>
        <w:t xml:space="preserve"> excepto en el parámetro de colesterol para el segundo trimestre de gestación. </w:t>
      </w:r>
    </w:p>
    <w:p w14:paraId="440F77B5" w14:textId="77777777" w:rsidR="009E527F" w:rsidRDefault="009E527F" w:rsidP="0063507C">
      <w:pPr>
        <w:spacing w:line="360" w:lineRule="auto"/>
        <w:jc w:val="both"/>
        <w:rPr>
          <w:rFonts w:eastAsia="Arial"/>
          <w:b/>
          <w:lang w:val="es-ES"/>
        </w:rPr>
      </w:pPr>
    </w:p>
    <w:p w14:paraId="15683498" w14:textId="77777777" w:rsidR="00010C63" w:rsidRPr="001F4CEE" w:rsidRDefault="00E23795" w:rsidP="0063507C">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D</w:t>
      </w:r>
      <w:r w:rsidR="00653C7C" w:rsidRPr="001F4CEE">
        <w:rPr>
          <w:rFonts w:ascii="Calibri" w:hAnsi="Calibri" w:cs="Calibri"/>
          <w:b/>
          <w:color w:val="000000" w:themeColor="text1"/>
          <w:sz w:val="28"/>
          <w:szCs w:val="28"/>
          <w:lang w:val="es-ES" w:eastAsia="es-ES"/>
        </w:rPr>
        <w:t xml:space="preserve">iscusión </w:t>
      </w:r>
    </w:p>
    <w:p w14:paraId="59B669B5" w14:textId="298FEC74" w:rsidR="00191243" w:rsidRPr="00A45D9D" w:rsidRDefault="00E27833" w:rsidP="0063507C">
      <w:pPr>
        <w:spacing w:line="360" w:lineRule="auto"/>
        <w:jc w:val="both"/>
      </w:pPr>
      <w:r w:rsidRPr="00A45D9D">
        <w:t xml:space="preserve">En el </w:t>
      </w:r>
      <w:r w:rsidR="007C3A27">
        <w:t xml:space="preserve">presente </w:t>
      </w:r>
      <w:r w:rsidRPr="00A45D9D">
        <w:t>estudio</w:t>
      </w:r>
      <w:r>
        <w:t>,</w:t>
      </w:r>
      <w:r w:rsidRPr="00A45D9D">
        <w:t xml:space="preserve"> la ocupaci</w:t>
      </w:r>
      <w:r>
        <w:t>ón</w:t>
      </w:r>
      <w:r w:rsidRPr="00A45D9D">
        <w:t xml:space="preserve"> más frecuente</w:t>
      </w:r>
      <w:r>
        <w:t xml:space="preserve"> de las pacientes fue ama de casa con</w:t>
      </w:r>
      <w:r w:rsidRPr="00A45D9D">
        <w:t xml:space="preserve"> 79.31</w:t>
      </w:r>
      <w:r>
        <w:t xml:space="preserve"> </w:t>
      </w:r>
      <w:r w:rsidRPr="00A45D9D">
        <w:t>%</w:t>
      </w:r>
      <w:r>
        <w:t xml:space="preserve">. </w:t>
      </w:r>
      <w:r w:rsidRPr="00F55115">
        <w:t>El salario mínimo vigente en México</w:t>
      </w:r>
      <w:r>
        <w:t>,</w:t>
      </w:r>
      <w:r w:rsidRPr="00F55115">
        <w:t xml:space="preserve"> a enero de 2018, es de </w:t>
      </w:r>
      <w:r w:rsidRPr="00F55115">
        <w:rPr>
          <w:rFonts w:ascii="Sitka Small" w:hAnsi="Sitka Small"/>
        </w:rPr>
        <w:t>$</w:t>
      </w:r>
      <w:r w:rsidRPr="00F55115">
        <w:rPr>
          <w:color w:val="000000" w:themeColor="text1"/>
        </w:rPr>
        <w:t xml:space="preserve">4.32 USD diarios, que da a una cantidad quincenal de </w:t>
      </w:r>
      <w:r w:rsidRPr="00F55115">
        <w:rPr>
          <w:rFonts w:ascii="Sitka Small" w:hAnsi="Sitka Small"/>
          <w:color w:val="000000" w:themeColor="text1"/>
        </w:rPr>
        <w:t>$</w:t>
      </w:r>
      <w:r w:rsidRPr="00F55115">
        <w:rPr>
          <w:color w:val="000000" w:themeColor="text1"/>
        </w:rPr>
        <w:t>64.8 USD</w:t>
      </w:r>
      <w:r>
        <w:rPr>
          <w:color w:val="000000" w:themeColor="text1"/>
        </w:rPr>
        <w:t xml:space="preserve">, </w:t>
      </w:r>
      <w:r w:rsidRPr="00F55115">
        <w:rPr>
          <w:color w:val="000000" w:themeColor="text1"/>
        </w:rPr>
        <w:t xml:space="preserve">muy similar a los </w:t>
      </w:r>
      <w:r w:rsidRPr="00F55115">
        <w:rPr>
          <w:rFonts w:ascii="Sitka Small" w:hAnsi="Sitka Small"/>
        </w:rPr>
        <w:t>$</w:t>
      </w:r>
      <w:r w:rsidRPr="00F55115">
        <w:rPr>
          <w:color w:val="000000" w:themeColor="text1"/>
        </w:rPr>
        <w:t>80.93 USD que la mayoría de las pacientes estudiadas declararon como su ingreso. Sin embargo</w:t>
      </w:r>
      <w:r>
        <w:rPr>
          <w:color w:val="000000" w:themeColor="text1"/>
        </w:rPr>
        <w:t>,</w:t>
      </w:r>
      <w:r w:rsidRPr="00F55115">
        <w:rPr>
          <w:color w:val="000000" w:themeColor="text1"/>
        </w:rPr>
        <w:t xml:space="preserve"> </w:t>
      </w:r>
      <w:r w:rsidRPr="00F55115">
        <w:t>el ingreso per cápita en el país es de 8,201.31 USD</w:t>
      </w:r>
      <w:r>
        <w:t xml:space="preserve">, lo que significa que solo </w:t>
      </w:r>
      <w:r w:rsidRPr="00F55115">
        <w:t>5.17</w:t>
      </w:r>
      <w:r>
        <w:t xml:space="preserve"> </w:t>
      </w:r>
      <w:r w:rsidRPr="00F55115">
        <w:t>% de las pacientes se acerca al ingreso que debe ganar cada persona en el país, mientras que 64.37</w:t>
      </w:r>
      <w:r>
        <w:t xml:space="preserve"> </w:t>
      </w:r>
      <w:r w:rsidRPr="00F55115">
        <w:t xml:space="preserve">% de las pacientes muestran muy bajo poder adquisitivo. </w:t>
      </w:r>
      <w:r>
        <w:t>También</w:t>
      </w:r>
      <w:r w:rsidRPr="00F55115">
        <w:t xml:space="preserve"> se evidencia que el tipo de vivienda más frecuente</w:t>
      </w:r>
      <w:r>
        <w:t xml:space="preserve"> de las pacientes embarazadas es </w:t>
      </w:r>
      <w:r w:rsidRPr="00F55115">
        <w:t xml:space="preserve"> de cemento. </w:t>
      </w:r>
    </w:p>
    <w:p w14:paraId="2011FCAC" w14:textId="4247C551" w:rsidR="00E27833" w:rsidRPr="00F55115" w:rsidRDefault="00E27833" w:rsidP="0063507C">
      <w:pPr>
        <w:spacing w:line="360" w:lineRule="auto"/>
        <w:jc w:val="both"/>
      </w:pPr>
      <w:r w:rsidRPr="00F55115">
        <w:t>Es este estudio el nivel de escolaridad más frecuente fue la secundaria con un 32.1</w:t>
      </w:r>
      <w:r>
        <w:t xml:space="preserve"> %, lo cual concuerda</w:t>
      </w:r>
      <w:r w:rsidRPr="00F55115">
        <w:t xml:space="preserve"> con los datos de la Subsecretaria de Empleo y Productividad en Guerrero, México,</w:t>
      </w:r>
      <w:r>
        <w:t xml:space="preserve"> pues señala que solo </w:t>
      </w:r>
      <w:r w:rsidRPr="00F55115">
        <w:t>36.8</w:t>
      </w:r>
      <w:r>
        <w:t xml:space="preserve"> % de la población posee</w:t>
      </w:r>
      <w:r w:rsidRPr="00F55115">
        <w:t xml:space="preserve"> el grado de secundaria, de igual forma</w:t>
      </w:r>
      <w:r>
        <w:t>,</w:t>
      </w:r>
      <w:r w:rsidRPr="00F55115">
        <w:t xml:space="preserve"> el Instituto Nacional de Estadística y Geografía establece que la p</w:t>
      </w:r>
      <w:r>
        <w:t>oblación en promedio presenta  9.2 grados</w:t>
      </w:r>
      <w:r w:rsidRPr="00F55115">
        <w:t xml:space="preserve"> de escolaridad</w:t>
      </w:r>
      <w:r>
        <w:t>,</w:t>
      </w:r>
      <w:r w:rsidRPr="00F55115">
        <w:t xml:space="preserve"> lo que significa un poco más de la secundaria</w:t>
      </w:r>
      <w:r w:rsidRPr="00A45D9D">
        <w:t xml:space="preserve"> concluida.</w:t>
      </w:r>
      <w:r w:rsidR="002C564C">
        <w:tab/>
      </w:r>
    </w:p>
    <w:p w14:paraId="109105C1" w14:textId="3BD0C630" w:rsidR="002C564C" w:rsidRPr="00A45D9D" w:rsidRDefault="002C564C" w:rsidP="0063507C">
      <w:pPr>
        <w:spacing w:line="360" w:lineRule="auto"/>
        <w:jc w:val="both"/>
      </w:pPr>
      <w:r w:rsidRPr="00A45D9D">
        <w:lastRenderedPageBreak/>
        <w:t>En la tabla 2 de parámetros bioquímicos estudiados</w:t>
      </w:r>
      <w:r>
        <w:t>,</w:t>
      </w:r>
      <w:r w:rsidRPr="00A45D9D">
        <w:t xml:space="preserve"> la mayoría de ellos aparecen normales</w:t>
      </w:r>
      <w:r>
        <w:t>, sin embargo, en  algunos</w:t>
      </w:r>
      <w:r w:rsidRPr="00A45D9D">
        <w:t xml:space="preserve"> si se detectan alteraciones en las pacie</w:t>
      </w:r>
      <w:r>
        <w:t xml:space="preserve">ntes con </w:t>
      </w:r>
      <w:r w:rsidRPr="00A45D9D">
        <w:t xml:space="preserve"> 67.95</w:t>
      </w:r>
      <w:r>
        <w:t xml:space="preserve"> </w:t>
      </w:r>
      <w:r w:rsidRPr="00A45D9D">
        <w:t>% en la urea y</w:t>
      </w:r>
      <w:r>
        <w:t xml:space="preserve">, </w:t>
      </w:r>
      <w:r w:rsidRPr="00A45D9D">
        <w:t>con un 79.55</w:t>
      </w:r>
      <w:r>
        <w:t xml:space="preserve"> </w:t>
      </w:r>
      <w:r w:rsidRPr="00A45D9D">
        <w:t>%</w:t>
      </w:r>
      <w:r>
        <w:t xml:space="preserve"> en </w:t>
      </w:r>
      <w:r w:rsidRPr="00A45D9D">
        <w:t>creatinina</w:t>
      </w:r>
      <w:r>
        <w:t>, lo que muestra</w:t>
      </w:r>
      <w:r w:rsidRPr="00A45D9D">
        <w:t xml:space="preserve"> en promedio valores</w:t>
      </w:r>
      <w:r>
        <w:t xml:space="preserve"> ligeramente bajos en relación con</w:t>
      </w:r>
      <w:r w:rsidRPr="00A45D9D">
        <w:t xml:space="preserve"> los valores de referencia. Por otra parte</w:t>
      </w:r>
      <w:r>
        <w:t>,</w:t>
      </w:r>
      <w:r w:rsidRPr="00A45D9D">
        <w:t xml:space="preserve"> en el perfil lip</w:t>
      </w:r>
      <w:r>
        <w:t xml:space="preserve">ídico se muestra que </w:t>
      </w:r>
      <w:r w:rsidRPr="00A45D9D">
        <w:t xml:space="preserve"> 69.61</w:t>
      </w:r>
      <w:r>
        <w:t xml:space="preserve"> </w:t>
      </w:r>
      <w:r w:rsidRPr="00A45D9D">
        <w:t>% de las pacientes presentan valores relativamente altos para colesterol que van desde 99 a 443 mg/dL, de igual manera</w:t>
      </w:r>
      <w:r>
        <w:t xml:space="preserve">, </w:t>
      </w:r>
      <w:r w:rsidRPr="00A45D9D">
        <w:t>92.96</w:t>
      </w:r>
      <w:r>
        <w:t xml:space="preserve"> </w:t>
      </w:r>
      <w:r w:rsidRPr="00A45D9D">
        <w:t>% de las pacientes presentan valores altos de triglicéridos que oscilan desde 80 a 532 mg/dL.</w:t>
      </w:r>
    </w:p>
    <w:p w14:paraId="534FF109" w14:textId="2F70BB20" w:rsidR="002C564C" w:rsidRPr="00A45D9D" w:rsidRDefault="002C564C" w:rsidP="00E23795">
      <w:pPr>
        <w:spacing w:line="360" w:lineRule="auto"/>
        <w:jc w:val="both"/>
      </w:pPr>
      <w:r w:rsidRPr="009E1D70">
        <w:t>Duarte et al., (2014</w:t>
      </w:r>
      <w:r w:rsidRPr="009E1D70">
        <w:rPr>
          <w:b/>
        </w:rPr>
        <w:t>)</w:t>
      </w:r>
      <w:r w:rsidRPr="009E1D70">
        <w:t>, realizaron un estudio en el que evaluaron los niveles de colesterol y triglicéridos en mujeres embarazadas</w:t>
      </w:r>
      <w:r>
        <w:t>,</w:t>
      </w:r>
      <w:r w:rsidRPr="009E1D70">
        <w:t xml:space="preserve"> de acuerdo con la severidad de la preeclampsia,</w:t>
      </w:r>
      <w:r>
        <w:t xml:space="preserve"> y </w:t>
      </w:r>
      <w:r w:rsidRPr="009E1D70">
        <w:t xml:space="preserve"> encontraron que los niveles de colesterol y triglicéridos muestran una </w:t>
      </w:r>
      <w:r w:rsidRPr="00125888">
        <w:t xml:space="preserve">elevación </w:t>
      </w:r>
      <w:r w:rsidR="00125888" w:rsidRPr="00257C50">
        <w:t>considerable</w:t>
      </w:r>
      <w:r w:rsidRPr="00257C50">
        <w:t xml:space="preserve">,  con valores de 245 mg/dL, </w:t>
      </w:r>
      <w:r w:rsidR="00471347" w:rsidRPr="00257C50">
        <w:t xml:space="preserve">en ambos analitos </w:t>
      </w:r>
      <w:r w:rsidRPr="00257C50">
        <w:t>en el embarazo normal. Estos resultados son simila</w:t>
      </w:r>
      <w:r w:rsidRPr="009E1D70">
        <w:t>res a los resultados que obtuvimos en el presente estudio</w:t>
      </w:r>
      <w:r>
        <w:t>,</w:t>
      </w:r>
      <w:r w:rsidRPr="009E1D70">
        <w:t xml:space="preserve"> donde se encontraron valores en promedio de colesterol de 229.55 mg/dL y para triglicéridos de 247.35 mg/dL.</w:t>
      </w:r>
    </w:p>
    <w:p w14:paraId="0B8698D5" w14:textId="77777777" w:rsidR="002C564C" w:rsidRPr="009E1D70" w:rsidRDefault="002C564C" w:rsidP="002C564C">
      <w:pPr>
        <w:spacing w:line="360" w:lineRule="auto"/>
        <w:jc w:val="both"/>
      </w:pPr>
      <w:r w:rsidRPr="009E1D70">
        <w:t>Por otra parte</w:t>
      </w:r>
      <w:r>
        <w:t>, se destaca el descubrimiento de</w:t>
      </w:r>
      <w:r w:rsidRPr="009E1D70">
        <w:t xml:space="preserve"> valor</w:t>
      </w:r>
      <w:r>
        <w:t>es patológicos en las pacientes:</w:t>
      </w:r>
      <w:r w:rsidRPr="009E1D70">
        <w:t xml:space="preserve"> 3.58</w:t>
      </w:r>
      <w:r>
        <w:t xml:space="preserve"> </w:t>
      </w:r>
      <w:r w:rsidRPr="009E1D70">
        <w:t>% presentaron</w:t>
      </w:r>
      <w:r>
        <w:t xml:space="preserve"> glucosa basal anormalmente alta, así como </w:t>
      </w:r>
      <w:r w:rsidRPr="009E1D70">
        <w:t>28.92</w:t>
      </w:r>
      <w:r>
        <w:t xml:space="preserve"> </w:t>
      </w:r>
      <w:r w:rsidRPr="009E1D70">
        <w:t xml:space="preserve">% de las pacientes presentaron curvas anormales con la glucosa postprandial. </w:t>
      </w:r>
    </w:p>
    <w:p w14:paraId="09F42C70" w14:textId="3534D6E4" w:rsidR="002C564C" w:rsidRPr="009E1D70" w:rsidRDefault="002C564C" w:rsidP="00E23795">
      <w:pPr>
        <w:spacing w:line="360" w:lineRule="auto"/>
        <w:jc w:val="both"/>
      </w:pPr>
      <w:r w:rsidRPr="009E1D70">
        <w:t>En la tabla 3 de la citometría hemática</w:t>
      </w:r>
      <w:r>
        <w:t>,</w:t>
      </w:r>
      <w:r w:rsidRPr="009E1D70">
        <w:t xml:space="preserve"> la mayoría de los parámetros se e</w:t>
      </w:r>
      <w:r>
        <w:t>ncuentran normales en relación con</w:t>
      </w:r>
      <w:r w:rsidRPr="009E1D70">
        <w:t xml:space="preserve"> los valores de referencia, con excepción de los erit</w:t>
      </w:r>
      <w:r>
        <w:t>rocitos donde</w:t>
      </w:r>
      <w:r w:rsidRPr="009E1D70">
        <w:t xml:space="preserve"> 58.88</w:t>
      </w:r>
      <w:r>
        <w:t xml:space="preserve"> % de las pacientes</w:t>
      </w:r>
      <w:r w:rsidRPr="009E1D70">
        <w:t xml:space="preserve"> presentan un valor ligeramente bajo con valores mínimos y máximos extremos</w:t>
      </w:r>
      <w:r>
        <w:t>,</w:t>
      </w:r>
      <w:r w:rsidRPr="009E1D70">
        <w:t xml:space="preserve"> que van de 1.87 y de 5.15 células x10</w:t>
      </w:r>
      <w:r w:rsidRPr="009E1D70">
        <w:rPr>
          <w:vertAlign w:val="superscript"/>
        </w:rPr>
        <w:t>6</w:t>
      </w:r>
      <w:r w:rsidRPr="009E1D70">
        <w:t>/µL, de la misma manera</w:t>
      </w:r>
      <w:r>
        <w:t>,</w:t>
      </w:r>
      <w:r w:rsidRPr="009E1D70">
        <w:t xml:space="preserve"> 60.55 % de las pacientes presentaron nivele</w:t>
      </w:r>
      <w:r>
        <w:t>s bajos de hemoglobina siendo  5.1 el valor mínimo y</w:t>
      </w:r>
      <w:r w:rsidRPr="009E1D70">
        <w:t xml:space="preserve"> 15.1 el valor máximo</w:t>
      </w:r>
      <w:r>
        <w:t xml:space="preserve">. Por lo tanto, </w:t>
      </w:r>
      <w:r w:rsidRPr="009E1D70">
        <w:t>se puede concluir que más del 50 % de las pacientes presentaban una anemia normocítica normocrómi</w:t>
      </w:r>
      <w:r>
        <w:t>ca. Estos resultados concuerdan con el</w:t>
      </w:r>
      <w:r w:rsidRPr="009E1D70">
        <w:t xml:space="preserve"> estudio que realizó Celiz (2016), en el que determinó que la anemia materna es factor de</w:t>
      </w:r>
      <w:r>
        <w:t xml:space="preserve"> riesgo asociado a preeclampsia. </w:t>
      </w:r>
    </w:p>
    <w:p w14:paraId="0C002316" w14:textId="71F1B451" w:rsidR="002C564C" w:rsidRPr="00BE552E" w:rsidRDefault="002C564C" w:rsidP="00BE552E">
      <w:pPr>
        <w:autoSpaceDE w:val="0"/>
        <w:autoSpaceDN w:val="0"/>
        <w:adjustRightInd w:val="0"/>
        <w:spacing w:line="360" w:lineRule="auto"/>
        <w:rPr>
          <w:color w:val="000000" w:themeColor="text1"/>
        </w:rPr>
      </w:pPr>
      <w:r>
        <w:rPr>
          <w:color w:val="000000" w:themeColor="text1"/>
        </w:rPr>
        <w:t xml:space="preserve">Ywaskewycz </w:t>
      </w:r>
      <w:r w:rsidRPr="009E1D70">
        <w:t xml:space="preserve">et al., </w:t>
      </w:r>
      <w:r w:rsidRPr="00F55115">
        <w:rPr>
          <w:color w:val="000000" w:themeColor="text1"/>
        </w:rPr>
        <w:t>(2010) realizaron una evaluación del perfil lipídico de mujeres adultas por trimestre de gestación y compararon el perfil lipídico de un grupo</w:t>
      </w:r>
      <w:r>
        <w:rPr>
          <w:color w:val="000000" w:themeColor="text1"/>
        </w:rPr>
        <w:t xml:space="preserve"> de</w:t>
      </w:r>
      <w:r w:rsidRPr="00F55115">
        <w:rPr>
          <w:color w:val="000000" w:themeColor="text1"/>
        </w:rPr>
        <w:t xml:space="preserve"> contro</w:t>
      </w:r>
      <w:r>
        <w:rPr>
          <w:color w:val="000000" w:themeColor="text1"/>
        </w:rPr>
        <w:t>l de mujeres no embarazadas, obteniendo</w:t>
      </w:r>
      <w:r w:rsidRPr="00F55115">
        <w:rPr>
          <w:color w:val="000000" w:themeColor="text1"/>
        </w:rPr>
        <w:t xml:space="preserve"> los percentiles 95. Encontraron que el colesterol total y los triglicéridos fueron </w:t>
      </w:r>
      <w:r>
        <w:rPr>
          <w:color w:val="000000" w:themeColor="text1"/>
        </w:rPr>
        <w:t>aumentando significativamente durante</w:t>
      </w:r>
      <w:r w:rsidRPr="00F55115">
        <w:rPr>
          <w:color w:val="000000" w:themeColor="text1"/>
        </w:rPr>
        <w:t xml:space="preserve"> cada trimestre de gestación, estos resultados son similares a los encontrados en nuestro estudio</w:t>
      </w:r>
      <w:r>
        <w:rPr>
          <w:color w:val="000000" w:themeColor="text1"/>
        </w:rPr>
        <w:t>, donde de igual manera</w:t>
      </w:r>
      <w:r w:rsidRPr="00F55115">
        <w:rPr>
          <w:color w:val="000000" w:themeColor="text1"/>
        </w:rPr>
        <w:t xml:space="preserve"> se encontró </w:t>
      </w:r>
      <w:r>
        <w:rPr>
          <w:color w:val="000000" w:themeColor="text1"/>
        </w:rPr>
        <w:t xml:space="preserve">un aumento </w:t>
      </w:r>
      <w:r>
        <w:rPr>
          <w:color w:val="000000" w:themeColor="text1"/>
        </w:rPr>
        <w:lastRenderedPageBreak/>
        <w:t>significativo durante</w:t>
      </w:r>
      <w:r w:rsidRPr="00F55115">
        <w:rPr>
          <w:color w:val="000000" w:themeColor="text1"/>
        </w:rPr>
        <w:t xml:space="preserve"> cada trimestre para ambas variables</w:t>
      </w:r>
      <w:r>
        <w:rPr>
          <w:color w:val="000000" w:themeColor="text1"/>
        </w:rPr>
        <w:t>, tanto para el colesterol como</w:t>
      </w:r>
      <w:r w:rsidRPr="00F55115">
        <w:rPr>
          <w:color w:val="000000" w:themeColor="text1"/>
        </w:rPr>
        <w:t xml:space="preserve"> para los triglicéridos.  </w:t>
      </w:r>
    </w:p>
    <w:p w14:paraId="06536593" w14:textId="77777777" w:rsidR="00FE0394" w:rsidRPr="009E1D70" w:rsidRDefault="00FE0394" w:rsidP="0097034C">
      <w:pPr>
        <w:spacing w:line="360" w:lineRule="auto"/>
        <w:jc w:val="both"/>
        <w:rPr>
          <w:rFonts w:eastAsia="Arial"/>
          <w:b/>
        </w:rPr>
      </w:pPr>
    </w:p>
    <w:p w14:paraId="7FF824FD" w14:textId="3B029055" w:rsidR="00191243" w:rsidRPr="001F4CEE" w:rsidRDefault="00F9137E" w:rsidP="00811C96">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t>C</w:t>
      </w:r>
      <w:r w:rsidR="00DC296E" w:rsidRPr="001F4CEE">
        <w:rPr>
          <w:rFonts w:ascii="Calibri" w:hAnsi="Calibri" w:cs="Calibri"/>
          <w:b/>
          <w:color w:val="000000" w:themeColor="text1"/>
          <w:sz w:val="28"/>
          <w:szCs w:val="28"/>
          <w:lang w:val="es-ES" w:eastAsia="es-ES"/>
        </w:rPr>
        <w:t>onclusión</w:t>
      </w:r>
    </w:p>
    <w:p w14:paraId="24A6400C" w14:textId="79268420" w:rsidR="002C564C" w:rsidRPr="009E1D70" w:rsidRDefault="002C564C" w:rsidP="00811C96">
      <w:pPr>
        <w:spacing w:line="360" w:lineRule="auto"/>
        <w:jc w:val="both"/>
      </w:pPr>
      <w:r>
        <w:t>D</w:t>
      </w:r>
      <w:r w:rsidRPr="009E1D70">
        <w:t>e las pacientes</w:t>
      </w:r>
      <w:r w:rsidR="00BD1155">
        <w:t xml:space="preserve">, 50 </w:t>
      </w:r>
      <w:r>
        <w:t>%</w:t>
      </w:r>
      <w:r w:rsidRPr="009E1D70">
        <w:t xml:space="preserve"> pertenecen a un grupo poblacional con un ingreso quincenal de aproximadamente </w:t>
      </w:r>
      <w:r w:rsidRPr="009E1D70">
        <w:rPr>
          <w:color w:val="545454"/>
          <w:shd w:val="clear" w:color="auto" w:fill="FFFFFF"/>
        </w:rPr>
        <w:t xml:space="preserve">$ </w:t>
      </w:r>
      <w:r w:rsidRPr="009E1D70">
        <w:rPr>
          <w:color w:val="000000" w:themeColor="text1"/>
        </w:rPr>
        <w:t>80.93 USD</w:t>
      </w:r>
      <w:r>
        <w:rPr>
          <w:color w:val="000000" w:themeColor="text1"/>
        </w:rPr>
        <w:t>, lo cual</w:t>
      </w:r>
      <w:r w:rsidRPr="009E1D70">
        <w:t xml:space="preserve"> es</w:t>
      </w:r>
      <w:r>
        <w:t>tá acorde con el salario mínimo en México. La mayoría de ellas presentan un</w:t>
      </w:r>
      <w:r w:rsidRPr="009E1D70">
        <w:t xml:space="preserve"> nivel de estudio de secundaria</w:t>
      </w:r>
      <w:r>
        <w:t>, igual al promedio a nivel nacional. M</w:t>
      </w:r>
      <w:r w:rsidRPr="009E1D70">
        <w:t>ás del 50</w:t>
      </w:r>
      <w:r>
        <w:t xml:space="preserve"> % de ellas refiere tener una vivienda</w:t>
      </w:r>
      <w:r w:rsidRPr="009E1D70">
        <w:t xml:space="preserve"> de cemento y estar a cargo del hogar (ama de casa).</w:t>
      </w:r>
      <w:r>
        <w:t xml:space="preserve"> </w:t>
      </w:r>
      <w:r>
        <w:rPr>
          <w:rFonts w:eastAsia="Arial"/>
          <w:lang w:val="es-ES"/>
        </w:rPr>
        <w:t>Se determinó</w:t>
      </w:r>
      <w:r w:rsidRPr="00B8522F">
        <w:rPr>
          <w:rFonts w:eastAsia="Arial"/>
          <w:lang w:val="es-ES"/>
        </w:rPr>
        <w:t xml:space="preserve"> que </w:t>
      </w:r>
      <w:r w:rsidRPr="00F55115">
        <w:t>69.61</w:t>
      </w:r>
      <w:r>
        <w:t xml:space="preserve"> </w:t>
      </w:r>
      <w:r w:rsidRPr="00F55115">
        <w:t>% de las pacientes presentaron hipercolestero</w:t>
      </w:r>
      <w:r>
        <w:t xml:space="preserve">lemia y </w:t>
      </w:r>
      <w:r w:rsidRPr="00F55115">
        <w:t>92.26</w:t>
      </w:r>
      <w:r>
        <w:t xml:space="preserve"> </w:t>
      </w:r>
      <w:r w:rsidRPr="00F55115">
        <w:t>% presentaron hipertrigliceridemia.</w:t>
      </w:r>
      <w:r>
        <w:t xml:space="preserve"> Además, s</w:t>
      </w:r>
      <w:r w:rsidRPr="00B8522F">
        <w:t>e observó una relación directamente proporcional entre el aumento de l</w:t>
      </w:r>
      <w:r>
        <w:t>a masa corporal y las presiones,</w:t>
      </w:r>
      <w:r w:rsidRPr="00B8522F">
        <w:t xml:space="preserve"> tanto sistólica como diastólica.</w:t>
      </w:r>
    </w:p>
    <w:p w14:paraId="3B8C1F94" w14:textId="6A4C5DD3" w:rsidR="002C564C" w:rsidRPr="00811C96" w:rsidRDefault="002C564C" w:rsidP="002C564C">
      <w:pPr>
        <w:spacing w:line="360" w:lineRule="auto"/>
        <w:jc w:val="both"/>
      </w:pPr>
      <w:r w:rsidRPr="00B8522F">
        <w:rPr>
          <w:rFonts w:eastAsia="Arial"/>
          <w:lang w:val="es-ES"/>
        </w:rPr>
        <w:t xml:space="preserve">Los resultados obtenidos muestran </w:t>
      </w:r>
      <w:r>
        <w:rPr>
          <w:rFonts w:eastAsia="Arial"/>
          <w:lang w:val="es-ES"/>
        </w:rPr>
        <w:t xml:space="preserve">que </w:t>
      </w:r>
      <w:r w:rsidRPr="009E1D70">
        <w:t>38.33</w:t>
      </w:r>
      <w:r>
        <w:t xml:space="preserve"> </w:t>
      </w:r>
      <w:r w:rsidRPr="009E1D70">
        <w:t>% de las pacientes presentaron un hematocrito bajo,</w:t>
      </w:r>
      <w:r>
        <w:t xml:space="preserve"> mientras que </w:t>
      </w:r>
      <w:r w:rsidRPr="00B8522F">
        <w:t>8.33</w:t>
      </w:r>
      <w:r>
        <w:t xml:space="preserve"> </w:t>
      </w:r>
      <w:r w:rsidRPr="00B8522F">
        <w:t>% presenta</w:t>
      </w:r>
      <w:r>
        <w:t>ron</w:t>
      </w:r>
      <w:r w:rsidRPr="00B8522F">
        <w:t xml:space="preserve"> trombocitopenia.</w:t>
      </w:r>
      <w:r>
        <w:t xml:space="preserve"> Se detectó que entre las pacientes analizadas </w:t>
      </w:r>
      <w:r w:rsidR="00077251" w:rsidRPr="00257C50">
        <w:t>1.14</w:t>
      </w:r>
      <w:r w:rsidRPr="00257C50">
        <w:t xml:space="preserve"> % presenta criterios diagnósticos de preeclampsia, </w:t>
      </w:r>
      <w:r w:rsidR="00077251" w:rsidRPr="00257C50">
        <w:t>0.57</w:t>
      </w:r>
      <w:r w:rsidRPr="00257C50">
        <w:t xml:space="preserve"> % son candidatas a adquirir la enfermedad y,  el </w:t>
      </w:r>
      <w:r w:rsidR="00077251" w:rsidRPr="00257C50">
        <w:t>98.29</w:t>
      </w:r>
      <w:r w:rsidRPr="00257C50">
        <w:t xml:space="preserve"> % se diagnosticó como</w:t>
      </w:r>
      <w:r w:rsidRPr="0033463F">
        <w:t xml:space="preserve"> pacientes </w:t>
      </w:r>
      <w:r w:rsidRPr="0079364B">
        <w:t>normales.</w:t>
      </w:r>
      <w:r>
        <w:t xml:space="preserve"> </w:t>
      </w:r>
      <w:r w:rsidRPr="0079364B">
        <w:rPr>
          <w:rFonts w:eastAsia="Arial"/>
          <w:color w:val="000000" w:themeColor="text1"/>
          <w:lang w:val="es-ES"/>
        </w:rPr>
        <w:t>Con respecto a los percentiles obtenidos para colesterol y triglicéridos</w:t>
      </w:r>
      <w:r>
        <w:rPr>
          <w:rFonts w:eastAsia="Arial"/>
          <w:color w:val="000000" w:themeColor="text1"/>
          <w:lang w:val="es-ES"/>
        </w:rPr>
        <w:t xml:space="preserve">, en este estudio </w:t>
      </w:r>
      <w:r w:rsidRPr="0079364B">
        <w:rPr>
          <w:rFonts w:eastAsia="Arial"/>
          <w:color w:val="000000" w:themeColor="text1"/>
          <w:lang w:val="es-ES"/>
        </w:rPr>
        <w:t>se encontró que estos fueron más altos en comparación con los argentinos</w:t>
      </w:r>
      <w:r>
        <w:rPr>
          <w:rFonts w:eastAsia="Arial"/>
          <w:color w:val="000000" w:themeColor="text1"/>
          <w:lang w:val="es-ES"/>
        </w:rPr>
        <w:t>, excepto para</w:t>
      </w:r>
      <w:r w:rsidRPr="0079364B">
        <w:rPr>
          <w:rFonts w:eastAsia="Arial"/>
          <w:color w:val="000000" w:themeColor="text1"/>
          <w:lang w:val="es-ES"/>
        </w:rPr>
        <w:t xml:space="preserve"> el parámet</w:t>
      </w:r>
      <w:r>
        <w:rPr>
          <w:rFonts w:eastAsia="Arial"/>
          <w:color w:val="000000" w:themeColor="text1"/>
          <w:lang w:val="es-ES"/>
        </w:rPr>
        <w:t>ro de colesterol durante</w:t>
      </w:r>
      <w:r w:rsidRPr="0079364B">
        <w:rPr>
          <w:rFonts w:eastAsia="Arial"/>
          <w:color w:val="000000" w:themeColor="text1"/>
          <w:lang w:val="es-ES"/>
        </w:rPr>
        <w:t xml:space="preserve"> el segundo trimestre de gestación. </w:t>
      </w:r>
    </w:p>
    <w:p w14:paraId="2D0C5980" w14:textId="5C7C6158" w:rsidR="0079364B" w:rsidRDefault="0079364B">
      <w:pPr>
        <w:spacing w:line="360" w:lineRule="auto"/>
        <w:jc w:val="both"/>
        <w:rPr>
          <w:rFonts w:eastAsia="Arial"/>
          <w:color w:val="000000" w:themeColor="text1"/>
          <w:lang w:val="es-ES"/>
        </w:rPr>
      </w:pPr>
    </w:p>
    <w:p w14:paraId="2AAF53D9" w14:textId="23306E5F" w:rsidR="00975A3C" w:rsidRDefault="00975A3C">
      <w:pPr>
        <w:spacing w:line="360" w:lineRule="auto"/>
        <w:jc w:val="both"/>
        <w:rPr>
          <w:rFonts w:eastAsia="Arial"/>
          <w:color w:val="000000" w:themeColor="text1"/>
          <w:lang w:val="es-ES"/>
        </w:rPr>
      </w:pPr>
    </w:p>
    <w:p w14:paraId="1406F161" w14:textId="6966D8EC" w:rsidR="00975A3C" w:rsidRDefault="00975A3C">
      <w:pPr>
        <w:spacing w:line="360" w:lineRule="auto"/>
        <w:jc w:val="both"/>
        <w:rPr>
          <w:rFonts w:eastAsia="Arial"/>
          <w:color w:val="000000" w:themeColor="text1"/>
          <w:lang w:val="es-ES"/>
        </w:rPr>
      </w:pPr>
    </w:p>
    <w:p w14:paraId="299CC8E7" w14:textId="7ED4005C" w:rsidR="00975A3C" w:rsidRDefault="00975A3C">
      <w:pPr>
        <w:spacing w:line="360" w:lineRule="auto"/>
        <w:jc w:val="both"/>
        <w:rPr>
          <w:rFonts w:eastAsia="Arial"/>
          <w:color w:val="000000" w:themeColor="text1"/>
          <w:lang w:val="es-ES"/>
        </w:rPr>
      </w:pPr>
    </w:p>
    <w:p w14:paraId="261EBD56" w14:textId="04526616" w:rsidR="00975A3C" w:rsidRDefault="00975A3C">
      <w:pPr>
        <w:spacing w:line="360" w:lineRule="auto"/>
        <w:jc w:val="both"/>
        <w:rPr>
          <w:rFonts w:eastAsia="Arial"/>
          <w:color w:val="000000" w:themeColor="text1"/>
          <w:lang w:val="es-ES"/>
        </w:rPr>
      </w:pPr>
    </w:p>
    <w:p w14:paraId="6823054C" w14:textId="228F345D" w:rsidR="00975A3C" w:rsidRDefault="00975A3C">
      <w:pPr>
        <w:spacing w:line="360" w:lineRule="auto"/>
        <w:jc w:val="both"/>
        <w:rPr>
          <w:rFonts w:eastAsia="Arial"/>
          <w:color w:val="000000" w:themeColor="text1"/>
          <w:lang w:val="es-ES"/>
        </w:rPr>
      </w:pPr>
    </w:p>
    <w:p w14:paraId="6AD8A202" w14:textId="13CC18D8" w:rsidR="00975A3C" w:rsidRDefault="00975A3C">
      <w:pPr>
        <w:spacing w:line="360" w:lineRule="auto"/>
        <w:jc w:val="both"/>
        <w:rPr>
          <w:rFonts w:eastAsia="Arial"/>
          <w:color w:val="000000" w:themeColor="text1"/>
          <w:lang w:val="es-ES"/>
        </w:rPr>
      </w:pPr>
    </w:p>
    <w:p w14:paraId="17E1E286" w14:textId="4FBBF02B" w:rsidR="00975A3C" w:rsidRDefault="00975A3C">
      <w:pPr>
        <w:spacing w:line="360" w:lineRule="auto"/>
        <w:jc w:val="both"/>
        <w:rPr>
          <w:rFonts w:eastAsia="Arial"/>
          <w:color w:val="000000" w:themeColor="text1"/>
          <w:lang w:val="es-ES"/>
        </w:rPr>
      </w:pPr>
    </w:p>
    <w:p w14:paraId="77F97204" w14:textId="3797FFD6" w:rsidR="00975A3C" w:rsidRDefault="00975A3C">
      <w:pPr>
        <w:spacing w:line="360" w:lineRule="auto"/>
        <w:jc w:val="both"/>
        <w:rPr>
          <w:rFonts w:eastAsia="Arial"/>
          <w:color w:val="000000" w:themeColor="text1"/>
          <w:lang w:val="es-ES"/>
        </w:rPr>
      </w:pPr>
    </w:p>
    <w:p w14:paraId="5D3E7C4C" w14:textId="41335B5B" w:rsidR="00975A3C" w:rsidRDefault="00975A3C">
      <w:pPr>
        <w:spacing w:line="360" w:lineRule="auto"/>
        <w:jc w:val="both"/>
        <w:rPr>
          <w:rFonts w:eastAsia="Arial"/>
          <w:color w:val="000000" w:themeColor="text1"/>
          <w:lang w:val="es-ES"/>
        </w:rPr>
      </w:pPr>
    </w:p>
    <w:p w14:paraId="6A44938A" w14:textId="63DCFB09" w:rsidR="00975A3C" w:rsidRDefault="00975A3C">
      <w:pPr>
        <w:spacing w:line="360" w:lineRule="auto"/>
        <w:jc w:val="both"/>
        <w:rPr>
          <w:rFonts w:eastAsia="Arial"/>
          <w:color w:val="000000" w:themeColor="text1"/>
          <w:lang w:val="es-ES"/>
        </w:rPr>
      </w:pPr>
    </w:p>
    <w:p w14:paraId="2F97634F" w14:textId="77777777" w:rsidR="00975A3C" w:rsidRPr="0079364B" w:rsidRDefault="00975A3C">
      <w:pPr>
        <w:spacing w:line="360" w:lineRule="auto"/>
        <w:jc w:val="both"/>
        <w:rPr>
          <w:rFonts w:eastAsia="Arial"/>
          <w:color w:val="000000" w:themeColor="text1"/>
          <w:lang w:val="es-ES"/>
        </w:rPr>
      </w:pPr>
    </w:p>
    <w:p w14:paraId="33EACAD9" w14:textId="77777777" w:rsidR="00191243" w:rsidRPr="001F4CEE" w:rsidRDefault="00191243" w:rsidP="00DE2367">
      <w:pPr>
        <w:spacing w:line="360" w:lineRule="auto"/>
        <w:jc w:val="both"/>
        <w:rPr>
          <w:rFonts w:ascii="Calibri" w:hAnsi="Calibri" w:cs="Calibri"/>
          <w:b/>
          <w:color w:val="000000" w:themeColor="text1"/>
          <w:sz w:val="28"/>
          <w:szCs w:val="28"/>
          <w:lang w:val="es-ES" w:eastAsia="es-ES"/>
        </w:rPr>
      </w:pPr>
      <w:r w:rsidRPr="001F4CEE">
        <w:rPr>
          <w:rFonts w:ascii="Calibri" w:hAnsi="Calibri" w:cs="Calibri"/>
          <w:b/>
          <w:color w:val="000000" w:themeColor="text1"/>
          <w:sz w:val="28"/>
          <w:szCs w:val="28"/>
          <w:lang w:val="es-ES" w:eastAsia="es-ES"/>
        </w:rPr>
        <w:lastRenderedPageBreak/>
        <w:t>Referencias</w:t>
      </w:r>
    </w:p>
    <w:p w14:paraId="243A6CCC" w14:textId="77777777" w:rsidR="002C564C" w:rsidRPr="001F4CEE" w:rsidRDefault="002C564C" w:rsidP="001F4CEE">
      <w:pPr>
        <w:spacing w:line="360" w:lineRule="auto"/>
        <w:ind w:left="851" w:hanging="851"/>
        <w:jc w:val="both"/>
        <w:rPr>
          <w:rFonts w:eastAsia="Arial"/>
        </w:rPr>
      </w:pPr>
      <w:r w:rsidRPr="001F4CEE">
        <w:rPr>
          <w:rFonts w:eastAsia="Arial"/>
        </w:rPr>
        <w:t xml:space="preserve">Aguilar-Cordero, M. J., Baena-García, L., Sánchez-López, A. M., Guisado-Barrilao, R., Hermoso-Rodríguez, E., Mur-Billar, N., Capel-Tuñón, M. (2015). Nivel de triglicéridos como factor de riesgo durante el embarazo; modelado biológico; revisión sistemática. </w:t>
      </w:r>
      <w:r w:rsidRPr="001F4CEE">
        <w:rPr>
          <w:rFonts w:eastAsia="Arial"/>
          <w:i/>
        </w:rPr>
        <w:t>Nutrición Hospitalaria</w:t>
      </w:r>
      <w:r w:rsidRPr="001F4CEE">
        <w:rPr>
          <w:rFonts w:eastAsia="Arial"/>
        </w:rPr>
        <w:t xml:space="preserve">, </w:t>
      </w:r>
      <w:r w:rsidRPr="001F4CEE">
        <w:rPr>
          <w:rFonts w:eastAsia="Arial"/>
          <w:i/>
        </w:rPr>
        <w:t>32</w:t>
      </w:r>
      <w:r w:rsidRPr="001F4CEE">
        <w:rPr>
          <w:rFonts w:eastAsia="Arial"/>
        </w:rPr>
        <w:t>(2), 217-227.</w:t>
      </w:r>
    </w:p>
    <w:p w14:paraId="74D16347" w14:textId="77777777" w:rsidR="002C564C" w:rsidRPr="001F4CEE" w:rsidRDefault="002C564C" w:rsidP="001F4CEE">
      <w:pPr>
        <w:spacing w:line="360" w:lineRule="auto"/>
        <w:ind w:left="851" w:hanging="851"/>
        <w:jc w:val="both"/>
        <w:rPr>
          <w:rStyle w:val="Hipervnculo"/>
          <w:rFonts w:eastAsia="Arial"/>
          <w:color w:val="0070C0"/>
        </w:rPr>
      </w:pPr>
      <w:r w:rsidRPr="001F4CEE">
        <w:rPr>
          <w:rFonts w:eastAsia="Arial"/>
        </w:rPr>
        <w:t xml:space="preserve">Álvarez, I., Prieto, B., Álvarez, F. (2016). Preeclampsia. </w:t>
      </w:r>
      <w:r w:rsidRPr="001F4CEE">
        <w:rPr>
          <w:rFonts w:eastAsia="Arial"/>
          <w:i/>
        </w:rPr>
        <w:t>Revista del Laboratorio Clínico, 9</w:t>
      </w:r>
      <w:r w:rsidRPr="001F4CEE">
        <w:rPr>
          <w:rFonts w:eastAsia="Arial"/>
        </w:rPr>
        <w:t xml:space="preserve">(2), 81-89. Recuperado de </w:t>
      </w:r>
      <w:r w:rsidRPr="001F4CEE">
        <w:rPr>
          <w:rFonts w:eastAsia="Arial"/>
          <w:color w:val="0070C0"/>
        </w:rPr>
        <w:t xml:space="preserve"> </w:t>
      </w:r>
      <w:r w:rsidRPr="001F4CEE">
        <w:rPr>
          <w:rFonts w:eastAsia="Arial"/>
        </w:rPr>
        <w:t>doi.10.1016/j.labcli.2016.04.002</w:t>
      </w:r>
    </w:p>
    <w:p w14:paraId="1DA20596" w14:textId="77777777" w:rsidR="002C564C" w:rsidRPr="001F4CEE" w:rsidRDefault="002C564C" w:rsidP="001F4CEE">
      <w:pPr>
        <w:spacing w:line="360" w:lineRule="auto"/>
        <w:ind w:left="851" w:hanging="851"/>
        <w:jc w:val="both"/>
        <w:rPr>
          <w:rFonts w:eastAsia="Arial"/>
        </w:rPr>
      </w:pPr>
      <w:r w:rsidRPr="001F4CEE">
        <w:rPr>
          <w:rFonts w:eastAsia="Arial"/>
        </w:rPr>
        <w:t xml:space="preserve">Carputo, R., y Barranco, M. (2013). Fisiopatología de la preeclampsia. ¿Es posible prevenirla?   </w:t>
      </w:r>
      <w:r w:rsidRPr="001F4CEE">
        <w:rPr>
          <w:rFonts w:eastAsia="Arial"/>
          <w:i/>
        </w:rPr>
        <w:t>Servicio de Obstetricia y Ginecología</w:t>
      </w:r>
      <w:r w:rsidRPr="001F4CEE">
        <w:rPr>
          <w:rFonts w:eastAsia="Arial"/>
        </w:rPr>
        <w:t>. Recuperado de: http://www.hvn.es/servicios_asistenciales/ginecologia_y_obstetricia/ficheros/actividad_docente_e_investigadora/clases_residentes/2013/clase2013_fisiopatologia_preeclampsia.pdf</w:t>
      </w:r>
    </w:p>
    <w:p w14:paraId="3B6532A8" w14:textId="505AEFCA" w:rsidR="002C564C" w:rsidRPr="001F4CEE" w:rsidRDefault="007D47FB" w:rsidP="001F4CEE">
      <w:pPr>
        <w:spacing w:line="360" w:lineRule="auto"/>
        <w:ind w:left="851" w:hanging="851"/>
        <w:jc w:val="both"/>
        <w:rPr>
          <w:rFonts w:eastAsia="Arial"/>
        </w:rPr>
      </w:pPr>
      <w:hyperlink w:history="1"/>
      <w:proofErr w:type="spellStart"/>
      <w:r w:rsidR="002C564C" w:rsidRPr="001F4CEE">
        <w:rPr>
          <w:rFonts w:eastAsia="Arial"/>
        </w:rPr>
        <w:t>Celiz</w:t>
      </w:r>
      <w:proofErr w:type="spellEnd"/>
      <w:r w:rsidR="002C564C" w:rsidRPr="001F4CEE">
        <w:rPr>
          <w:rFonts w:eastAsia="Arial"/>
        </w:rPr>
        <w:t xml:space="preserve">, A. (2016). </w:t>
      </w:r>
      <w:r w:rsidR="002C564C" w:rsidRPr="001F4CEE">
        <w:rPr>
          <w:rFonts w:eastAsia="Arial"/>
          <w:i/>
        </w:rPr>
        <w:t>Anemia materna como factor de riesgo asociado a preeclampsia en gestantes del Hospital Belen de Trujillo</w:t>
      </w:r>
      <w:r w:rsidR="002C564C" w:rsidRPr="001F4CEE">
        <w:rPr>
          <w:rFonts w:eastAsia="Arial"/>
        </w:rPr>
        <w:t xml:space="preserve">. (Tesis de Licenciatura), Universidad Privada Antenor Orrego, Perú. Recuperado </w:t>
      </w:r>
      <w:r w:rsidR="002C564C" w:rsidRPr="001F4CEE">
        <w:rPr>
          <w:rFonts w:eastAsia="Arial"/>
        </w:rPr>
        <w:tab/>
        <w:t>de http://repositorio.upao.edu.pe/bitstream/upaorep/2112/1/RE_MED.HUMA_ANITA.CELIZ_ANEMIA.MATERNA.ASOCIADO.A.PREECLAMPSIA_DATOS.PDF</w:t>
      </w:r>
    </w:p>
    <w:p w14:paraId="78729905" w14:textId="77777777" w:rsidR="002C564C" w:rsidRPr="001F4CEE" w:rsidRDefault="002C564C" w:rsidP="001F4CEE">
      <w:pPr>
        <w:spacing w:line="360" w:lineRule="auto"/>
        <w:ind w:left="851" w:hanging="851"/>
        <w:jc w:val="both"/>
        <w:rPr>
          <w:color w:val="0070C0"/>
        </w:rPr>
      </w:pPr>
      <w:r w:rsidRPr="001F4CEE">
        <w:rPr>
          <w:rFonts w:eastAsia="Arial"/>
        </w:rPr>
        <w:t xml:space="preserve">Duarte, J., Pérez, C., Espinosa, R., Eng-Castro, V., Calvo, J., Sánchez, G. y Romero, M. (2014). Relación de dislipidemias y gravedad en preeclampsia. </w:t>
      </w:r>
      <w:r w:rsidRPr="001F4CEE">
        <w:rPr>
          <w:rFonts w:eastAsia="Arial"/>
          <w:i/>
        </w:rPr>
        <w:t>Revista Médica Instituto Mexicano del  Seguro Social,</w:t>
      </w:r>
      <w:r w:rsidRPr="001F4CEE">
        <w:rPr>
          <w:rFonts w:eastAsia="Arial"/>
        </w:rPr>
        <w:t xml:space="preserve"> </w:t>
      </w:r>
      <w:r w:rsidRPr="001F4CEE">
        <w:rPr>
          <w:rFonts w:eastAsia="Arial"/>
          <w:i/>
        </w:rPr>
        <w:t>52</w:t>
      </w:r>
      <w:r w:rsidRPr="001F4CEE">
        <w:rPr>
          <w:rFonts w:eastAsia="Arial"/>
        </w:rPr>
        <w:t xml:space="preserve">(5), 516-20. </w:t>
      </w:r>
    </w:p>
    <w:p w14:paraId="79F1C0F9" w14:textId="77777777" w:rsidR="002C564C" w:rsidRPr="001F4CEE" w:rsidRDefault="002C564C" w:rsidP="001F4CEE">
      <w:pPr>
        <w:spacing w:line="360" w:lineRule="auto"/>
        <w:ind w:left="851" w:hanging="851"/>
        <w:jc w:val="both"/>
        <w:rPr>
          <w:color w:val="333333"/>
          <w:shd w:val="clear" w:color="auto" w:fill="FFFFFF"/>
        </w:rPr>
      </w:pPr>
      <w:r w:rsidRPr="001F4CEE">
        <w:rPr>
          <w:rFonts w:eastAsia="Arial"/>
          <w:lang w:val="en-US"/>
        </w:rPr>
        <w:t xml:space="preserve">Durst, J., </w:t>
      </w:r>
      <w:proofErr w:type="spellStart"/>
      <w:r w:rsidRPr="001F4CEE">
        <w:rPr>
          <w:rFonts w:eastAsia="Arial"/>
          <w:lang w:val="en-US"/>
        </w:rPr>
        <w:t>Tuuli</w:t>
      </w:r>
      <w:proofErr w:type="spellEnd"/>
      <w:r w:rsidRPr="001F4CEE">
        <w:rPr>
          <w:rFonts w:eastAsia="Arial"/>
          <w:lang w:val="en-US"/>
        </w:rPr>
        <w:t xml:space="preserve">, M., Stout, M., </w:t>
      </w:r>
      <w:proofErr w:type="spellStart"/>
      <w:r w:rsidRPr="001F4CEE">
        <w:rPr>
          <w:rFonts w:eastAsia="Arial"/>
          <w:lang w:val="en-US"/>
        </w:rPr>
        <w:t>Macones</w:t>
      </w:r>
      <w:proofErr w:type="spellEnd"/>
      <w:r w:rsidRPr="001F4CEE">
        <w:rPr>
          <w:rFonts w:eastAsia="Arial"/>
          <w:lang w:val="en-US"/>
        </w:rPr>
        <w:t xml:space="preserve">, G., Cahill, A. (2016). Degree of obesity at delivery and risk of preeclampsia with severe features. </w:t>
      </w:r>
      <w:r w:rsidRPr="001F4CEE">
        <w:rPr>
          <w:rFonts w:eastAsia="Arial"/>
          <w:i/>
        </w:rPr>
        <w:t>Am J Obstet Gynecol</w:t>
      </w:r>
      <w:r w:rsidRPr="001F4CEE">
        <w:rPr>
          <w:rFonts w:eastAsia="Arial"/>
        </w:rPr>
        <w:t xml:space="preserve">, </w:t>
      </w:r>
      <w:r w:rsidRPr="001F4CEE">
        <w:rPr>
          <w:rFonts w:eastAsia="Arial"/>
          <w:i/>
        </w:rPr>
        <w:t>214</w:t>
      </w:r>
      <w:r w:rsidRPr="001F4CEE">
        <w:rPr>
          <w:rFonts w:eastAsia="Arial"/>
        </w:rPr>
        <w:t xml:space="preserve">(5), </w:t>
      </w:r>
      <w:r w:rsidRPr="001F4CEE">
        <w:rPr>
          <w:color w:val="000000"/>
          <w:shd w:val="clear" w:color="auto" w:fill="FFFFFF"/>
        </w:rPr>
        <w:t>651.</w:t>
      </w:r>
      <w:r w:rsidRPr="001F4CEE">
        <w:rPr>
          <w:rFonts w:eastAsia="Arial"/>
        </w:rPr>
        <w:t xml:space="preserve"> </w:t>
      </w:r>
      <w:r w:rsidRPr="001F4CEE">
        <w:rPr>
          <w:color w:val="333333"/>
          <w:shd w:val="clear" w:color="auto" w:fill="FFFFFF"/>
        </w:rPr>
        <w:t> </w:t>
      </w:r>
    </w:p>
    <w:p w14:paraId="34A65E9E" w14:textId="7FE6F931" w:rsidR="000672D1" w:rsidRPr="001F4CEE" w:rsidRDefault="002C564C" w:rsidP="001F4CEE">
      <w:pPr>
        <w:spacing w:line="360" w:lineRule="auto"/>
        <w:ind w:left="851" w:hanging="851"/>
        <w:jc w:val="both"/>
        <w:rPr>
          <w:rFonts w:eastAsia="Arial"/>
        </w:rPr>
      </w:pPr>
      <w:r w:rsidRPr="001F4CEE">
        <w:rPr>
          <w:rFonts w:eastAsia="Arial"/>
        </w:rPr>
        <w:t xml:space="preserve">Gutiérrez, E. (2017). </w:t>
      </w:r>
      <w:r w:rsidRPr="001F4CEE">
        <w:rPr>
          <w:rFonts w:eastAsia="Arial"/>
          <w:i/>
        </w:rPr>
        <w:t>Factores de riesgo asociados a preeclampsia de inicio tardío en el servicio de gineco-obstetricia del Hospital Nacional Daniel A. Carrión Enero 2014 – Diciembre 2015.</w:t>
      </w:r>
      <w:r w:rsidRPr="001F4CEE">
        <w:rPr>
          <w:rFonts w:eastAsia="Arial"/>
        </w:rPr>
        <w:t xml:space="preserve"> (Tesis de licenciatura no publicada) Universidad Ricardo Palma, Lima, Perú. Recuperado </w:t>
      </w:r>
      <w:r w:rsidRPr="001F4CEE">
        <w:rPr>
          <w:rFonts w:eastAsia="Arial"/>
        </w:rPr>
        <w:tab/>
        <w:t xml:space="preserve">de </w:t>
      </w:r>
      <w:r w:rsidRPr="001F4CEE">
        <w:rPr>
          <w:rStyle w:val="CdigoHTML"/>
          <w:rFonts w:ascii="Times New Roman" w:hAnsi="Times New Roman" w:cs="Times New Roman"/>
          <w:bCs/>
          <w:color w:val="000000"/>
          <w:sz w:val="24"/>
          <w:szCs w:val="24"/>
        </w:rPr>
        <w:t>http://cybertesis.urp.edu.pe/handle/urp/882</w:t>
      </w:r>
    </w:p>
    <w:p w14:paraId="4E8F0A6B" w14:textId="3C6BF210" w:rsidR="002C564C" w:rsidRPr="001F4CEE" w:rsidRDefault="007D47FB" w:rsidP="001F4CEE">
      <w:pPr>
        <w:spacing w:line="360" w:lineRule="auto"/>
        <w:ind w:left="851" w:hanging="851"/>
        <w:jc w:val="both"/>
        <w:rPr>
          <w:rStyle w:val="Hipervnculo"/>
          <w:color w:val="0070C0"/>
        </w:rPr>
      </w:pPr>
      <w:hyperlink w:history="1"/>
      <w:r w:rsidR="002C564C" w:rsidRPr="001F4CEE">
        <w:rPr>
          <w:rFonts w:eastAsia="Arial"/>
        </w:rPr>
        <w:t xml:space="preserve">Herrera, J., Garay, G., Adaya, E., Camacho, R., Garduño, A., Nava P. (2010). Riesgo de dislipidemia en pacientes que han sufrido preeclampsia. </w:t>
      </w:r>
      <w:r w:rsidR="002C564C" w:rsidRPr="001F4CEE">
        <w:rPr>
          <w:rFonts w:eastAsia="Arial"/>
          <w:i/>
        </w:rPr>
        <w:t>Arch Inv Mat Inf,</w:t>
      </w:r>
      <w:r w:rsidR="002C564C" w:rsidRPr="001F4CEE">
        <w:rPr>
          <w:rFonts w:eastAsia="Arial"/>
        </w:rPr>
        <w:t xml:space="preserve"> </w:t>
      </w:r>
      <w:r w:rsidR="002C564C" w:rsidRPr="001F4CEE">
        <w:rPr>
          <w:rFonts w:eastAsia="Arial"/>
          <w:i/>
        </w:rPr>
        <w:t>2</w:t>
      </w:r>
      <w:r w:rsidR="002C564C" w:rsidRPr="001F4CEE">
        <w:rPr>
          <w:rFonts w:eastAsia="Arial"/>
        </w:rPr>
        <w:t>(2), 67-70.</w:t>
      </w:r>
      <w:r w:rsidR="002C564C" w:rsidRPr="001F4CEE">
        <w:rPr>
          <w:color w:val="0D0D0D" w:themeColor="text1" w:themeTint="F2"/>
        </w:rPr>
        <w:t xml:space="preserve"> </w:t>
      </w:r>
    </w:p>
    <w:p w14:paraId="5E0BC993" w14:textId="75D33B83" w:rsidR="002C564C" w:rsidRPr="00EB404E" w:rsidRDefault="002C564C" w:rsidP="00EB404E">
      <w:pPr>
        <w:spacing w:line="360" w:lineRule="auto"/>
        <w:ind w:left="851" w:hanging="851"/>
        <w:jc w:val="both"/>
        <w:rPr>
          <w:bCs/>
          <w:color w:val="000000"/>
        </w:rPr>
      </w:pPr>
      <w:r w:rsidRPr="001F4CEE">
        <w:t>Huapalla, R. R. (2017).</w:t>
      </w:r>
      <w:r w:rsidRPr="001F4CEE">
        <w:rPr>
          <w:i/>
        </w:rPr>
        <w:t xml:space="preserve"> Extremos de la vida reproductiva como factor de riesgo para desarrollar preeclampsia en gestantes del servicio de gineco-obstetricia del Hospital Nacional </w:t>
      </w:r>
      <w:r w:rsidRPr="001F4CEE">
        <w:rPr>
          <w:i/>
        </w:rPr>
        <w:lastRenderedPageBreak/>
        <w:t>Hipólito Unanue en el 2015.</w:t>
      </w:r>
      <w:r w:rsidRPr="001F4CEE">
        <w:t xml:space="preserve"> (Tesis de licenciatura no publicada), Universidad Ricardo Palma,  Lima, Perú. Recuperado de </w:t>
      </w:r>
      <w:r w:rsidRPr="001F4CEE">
        <w:rPr>
          <w:rStyle w:val="CdigoHTML"/>
          <w:rFonts w:ascii="Times New Roman" w:hAnsi="Times New Roman" w:cs="Times New Roman"/>
          <w:bCs/>
          <w:color w:val="000000"/>
          <w:sz w:val="24"/>
          <w:szCs w:val="24"/>
        </w:rPr>
        <w:t>http://cybertesis.urp.edu.pe/handle/urp/941</w:t>
      </w:r>
    </w:p>
    <w:p w14:paraId="68825C3A" w14:textId="77777777" w:rsidR="002C564C" w:rsidRPr="00471347" w:rsidRDefault="007D47FB" w:rsidP="001F4CEE">
      <w:pPr>
        <w:spacing w:line="360" w:lineRule="auto"/>
        <w:ind w:left="851" w:hanging="851"/>
        <w:jc w:val="both"/>
        <w:rPr>
          <w:shd w:val="clear" w:color="auto" w:fill="FFFFFF"/>
          <w:lang w:val="en-US"/>
        </w:rPr>
      </w:pPr>
      <w:hyperlink r:id="rId12" w:history="1">
        <w:proofErr w:type="spellStart"/>
        <w:r w:rsidR="002C564C" w:rsidRPr="007F6970">
          <w:rPr>
            <w:rStyle w:val="Hipervnculo"/>
            <w:color w:val="0D0D0D" w:themeColor="text1" w:themeTint="F2"/>
            <w:u w:val="none"/>
            <w:lang w:val="en-US"/>
          </w:rPr>
          <w:t>Jadli</w:t>
        </w:r>
        <w:proofErr w:type="spellEnd"/>
      </w:hyperlink>
      <w:r w:rsidR="002C564C" w:rsidRPr="007F6970">
        <w:rPr>
          <w:color w:val="0D0D0D" w:themeColor="text1" w:themeTint="F2"/>
          <w:lang w:val="en-US"/>
        </w:rPr>
        <w:t xml:space="preserve">, A., Sharma, N., </w:t>
      </w:r>
      <w:proofErr w:type="spellStart"/>
      <w:r w:rsidR="002C564C" w:rsidRPr="007F6970">
        <w:rPr>
          <w:color w:val="0D0D0D" w:themeColor="text1" w:themeTint="F2"/>
          <w:lang w:val="en-US"/>
        </w:rPr>
        <w:t>Damania</w:t>
      </w:r>
      <w:proofErr w:type="spellEnd"/>
      <w:r w:rsidR="002C564C" w:rsidRPr="007F6970">
        <w:rPr>
          <w:color w:val="0D0D0D" w:themeColor="text1" w:themeTint="F2"/>
          <w:lang w:val="en-US"/>
        </w:rPr>
        <w:t xml:space="preserve">, K., </w:t>
      </w:r>
      <w:proofErr w:type="spellStart"/>
      <w:r w:rsidR="002C564C" w:rsidRPr="007F6970">
        <w:rPr>
          <w:color w:val="0D0D0D" w:themeColor="text1" w:themeTint="F2"/>
          <w:lang w:val="en-US"/>
        </w:rPr>
        <w:t>Satoskar</w:t>
      </w:r>
      <w:proofErr w:type="spellEnd"/>
      <w:r w:rsidR="002C564C" w:rsidRPr="007F6970">
        <w:rPr>
          <w:color w:val="0D0D0D" w:themeColor="text1" w:themeTint="F2"/>
          <w:lang w:val="en-US"/>
        </w:rPr>
        <w:t xml:space="preserve">, P., Bansal, V., Ghosh, K., Shetty, S. (2015). </w:t>
      </w:r>
      <w:r w:rsidR="002C564C" w:rsidRPr="001F4CEE">
        <w:rPr>
          <w:color w:val="0D0D0D" w:themeColor="text1" w:themeTint="F2"/>
          <w:lang w:val="en-US"/>
        </w:rPr>
        <w:t xml:space="preserve">Promising prognostic markers of preeclampsia: New avenues in waiting. </w:t>
      </w:r>
      <w:r w:rsidR="002C564C" w:rsidRPr="001F4CEE">
        <w:rPr>
          <w:i/>
          <w:color w:val="0D0D0D" w:themeColor="text1" w:themeTint="F2"/>
          <w:lang w:val="en-US"/>
        </w:rPr>
        <w:t>Thrombosis research</w:t>
      </w:r>
      <w:r w:rsidR="002C564C" w:rsidRPr="001F4CEE">
        <w:rPr>
          <w:color w:val="0D0D0D" w:themeColor="text1" w:themeTint="F2"/>
          <w:lang w:val="en-US"/>
        </w:rPr>
        <w:t xml:space="preserve">, </w:t>
      </w:r>
      <w:r w:rsidR="002C564C" w:rsidRPr="001F4CEE">
        <w:rPr>
          <w:i/>
          <w:color w:val="0D0D0D" w:themeColor="text1" w:themeTint="F2"/>
          <w:lang w:val="en-US"/>
        </w:rPr>
        <w:t>136</w:t>
      </w:r>
      <w:r w:rsidR="002C564C" w:rsidRPr="001F4CEE">
        <w:rPr>
          <w:color w:val="0D0D0D" w:themeColor="text1" w:themeTint="F2"/>
          <w:lang w:val="en-US"/>
        </w:rPr>
        <w:t xml:space="preserve">(2), 189-195.  </w:t>
      </w:r>
    </w:p>
    <w:p w14:paraId="5060F22E" w14:textId="77777777" w:rsidR="002C564C" w:rsidRPr="001F4CEE" w:rsidRDefault="002C564C" w:rsidP="001F4CEE">
      <w:pPr>
        <w:spacing w:line="360" w:lineRule="auto"/>
        <w:ind w:left="851" w:hanging="851"/>
        <w:jc w:val="both"/>
        <w:rPr>
          <w:rStyle w:val="Hipervnculo"/>
          <w:color w:val="0070C0"/>
          <w:shd w:val="clear" w:color="auto" w:fill="FFFFFF"/>
          <w:lang w:val="en-US"/>
        </w:rPr>
      </w:pPr>
      <w:r w:rsidRPr="001F4CEE">
        <w:t xml:space="preserve">Jwa, S. C., Fujiwara, t., Hata, A., Arata, N., Sago, H. Ohya, Y. (2013). </w:t>
      </w:r>
      <w:r w:rsidRPr="001F4CEE">
        <w:rPr>
          <w:lang w:val="en-US"/>
        </w:rPr>
        <w:t xml:space="preserve">BMI mediates the association between low educational level and higher blood pressure during pregnancy in Japan. </w:t>
      </w:r>
      <w:r w:rsidRPr="001F4CEE">
        <w:rPr>
          <w:i/>
          <w:lang w:val="en-US"/>
        </w:rPr>
        <w:t>BMC Public Health,</w:t>
      </w:r>
      <w:r w:rsidRPr="001F4CEE">
        <w:rPr>
          <w:lang w:val="en-US"/>
        </w:rPr>
        <w:t xml:space="preserve"> </w:t>
      </w:r>
      <w:r w:rsidRPr="001F4CEE">
        <w:rPr>
          <w:i/>
          <w:lang w:val="en-US"/>
        </w:rPr>
        <w:t>13</w:t>
      </w:r>
      <w:r w:rsidRPr="001F4CEE">
        <w:rPr>
          <w:lang w:val="en-US"/>
        </w:rPr>
        <w:t xml:space="preserve">(389), 1-9. </w:t>
      </w:r>
    </w:p>
    <w:p w14:paraId="0F40EDE8" w14:textId="77777777" w:rsidR="002C564C" w:rsidRPr="001F4CEE" w:rsidRDefault="002C564C" w:rsidP="001F4CEE">
      <w:pPr>
        <w:spacing w:line="360" w:lineRule="auto"/>
        <w:ind w:left="851" w:hanging="851"/>
        <w:jc w:val="both"/>
        <w:rPr>
          <w:rFonts w:eastAsia="Arial"/>
        </w:rPr>
      </w:pPr>
      <w:r w:rsidRPr="001F4CEE">
        <w:rPr>
          <w:rFonts w:eastAsia="Arial"/>
          <w:lang w:val="en-US"/>
        </w:rPr>
        <w:t xml:space="preserve">López, M., </w:t>
      </w:r>
      <w:proofErr w:type="spellStart"/>
      <w:r w:rsidRPr="001F4CEE">
        <w:rPr>
          <w:rFonts w:eastAsia="Arial"/>
          <w:lang w:val="en-US"/>
        </w:rPr>
        <w:t>Manríquez</w:t>
      </w:r>
      <w:proofErr w:type="spellEnd"/>
      <w:r w:rsidRPr="001F4CEE">
        <w:rPr>
          <w:rFonts w:eastAsia="Arial"/>
          <w:lang w:val="en-US"/>
        </w:rPr>
        <w:t xml:space="preserve">, M., </w:t>
      </w:r>
      <w:proofErr w:type="spellStart"/>
      <w:r w:rsidRPr="001F4CEE">
        <w:rPr>
          <w:rFonts w:eastAsia="Arial"/>
          <w:lang w:val="en-US"/>
        </w:rPr>
        <w:t>Gálvez</w:t>
      </w:r>
      <w:proofErr w:type="spellEnd"/>
      <w:r w:rsidRPr="001F4CEE">
        <w:rPr>
          <w:rFonts w:eastAsia="Arial"/>
          <w:lang w:val="en-US"/>
        </w:rPr>
        <w:t xml:space="preserve">, D., Ramírez, E. (2012). </w:t>
      </w:r>
      <w:r w:rsidRPr="001F4CEE">
        <w:rPr>
          <w:rFonts w:eastAsia="Arial"/>
        </w:rPr>
        <w:t xml:space="preserve">Factores de riesgo asociados con preeclampsia. </w:t>
      </w:r>
      <w:r w:rsidRPr="001F4CEE">
        <w:rPr>
          <w:rFonts w:eastAsia="Arial"/>
          <w:i/>
        </w:rPr>
        <w:t>Revista Médica del Seguro Social</w:t>
      </w:r>
      <w:r w:rsidRPr="001F4CEE">
        <w:rPr>
          <w:rFonts w:eastAsia="Arial"/>
        </w:rPr>
        <w:t xml:space="preserve">, </w:t>
      </w:r>
      <w:r w:rsidRPr="001F4CEE">
        <w:rPr>
          <w:rFonts w:eastAsia="Arial"/>
          <w:i/>
        </w:rPr>
        <w:t>50</w:t>
      </w:r>
      <w:r w:rsidRPr="001F4CEE">
        <w:rPr>
          <w:rFonts w:eastAsia="Arial"/>
        </w:rPr>
        <w:t xml:space="preserve">(5), 471-476. Recuperado de </w:t>
      </w:r>
      <w:r w:rsidRPr="001F4CEE">
        <w:t>http://www.redalyc.org/articulo.oa?id=457745497004</w:t>
      </w:r>
    </w:p>
    <w:p w14:paraId="55C53628" w14:textId="77777777" w:rsidR="00765197" w:rsidRPr="001F4CEE" w:rsidRDefault="00765197" w:rsidP="001F4CEE">
      <w:pPr>
        <w:spacing w:line="360" w:lineRule="auto"/>
        <w:ind w:left="851" w:hanging="851"/>
        <w:jc w:val="both"/>
        <w:rPr>
          <w:rFonts w:eastAsia="Arial"/>
          <w:color w:val="0D0D0D"/>
        </w:rPr>
      </w:pPr>
      <w:r w:rsidRPr="001F4CEE">
        <w:rPr>
          <w:rFonts w:eastAsia="Arial"/>
        </w:rPr>
        <w:t xml:space="preserve">Miguel, P., Salinas, L., Corella, I. (2013). </w:t>
      </w:r>
      <w:r w:rsidRPr="001F4CEE">
        <w:rPr>
          <w:rFonts w:eastAsia="Arial"/>
          <w:color w:val="0D0D0D"/>
        </w:rPr>
        <w:t>Dislipidemia en el síndrome de preeclampsia.</w:t>
      </w:r>
      <w:r w:rsidRPr="001F4CEE">
        <w:rPr>
          <w:rFonts w:eastAsia="Arial"/>
          <w:i/>
          <w:color w:val="0D0D0D"/>
        </w:rPr>
        <w:t xml:space="preserve"> Corsalud</w:t>
      </w:r>
      <w:r w:rsidRPr="001F4CEE">
        <w:rPr>
          <w:rFonts w:eastAsia="Arial"/>
          <w:color w:val="0D0D0D"/>
        </w:rPr>
        <w:t xml:space="preserve">, </w:t>
      </w:r>
      <w:r w:rsidRPr="001F4CEE">
        <w:rPr>
          <w:rFonts w:eastAsia="Arial"/>
          <w:i/>
          <w:color w:val="0D0D0D"/>
        </w:rPr>
        <w:t>5</w:t>
      </w:r>
      <w:r w:rsidRPr="001F4CEE">
        <w:rPr>
          <w:rFonts w:eastAsia="Arial"/>
          <w:color w:val="0D0D0D"/>
        </w:rPr>
        <w:t>(2), 221-225. Recuperado de http://www.medigraphic.com/pdfs/corsalud/cor-2013/cor132o.pdf</w:t>
      </w:r>
    </w:p>
    <w:p w14:paraId="7675CCA6" w14:textId="62E7EB07" w:rsidR="00765197" w:rsidRPr="001F4CEE" w:rsidRDefault="007D47FB" w:rsidP="001F4CEE">
      <w:pPr>
        <w:spacing w:line="360" w:lineRule="auto"/>
        <w:ind w:left="851" w:hanging="851"/>
        <w:jc w:val="both"/>
        <w:rPr>
          <w:rFonts w:eastAsia="Arial"/>
          <w:color w:val="0D0D0D"/>
        </w:rPr>
      </w:pPr>
      <w:hyperlink w:history="1"/>
      <w:r w:rsidR="00765197" w:rsidRPr="001F4CEE">
        <w:rPr>
          <w:rFonts w:eastAsia="Arial"/>
          <w:color w:val="0D0D0D"/>
          <w:lang w:val="en-US"/>
        </w:rPr>
        <w:t xml:space="preserve">Myers, J. E. (2017). </w:t>
      </w:r>
      <w:r w:rsidR="00765197" w:rsidRPr="001F4CEE">
        <w:rPr>
          <w:bCs/>
          <w:color w:val="000000"/>
          <w:lang w:val="en-US"/>
        </w:rPr>
        <w:t xml:space="preserve">What are the metabolic precursors which increase the risk of pre-eclampsia and how could these be investigated further. </w:t>
      </w:r>
      <w:r w:rsidR="00765197" w:rsidRPr="001F4CEE">
        <w:rPr>
          <w:bCs/>
          <w:i/>
          <w:color w:val="000000"/>
        </w:rPr>
        <w:t>Placenta</w:t>
      </w:r>
      <w:r w:rsidR="00765197" w:rsidRPr="001F4CEE">
        <w:rPr>
          <w:bCs/>
          <w:color w:val="000000"/>
        </w:rPr>
        <w:t xml:space="preserve">, </w:t>
      </w:r>
      <w:r w:rsidR="00765197" w:rsidRPr="001F4CEE">
        <w:rPr>
          <w:bCs/>
          <w:i/>
          <w:color w:val="000000"/>
        </w:rPr>
        <w:t>60</w:t>
      </w:r>
      <w:r w:rsidR="00765197" w:rsidRPr="001F4CEE">
        <w:rPr>
          <w:bCs/>
          <w:color w:val="000000"/>
        </w:rPr>
        <w:t xml:space="preserve">, 110-114 . </w:t>
      </w:r>
    </w:p>
    <w:p w14:paraId="7403B6A0" w14:textId="77777777" w:rsidR="00765197" w:rsidRPr="001F4CEE" w:rsidRDefault="00765197" w:rsidP="001F4CEE">
      <w:pPr>
        <w:spacing w:line="360" w:lineRule="auto"/>
        <w:ind w:left="851" w:right="-235" w:hanging="851"/>
        <w:jc w:val="both"/>
      </w:pPr>
      <w:r w:rsidRPr="001F4CEE">
        <w:rPr>
          <w:rFonts w:eastAsia="Arial"/>
        </w:rPr>
        <w:t xml:space="preserve">Natorce, C. J. (2015). </w:t>
      </w:r>
      <w:r w:rsidRPr="001F4CEE">
        <w:rPr>
          <w:rFonts w:eastAsia="Arial"/>
          <w:i/>
        </w:rPr>
        <w:t>R</w:t>
      </w:r>
      <w:r w:rsidRPr="001F4CEE">
        <w:rPr>
          <w:i/>
        </w:rPr>
        <w:t>elación del índice de masa corporal con hipertensión inducida por la gestación en pacientes atendidas en el Hospital Regional de Loreto, durante el año 2014</w:t>
      </w:r>
      <w:r w:rsidRPr="001F4CEE">
        <w:rPr>
          <w:rFonts w:eastAsia="Arial"/>
          <w:i/>
        </w:rPr>
        <w:t>.</w:t>
      </w:r>
      <w:r w:rsidRPr="001F4CEE">
        <w:rPr>
          <w:rFonts w:eastAsia="Arial"/>
        </w:rPr>
        <w:t xml:space="preserve"> (</w:t>
      </w:r>
      <w:r w:rsidRPr="001F4CEE">
        <w:t>Tesis de Licenciatura no publicada), Universidad Nacional de la Amazonia Peruana, Iquitos, Perú. Recuperado de http://repositorio.unapiquitos.edu.pe/handle/UNAP/3953</w:t>
      </w:r>
    </w:p>
    <w:p w14:paraId="5A7E2505" w14:textId="77777777" w:rsidR="00765197" w:rsidRPr="001F4CEE" w:rsidRDefault="00765197" w:rsidP="001F4CEE">
      <w:pPr>
        <w:spacing w:line="360" w:lineRule="auto"/>
        <w:ind w:left="851" w:hanging="851"/>
        <w:jc w:val="both"/>
        <w:rPr>
          <w:rFonts w:eastAsia="Arial"/>
        </w:rPr>
      </w:pPr>
      <w:r w:rsidRPr="001F4CEE">
        <w:rPr>
          <w:rFonts w:eastAsia="Arial"/>
        </w:rPr>
        <w:t xml:space="preserve">Sánchez, E., Nava, S., Morán, C., Romero, J., y Cerbón, M. (2010). Estado actual de la preeclampsia en México: De lo epidemiológico a sus mecanismos moleculares. </w:t>
      </w:r>
      <w:r w:rsidRPr="001F4CEE">
        <w:rPr>
          <w:rFonts w:eastAsia="Arial"/>
          <w:i/>
        </w:rPr>
        <w:t>Revista de Investigación Clínica,</w:t>
      </w:r>
      <w:r w:rsidRPr="001F4CEE">
        <w:rPr>
          <w:rFonts w:eastAsia="Arial"/>
        </w:rPr>
        <w:t xml:space="preserve"> </w:t>
      </w:r>
      <w:r w:rsidRPr="001F4CEE">
        <w:rPr>
          <w:rFonts w:eastAsia="Arial"/>
          <w:i/>
        </w:rPr>
        <w:t>62</w:t>
      </w:r>
      <w:r w:rsidRPr="001F4CEE">
        <w:rPr>
          <w:rFonts w:eastAsia="Arial"/>
        </w:rPr>
        <w:t xml:space="preserve">(3), 252-260. </w:t>
      </w:r>
    </w:p>
    <w:p w14:paraId="6470C07D" w14:textId="77777777" w:rsidR="00765197" w:rsidRPr="001F4CEE" w:rsidRDefault="00765197" w:rsidP="001F4CEE">
      <w:pPr>
        <w:spacing w:line="360" w:lineRule="auto"/>
        <w:ind w:left="851" w:hanging="851"/>
        <w:jc w:val="both"/>
        <w:rPr>
          <w:rFonts w:eastAsia="Arial"/>
          <w:color w:val="0D0D0D"/>
        </w:rPr>
      </w:pPr>
      <w:r w:rsidRPr="001F4CEE">
        <w:rPr>
          <w:rFonts w:eastAsia="Arial"/>
          <w:color w:val="0D0D0D"/>
        </w:rPr>
        <w:t xml:space="preserve">Sánchez, M. (2009). </w:t>
      </w:r>
      <w:r w:rsidRPr="001F4CEE">
        <w:rPr>
          <w:rFonts w:eastAsia="Arial"/>
          <w:i/>
        </w:rPr>
        <w:t>Factores de riesgo para preeclampsia-eclampsia en mujeres atendidas en el Hospital Provincial General de Latacunga en el período comprendido entre Enero 2008 a Enero 2009.</w:t>
      </w:r>
      <w:r w:rsidRPr="001F4CEE">
        <w:rPr>
          <w:rFonts w:eastAsia="Arial"/>
        </w:rPr>
        <w:t xml:space="preserve"> (</w:t>
      </w:r>
      <w:r w:rsidRPr="001F4CEE">
        <w:rPr>
          <w:rFonts w:eastAsia="Arial"/>
          <w:color w:val="0D0D0D"/>
        </w:rPr>
        <w:t>Tesis de licenciatura no publicada), Escuela Superior Politécnica de Chimborazo, Riobamba, Ecuador. Recuperado de http://dspace.espoch.edu.ec/bitstream/123</w:t>
      </w:r>
      <w:bookmarkStart w:id="0" w:name="_GoBack"/>
      <w:bookmarkEnd w:id="0"/>
      <w:r w:rsidRPr="001F4CEE">
        <w:rPr>
          <w:rFonts w:eastAsia="Arial"/>
          <w:color w:val="0D0D0D"/>
        </w:rPr>
        <w:t xml:space="preserve">456789/192/1/94T00062.pdf </w:t>
      </w:r>
    </w:p>
    <w:p w14:paraId="40CBCD61" w14:textId="47B8D47A" w:rsidR="00765197" w:rsidRPr="00EB404E" w:rsidRDefault="00765197" w:rsidP="00EB404E">
      <w:pPr>
        <w:spacing w:line="360" w:lineRule="auto"/>
        <w:ind w:left="851" w:hanging="851"/>
        <w:jc w:val="both"/>
        <w:rPr>
          <w:rFonts w:eastAsia="Arial"/>
          <w:lang w:val="en-US"/>
        </w:rPr>
      </w:pPr>
      <w:r w:rsidRPr="00471347">
        <w:rPr>
          <w:rFonts w:eastAsia="Arial"/>
        </w:rPr>
        <w:t xml:space="preserve">Schmidt, G. B., Christensen M., Knudsen U. B. (2017).  </w:t>
      </w:r>
      <w:r w:rsidRPr="001F4CEE">
        <w:rPr>
          <w:rFonts w:eastAsia="Arial"/>
          <w:lang w:val="en-US"/>
        </w:rPr>
        <w:t xml:space="preserve">Preeclampsia and later cardiovascular disease – What do national guidelines recommend? </w:t>
      </w:r>
      <w:r w:rsidRPr="001F4CEE">
        <w:rPr>
          <w:rFonts w:eastAsia="Arial"/>
          <w:i/>
          <w:lang w:val="en-US"/>
        </w:rPr>
        <w:t>Pregnancy Hypertension</w:t>
      </w:r>
      <w:r w:rsidRPr="001F4CEE">
        <w:rPr>
          <w:rFonts w:eastAsia="Arial"/>
          <w:lang w:val="en-US"/>
        </w:rPr>
        <w:t xml:space="preserve">, </w:t>
      </w:r>
      <w:r w:rsidRPr="001F4CEE">
        <w:rPr>
          <w:rFonts w:eastAsia="Arial"/>
          <w:i/>
          <w:lang w:val="en-US"/>
        </w:rPr>
        <w:t>10</w:t>
      </w:r>
      <w:r w:rsidRPr="001F4CEE">
        <w:rPr>
          <w:rFonts w:eastAsia="Arial"/>
          <w:lang w:val="en-US"/>
        </w:rPr>
        <w:t xml:space="preserve">, 14-17. </w:t>
      </w:r>
    </w:p>
    <w:p w14:paraId="04E5A683" w14:textId="77777777" w:rsidR="00EB404E" w:rsidRDefault="00765197" w:rsidP="001F4CEE">
      <w:pPr>
        <w:spacing w:line="360" w:lineRule="auto"/>
        <w:ind w:left="851" w:hanging="851"/>
        <w:jc w:val="both"/>
      </w:pPr>
      <w:r w:rsidRPr="001F4CEE">
        <w:rPr>
          <w:lang w:val="en-US"/>
        </w:rPr>
        <w:lastRenderedPageBreak/>
        <w:t xml:space="preserve">Seely, E. W., </w:t>
      </w:r>
      <w:proofErr w:type="spellStart"/>
      <w:r w:rsidRPr="001F4CEE">
        <w:rPr>
          <w:lang w:val="en-US"/>
        </w:rPr>
        <w:t>Tsigas</w:t>
      </w:r>
      <w:proofErr w:type="spellEnd"/>
      <w:r w:rsidRPr="001F4CEE">
        <w:rPr>
          <w:lang w:val="en-US"/>
        </w:rPr>
        <w:t xml:space="preserve">, E., Rich, J. W. (2015).  Preeclampsia and future cardiovascular disease in women: How good are the data and how can we manage our patients? </w:t>
      </w:r>
      <w:r w:rsidRPr="001F4CEE">
        <w:rPr>
          <w:i/>
        </w:rPr>
        <w:t>SciencieDirect,</w:t>
      </w:r>
      <w:r w:rsidRPr="001F4CEE">
        <w:t xml:space="preserve"> </w:t>
      </w:r>
      <w:r w:rsidRPr="001F4CEE">
        <w:rPr>
          <w:i/>
        </w:rPr>
        <w:t>39</w:t>
      </w:r>
      <w:r w:rsidRPr="001F4CEE">
        <w:t xml:space="preserve"> (4), 276-283. </w:t>
      </w:r>
    </w:p>
    <w:p w14:paraId="42A9FBAA" w14:textId="18BC250A" w:rsidR="00F55FAA" w:rsidRPr="001F4CEE" w:rsidRDefault="00765197" w:rsidP="001F4CEE">
      <w:pPr>
        <w:spacing w:line="360" w:lineRule="auto"/>
        <w:ind w:left="851" w:hanging="851"/>
        <w:jc w:val="both"/>
        <w:rPr>
          <w:color w:val="0070C0"/>
        </w:rPr>
      </w:pPr>
      <w:r w:rsidRPr="001F4CEE">
        <w:rPr>
          <w:bCs/>
          <w:color w:val="000000"/>
          <w:shd w:val="clear" w:color="auto" w:fill="FFFFFF"/>
        </w:rPr>
        <w:t xml:space="preserve">Suárez, J.A., Gutiérrez, M., Cairo, V., Marín, Y., Rodríguez, L., Veítia, M. (2014). Preeclampsia anterior como factor de riesgo en el embarazo actual. </w:t>
      </w:r>
      <w:r w:rsidRPr="001F4CEE">
        <w:rPr>
          <w:i/>
          <w:color w:val="000000"/>
          <w:shd w:val="clear" w:color="auto" w:fill="FFFFFF"/>
        </w:rPr>
        <w:t xml:space="preserve">Revista Cubana de Ginecología y Obstetricia, </w:t>
      </w:r>
      <w:r w:rsidRPr="001F4CEE">
        <w:rPr>
          <w:i/>
        </w:rPr>
        <w:t>40</w:t>
      </w:r>
      <w:r w:rsidRPr="001F4CEE">
        <w:t xml:space="preserve">(4), 368-377. </w:t>
      </w:r>
    </w:p>
    <w:p w14:paraId="407DB7E8" w14:textId="1ED5B522" w:rsidR="00F55FAA" w:rsidRPr="001F4CEE" w:rsidRDefault="00765197" w:rsidP="001F4CEE">
      <w:pPr>
        <w:spacing w:line="360" w:lineRule="auto"/>
        <w:ind w:left="851" w:hanging="851"/>
        <w:jc w:val="both"/>
        <w:rPr>
          <w:shd w:val="clear" w:color="auto" w:fill="FFFFFF"/>
        </w:rPr>
      </w:pPr>
      <w:r w:rsidRPr="001F4CEE">
        <w:rPr>
          <w:rFonts w:eastAsia="Arial"/>
        </w:rPr>
        <w:t xml:space="preserve">Torres, S. (2016). Factores de riesgo para preeclampsia en un hospital de la amazonia peruana. </w:t>
      </w:r>
      <w:r w:rsidRPr="001F4CEE">
        <w:rPr>
          <w:rFonts w:eastAsia="Arial"/>
          <w:i/>
        </w:rPr>
        <w:t>Casus</w:t>
      </w:r>
      <w:r w:rsidRPr="001F4CEE">
        <w:rPr>
          <w:rFonts w:eastAsia="Arial"/>
        </w:rPr>
        <w:t xml:space="preserve">, </w:t>
      </w:r>
      <w:r w:rsidRPr="001F4CEE">
        <w:rPr>
          <w:rFonts w:eastAsia="Arial"/>
          <w:i/>
        </w:rPr>
        <w:t>1</w:t>
      </w:r>
      <w:r w:rsidRPr="001F4CEE">
        <w:rPr>
          <w:rFonts w:eastAsia="Arial"/>
        </w:rPr>
        <w:t xml:space="preserve">(1), 18-26. Recuperado de </w:t>
      </w:r>
      <w:hyperlink r:id="rId13" w:history="1">
        <w:r w:rsidRPr="001F4CEE">
          <w:rPr>
            <w:rStyle w:val="Hipervnculo"/>
            <w:shd w:val="clear" w:color="auto" w:fill="FFFFFF"/>
          </w:rPr>
          <w:t>http://casus.ucss.edu.pe/index.php/casus/article/view/11</w:t>
        </w:r>
      </w:hyperlink>
    </w:p>
    <w:p w14:paraId="05741089" w14:textId="3976691B" w:rsidR="00A0709F" w:rsidRPr="001F4CEE" w:rsidRDefault="00765197" w:rsidP="001F4CEE">
      <w:pPr>
        <w:spacing w:line="360" w:lineRule="auto"/>
        <w:ind w:left="851" w:hanging="851"/>
        <w:jc w:val="both"/>
        <w:rPr>
          <w:rFonts w:eastAsia="Arial"/>
          <w:color w:val="0070C0"/>
        </w:rPr>
      </w:pPr>
      <w:r w:rsidRPr="001F4CEE">
        <w:t xml:space="preserve">Valdés, M., Hernández, J. (2014). Factores de riesgo para preeclampsia. </w:t>
      </w:r>
      <w:r w:rsidRPr="001F4CEE">
        <w:rPr>
          <w:i/>
        </w:rPr>
        <w:t>Revista Cubana de Medicina Militar</w:t>
      </w:r>
      <w:r w:rsidRPr="001F4CEE">
        <w:t xml:space="preserve">, </w:t>
      </w:r>
      <w:r w:rsidRPr="001F4CEE">
        <w:rPr>
          <w:i/>
        </w:rPr>
        <w:t>43</w:t>
      </w:r>
      <w:r w:rsidRPr="001F4CEE">
        <w:t xml:space="preserve">(3), 307-316. </w:t>
      </w:r>
    </w:p>
    <w:p w14:paraId="2A0FC146" w14:textId="75C953D2" w:rsidR="00765197" w:rsidRPr="001F4CEE" w:rsidRDefault="00765197" w:rsidP="001F4CEE">
      <w:pPr>
        <w:spacing w:line="360" w:lineRule="auto"/>
        <w:ind w:left="851" w:hanging="851"/>
        <w:jc w:val="both"/>
      </w:pPr>
      <w:r w:rsidRPr="001F4CEE">
        <w:t xml:space="preserve">Ywaskewycz-Benítez, L. R., Bonneau, G. A., Castillo-Rascón, M. S., López, D. L., y  Pedroso, W. R. (2010). Perfil lipídico por trimestre de gestación en una población de mujeres adultas.  </w:t>
      </w:r>
      <w:r w:rsidRPr="001F4CEE">
        <w:rPr>
          <w:i/>
        </w:rPr>
        <w:t>Revista Chilena de Obstetricia y Ginecología,</w:t>
      </w:r>
      <w:r w:rsidRPr="001F4CEE">
        <w:t xml:space="preserve"> </w:t>
      </w:r>
      <w:r w:rsidRPr="001F4CEE">
        <w:rPr>
          <w:i/>
        </w:rPr>
        <w:t>75</w:t>
      </w:r>
      <w:r w:rsidRPr="001F4CEE">
        <w:t xml:space="preserve">(4), 227-233. </w:t>
      </w:r>
    </w:p>
    <w:p w14:paraId="0C64F515" w14:textId="5DC99BC6" w:rsidR="00765197" w:rsidRDefault="00765197" w:rsidP="001F4CEE">
      <w:pPr>
        <w:spacing w:line="360" w:lineRule="auto"/>
        <w:ind w:left="851" w:hanging="851"/>
        <w:jc w:val="both"/>
        <w:rPr>
          <w:rFonts w:eastAsia="Arial"/>
        </w:rPr>
      </w:pPr>
      <w:r w:rsidRPr="001F4CEE">
        <w:rPr>
          <w:rFonts w:eastAsia="Arial"/>
        </w:rPr>
        <w:t>Zonana, A., Baldenebro, R., Ruiz, M. (2010). Efecto de la ganancia de peso gestacional en la madre y en el neonato.</w:t>
      </w:r>
      <w:r w:rsidRPr="001F4CEE">
        <w:rPr>
          <w:rFonts w:eastAsia="Arial"/>
          <w:i/>
        </w:rPr>
        <w:t xml:space="preserve"> Salud Pública Mexicana</w:t>
      </w:r>
      <w:r w:rsidRPr="001F4CEE">
        <w:rPr>
          <w:rFonts w:eastAsia="Arial"/>
        </w:rPr>
        <w:t>,</w:t>
      </w:r>
      <w:r w:rsidRPr="001F4CEE">
        <w:rPr>
          <w:rFonts w:eastAsia="Arial"/>
          <w:i/>
        </w:rPr>
        <w:t xml:space="preserve"> 52</w:t>
      </w:r>
      <w:r w:rsidRPr="001F4CEE">
        <w:rPr>
          <w:rFonts w:eastAsia="Arial"/>
        </w:rPr>
        <w:t xml:space="preserve">(3), 220-225. </w:t>
      </w:r>
    </w:p>
    <w:p w14:paraId="1A69DF1D" w14:textId="6AA10964" w:rsidR="00975A3C" w:rsidRDefault="00975A3C" w:rsidP="001F4CEE">
      <w:pPr>
        <w:spacing w:line="360" w:lineRule="auto"/>
        <w:ind w:left="851" w:hanging="851"/>
        <w:jc w:val="both"/>
        <w:rPr>
          <w:rFonts w:eastAsia="Arial"/>
          <w:color w:val="0070C0"/>
        </w:rPr>
      </w:pPr>
    </w:p>
    <w:p w14:paraId="3EF22176" w14:textId="69FA876D" w:rsidR="00975A3C" w:rsidRDefault="00975A3C" w:rsidP="001F4CEE">
      <w:pPr>
        <w:spacing w:line="360" w:lineRule="auto"/>
        <w:ind w:left="851" w:hanging="851"/>
        <w:jc w:val="both"/>
        <w:rPr>
          <w:rFonts w:eastAsia="Arial"/>
          <w:color w:val="0070C0"/>
        </w:rPr>
      </w:pPr>
    </w:p>
    <w:p w14:paraId="4B2A5F73" w14:textId="339CAC79" w:rsidR="00975A3C" w:rsidRDefault="00975A3C" w:rsidP="001F4CEE">
      <w:pPr>
        <w:spacing w:line="360" w:lineRule="auto"/>
        <w:ind w:left="851" w:hanging="851"/>
        <w:jc w:val="both"/>
        <w:rPr>
          <w:rFonts w:eastAsia="Arial"/>
          <w:color w:val="0070C0"/>
        </w:rPr>
      </w:pPr>
    </w:p>
    <w:p w14:paraId="1C9174CD" w14:textId="133AA3F5" w:rsidR="00975A3C" w:rsidRDefault="00975A3C" w:rsidP="001F4CEE">
      <w:pPr>
        <w:spacing w:line="360" w:lineRule="auto"/>
        <w:ind w:left="851" w:hanging="851"/>
        <w:jc w:val="both"/>
        <w:rPr>
          <w:rFonts w:eastAsia="Arial"/>
          <w:color w:val="0070C0"/>
        </w:rPr>
      </w:pPr>
    </w:p>
    <w:p w14:paraId="4BB0AC6B" w14:textId="53D36A79" w:rsidR="00975A3C" w:rsidRDefault="00975A3C" w:rsidP="001F4CEE">
      <w:pPr>
        <w:spacing w:line="360" w:lineRule="auto"/>
        <w:ind w:left="851" w:hanging="851"/>
        <w:jc w:val="both"/>
        <w:rPr>
          <w:rFonts w:eastAsia="Arial"/>
          <w:color w:val="0070C0"/>
        </w:rPr>
      </w:pPr>
    </w:p>
    <w:p w14:paraId="70A8897B" w14:textId="0CAF389C" w:rsidR="00975A3C" w:rsidRDefault="00975A3C" w:rsidP="001F4CEE">
      <w:pPr>
        <w:spacing w:line="360" w:lineRule="auto"/>
        <w:ind w:left="851" w:hanging="851"/>
        <w:jc w:val="both"/>
        <w:rPr>
          <w:rFonts w:eastAsia="Arial"/>
          <w:color w:val="0070C0"/>
        </w:rPr>
      </w:pPr>
    </w:p>
    <w:p w14:paraId="391B7524" w14:textId="6D69AFF4" w:rsidR="00975A3C" w:rsidRDefault="00975A3C" w:rsidP="001F4CEE">
      <w:pPr>
        <w:spacing w:line="360" w:lineRule="auto"/>
        <w:ind w:left="851" w:hanging="851"/>
        <w:jc w:val="both"/>
        <w:rPr>
          <w:rFonts w:eastAsia="Arial"/>
          <w:color w:val="0070C0"/>
        </w:rPr>
      </w:pPr>
    </w:p>
    <w:p w14:paraId="0A902798" w14:textId="574BA0C0" w:rsidR="00975A3C" w:rsidRDefault="00975A3C" w:rsidP="001F4CEE">
      <w:pPr>
        <w:spacing w:line="360" w:lineRule="auto"/>
        <w:ind w:left="851" w:hanging="851"/>
        <w:jc w:val="both"/>
        <w:rPr>
          <w:rFonts w:eastAsia="Arial"/>
          <w:color w:val="0070C0"/>
        </w:rPr>
      </w:pPr>
    </w:p>
    <w:p w14:paraId="0B62B7E0" w14:textId="6534C2D9" w:rsidR="00975A3C" w:rsidRDefault="00975A3C" w:rsidP="001F4CEE">
      <w:pPr>
        <w:spacing w:line="360" w:lineRule="auto"/>
        <w:ind w:left="851" w:hanging="851"/>
        <w:jc w:val="both"/>
        <w:rPr>
          <w:rFonts w:eastAsia="Arial"/>
          <w:color w:val="0070C0"/>
        </w:rPr>
      </w:pPr>
    </w:p>
    <w:p w14:paraId="3423DAB2" w14:textId="5E89ACAA" w:rsidR="00975A3C" w:rsidRDefault="00975A3C" w:rsidP="001F4CEE">
      <w:pPr>
        <w:spacing w:line="360" w:lineRule="auto"/>
        <w:ind w:left="851" w:hanging="851"/>
        <w:jc w:val="both"/>
        <w:rPr>
          <w:rFonts w:eastAsia="Arial"/>
          <w:color w:val="0070C0"/>
        </w:rPr>
      </w:pPr>
    </w:p>
    <w:p w14:paraId="62B1D2F8" w14:textId="5AF74C6F" w:rsidR="00975A3C" w:rsidRDefault="00975A3C" w:rsidP="001F4CEE">
      <w:pPr>
        <w:spacing w:line="360" w:lineRule="auto"/>
        <w:ind w:left="851" w:hanging="851"/>
        <w:jc w:val="both"/>
        <w:rPr>
          <w:rFonts w:eastAsia="Arial"/>
          <w:color w:val="0070C0"/>
        </w:rPr>
      </w:pPr>
    </w:p>
    <w:p w14:paraId="5C3C1E15" w14:textId="095AEAB7" w:rsidR="00975A3C" w:rsidRDefault="00975A3C" w:rsidP="001F4CEE">
      <w:pPr>
        <w:spacing w:line="360" w:lineRule="auto"/>
        <w:ind w:left="851" w:hanging="851"/>
        <w:jc w:val="both"/>
        <w:rPr>
          <w:rFonts w:eastAsia="Arial"/>
          <w:color w:val="0070C0"/>
        </w:rPr>
      </w:pPr>
    </w:p>
    <w:p w14:paraId="7FEB3536" w14:textId="7D654470" w:rsidR="00975A3C" w:rsidRDefault="00975A3C" w:rsidP="001F4CEE">
      <w:pPr>
        <w:spacing w:line="360" w:lineRule="auto"/>
        <w:ind w:left="851" w:hanging="851"/>
        <w:jc w:val="both"/>
        <w:rPr>
          <w:rFonts w:eastAsia="Arial"/>
          <w:color w:val="0070C0"/>
        </w:rPr>
      </w:pPr>
    </w:p>
    <w:p w14:paraId="30FF6537" w14:textId="50DAB171" w:rsidR="00975A3C" w:rsidRDefault="00975A3C" w:rsidP="001F4CEE">
      <w:pPr>
        <w:spacing w:line="360" w:lineRule="auto"/>
        <w:ind w:left="851" w:hanging="851"/>
        <w:jc w:val="both"/>
        <w:rPr>
          <w:rFonts w:eastAsia="Arial"/>
          <w:color w:val="0070C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95C3C" w:rsidRPr="00AB5583" w14:paraId="23445002" w14:textId="77777777" w:rsidTr="00B76C3D">
        <w:tc>
          <w:tcPr>
            <w:tcW w:w="3045" w:type="dxa"/>
            <w:shd w:val="clear" w:color="auto" w:fill="auto"/>
            <w:tcMar>
              <w:top w:w="100" w:type="dxa"/>
              <w:left w:w="100" w:type="dxa"/>
              <w:bottom w:w="100" w:type="dxa"/>
              <w:right w:w="100" w:type="dxa"/>
            </w:tcMar>
          </w:tcPr>
          <w:p w14:paraId="7E1E2D3E" w14:textId="77777777" w:rsidR="00495C3C" w:rsidRPr="0048642A" w:rsidRDefault="00495C3C" w:rsidP="00B76C3D">
            <w:pPr>
              <w:pStyle w:val="Ttulo3"/>
              <w:widowControl w:val="0"/>
              <w:spacing w:before="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6BAB1CF" w14:textId="3FFB7F59" w:rsidR="00495C3C" w:rsidRPr="0048642A" w:rsidRDefault="00495C3C" w:rsidP="00B76C3D">
            <w:pPr>
              <w:pStyle w:val="Ttulo3"/>
              <w:widowControl w:val="0"/>
              <w:spacing w:before="0"/>
              <w:rPr>
                <w:sz w:val="20"/>
                <w:szCs w:val="20"/>
              </w:rPr>
            </w:pPr>
            <w:bookmarkStart w:id="1" w:name="_btsjgdfgjwkr" w:colFirst="0" w:colLast="0"/>
            <w:bookmarkEnd w:id="1"/>
            <w:r>
              <w:rPr>
                <w:sz w:val="20"/>
                <w:szCs w:val="20"/>
              </w:rPr>
              <w:t>Autor (es)</w:t>
            </w:r>
          </w:p>
        </w:tc>
      </w:tr>
      <w:tr w:rsidR="00495C3C" w:rsidRPr="00AB5583" w14:paraId="3C8819FB" w14:textId="77777777" w:rsidTr="00B76C3D">
        <w:tc>
          <w:tcPr>
            <w:tcW w:w="3045" w:type="dxa"/>
            <w:shd w:val="clear" w:color="auto" w:fill="auto"/>
            <w:tcMar>
              <w:top w:w="100" w:type="dxa"/>
              <w:left w:w="100" w:type="dxa"/>
              <w:bottom w:w="100" w:type="dxa"/>
              <w:right w:w="100" w:type="dxa"/>
            </w:tcMar>
          </w:tcPr>
          <w:p w14:paraId="0EBE0F3B" w14:textId="77777777" w:rsidR="00495C3C" w:rsidRPr="0048642A" w:rsidRDefault="00495C3C" w:rsidP="00B76C3D">
            <w:pPr>
              <w:widowControl w:val="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C5B0E3F"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p w14:paraId="3C3E4920" w14:textId="77777777" w:rsidR="00495C3C" w:rsidRPr="00495C3C" w:rsidRDefault="00495C3C" w:rsidP="00B76C3D">
            <w:pPr>
              <w:widowControl w:val="0"/>
              <w:rPr>
                <w:b/>
                <w:sz w:val="18"/>
                <w:szCs w:val="18"/>
              </w:rPr>
            </w:pPr>
            <w:r w:rsidRPr="00495C3C">
              <w:rPr>
                <w:b/>
                <w:sz w:val="18"/>
                <w:szCs w:val="18"/>
              </w:rPr>
              <w:t>Sandra Quintana Ponce &lt;&lt;igual&gt;&gt;</w:t>
            </w:r>
          </w:p>
        </w:tc>
      </w:tr>
      <w:tr w:rsidR="00495C3C" w:rsidRPr="00AB5583" w14:paraId="429B29C1" w14:textId="77777777" w:rsidTr="00B76C3D">
        <w:tc>
          <w:tcPr>
            <w:tcW w:w="3045" w:type="dxa"/>
            <w:shd w:val="clear" w:color="auto" w:fill="auto"/>
            <w:tcMar>
              <w:top w:w="100" w:type="dxa"/>
              <w:left w:w="100" w:type="dxa"/>
              <w:bottom w:w="100" w:type="dxa"/>
              <w:right w:w="100" w:type="dxa"/>
            </w:tcMar>
          </w:tcPr>
          <w:p w14:paraId="4C59855B" w14:textId="77777777" w:rsidR="00495C3C" w:rsidRPr="0048642A" w:rsidRDefault="00495C3C" w:rsidP="00B76C3D">
            <w:pPr>
              <w:widowControl w:val="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15DBF5D" w14:textId="77777777" w:rsidR="00495C3C" w:rsidRPr="00495C3C" w:rsidRDefault="00495C3C" w:rsidP="00B76C3D">
            <w:pPr>
              <w:widowControl w:val="0"/>
              <w:rPr>
                <w:b/>
                <w:sz w:val="18"/>
                <w:szCs w:val="18"/>
              </w:rPr>
            </w:pPr>
            <w:r w:rsidRPr="00495C3C">
              <w:rPr>
                <w:b/>
                <w:sz w:val="18"/>
                <w:szCs w:val="18"/>
              </w:rPr>
              <w:t>Nicolás Rogelio Eric Barlandas Rendón &lt;&lt;igual&gt;&gt;</w:t>
            </w:r>
          </w:p>
          <w:p w14:paraId="24831B51" w14:textId="77777777" w:rsidR="00495C3C" w:rsidRPr="00495C3C" w:rsidRDefault="00495C3C" w:rsidP="00B76C3D">
            <w:pPr>
              <w:widowControl w:val="0"/>
              <w:rPr>
                <w:b/>
                <w:sz w:val="18"/>
                <w:szCs w:val="18"/>
              </w:rPr>
            </w:pPr>
            <w:r w:rsidRPr="00495C3C">
              <w:rPr>
                <w:b/>
                <w:sz w:val="18"/>
                <w:szCs w:val="18"/>
              </w:rPr>
              <w:t>Sandra Quintana Ponce &lt;&lt;principal&gt;&gt;</w:t>
            </w:r>
          </w:p>
          <w:p w14:paraId="54BBC5AC" w14:textId="77777777" w:rsidR="00495C3C" w:rsidRPr="00495C3C" w:rsidRDefault="00495C3C" w:rsidP="00B76C3D">
            <w:pPr>
              <w:widowControl w:val="0"/>
              <w:rPr>
                <w:b/>
                <w:sz w:val="18"/>
                <w:szCs w:val="18"/>
              </w:rPr>
            </w:pPr>
            <w:r w:rsidRPr="00495C3C">
              <w:rPr>
                <w:b/>
                <w:sz w:val="18"/>
                <w:szCs w:val="18"/>
              </w:rPr>
              <w:t>Manuel Ramos García &lt;&lt;igual&gt;&gt;</w:t>
            </w:r>
          </w:p>
        </w:tc>
      </w:tr>
      <w:tr w:rsidR="00495C3C" w:rsidRPr="00AB5583" w14:paraId="200B65BE" w14:textId="77777777" w:rsidTr="00B76C3D">
        <w:tc>
          <w:tcPr>
            <w:tcW w:w="3045" w:type="dxa"/>
            <w:shd w:val="clear" w:color="auto" w:fill="auto"/>
            <w:tcMar>
              <w:top w:w="100" w:type="dxa"/>
              <w:left w:w="100" w:type="dxa"/>
              <w:bottom w:w="100" w:type="dxa"/>
              <w:right w:w="100" w:type="dxa"/>
            </w:tcMar>
          </w:tcPr>
          <w:p w14:paraId="559DBBE3" w14:textId="77777777" w:rsidR="00495C3C" w:rsidRPr="0048642A" w:rsidRDefault="00495C3C" w:rsidP="00B76C3D">
            <w:pPr>
              <w:widowControl w:val="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F3DC716"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tc>
      </w:tr>
      <w:tr w:rsidR="00495C3C" w:rsidRPr="00AB5583" w14:paraId="0C377CDB" w14:textId="77777777" w:rsidTr="00B76C3D">
        <w:tc>
          <w:tcPr>
            <w:tcW w:w="3045" w:type="dxa"/>
            <w:shd w:val="clear" w:color="auto" w:fill="auto"/>
            <w:tcMar>
              <w:top w:w="100" w:type="dxa"/>
              <w:left w:w="100" w:type="dxa"/>
              <w:bottom w:w="100" w:type="dxa"/>
              <w:right w:w="100" w:type="dxa"/>
            </w:tcMar>
          </w:tcPr>
          <w:p w14:paraId="704B0030" w14:textId="77777777" w:rsidR="00495C3C" w:rsidRPr="0048642A" w:rsidRDefault="00495C3C" w:rsidP="00B76C3D">
            <w:pPr>
              <w:widowControl w:val="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8532D4C" w14:textId="77777777" w:rsidR="00495C3C" w:rsidRPr="00495C3C" w:rsidRDefault="00495C3C" w:rsidP="00B76C3D">
            <w:pPr>
              <w:widowControl w:val="0"/>
              <w:rPr>
                <w:b/>
                <w:sz w:val="18"/>
                <w:szCs w:val="18"/>
              </w:rPr>
            </w:pPr>
            <w:r w:rsidRPr="00495C3C">
              <w:rPr>
                <w:b/>
                <w:sz w:val="18"/>
                <w:szCs w:val="18"/>
              </w:rPr>
              <w:t>Sandra Quintana Ponce &lt;&lt;principal&gt;&gt;</w:t>
            </w:r>
          </w:p>
          <w:p w14:paraId="79FD79D3" w14:textId="77777777" w:rsidR="00495C3C" w:rsidRPr="00495C3C" w:rsidRDefault="00495C3C" w:rsidP="00B76C3D">
            <w:pPr>
              <w:widowControl w:val="0"/>
              <w:rPr>
                <w:b/>
                <w:sz w:val="18"/>
                <w:szCs w:val="18"/>
              </w:rPr>
            </w:pPr>
            <w:r w:rsidRPr="00495C3C">
              <w:rPr>
                <w:b/>
                <w:sz w:val="18"/>
                <w:szCs w:val="18"/>
              </w:rPr>
              <w:t>Nicolás Rogelio Eric Barlandas Rendón &lt;&lt;que apoya&gt;&gt;</w:t>
            </w:r>
          </w:p>
        </w:tc>
      </w:tr>
      <w:tr w:rsidR="00495C3C" w:rsidRPr="00AB5583" w14:paraId="2BC308A1" w14:textId="77777777" w:rsidTr="00B76C3D">
        <w:tc>
          <w:tcPr>
            <w:tcW w:w="3045" w:type="dxa"/>
            <w:shd w:val="clear" w:color="auto" w:fill="auto"/>
            <w:tcMar>
              <w:top w:w="100" w:type="dxa"/>
              <w:left w:w="100" w:type="dxa"/>
              <w:bottom w:w="100" w:type="dxa"/>
              <w:right w:w="100" w:type="dxa"/>
            </w:tcMar>
          </w:tcPr>
          <w:p w14:paraId="47BD91EF" w14:textId="77777777" w:rsidR="00495C3C" w:rsidRPr="0048642A" w:rsidRDefault="00495C3C" w:rsidP="00B76C3D">
            <w:pPr>
              <w:widowControl w:val="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E945664"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tc>
      </w:tr>
      <w:tr w:rsidR="00495C3C" w:rsidRPr="0048642A" w14:paraId="24C15F1D" w14:textId="77777777" w:rsidTr="00B76C3D">
        <w:tc>
          <w:tcPr>
            <w:tcW w:w="3045" w:type="dxa"/>
            <w:shd w:val="clear" w:color="auto" w:fill="auto"/>
            <w:tcMar>
              <w:top w:w="100" w:type="dxa"/>
              <w:left w:w="100" w:type="dxa"/>
              <w:bottom w:w="100" w:type="dxa"/>
              <w:right w:w="100" w:type="dxa"/>
            </w:tcMar>
          </w:tcPr>
          <w:p w14:paraId="742EDB35" w14:textId="77777777" w:rsidR="00495C3C" w:rsidRPr="0048642A" w:rsidRDefault="00495C3C" w:rsidP="00B76C3D">
            <w:pPr>
              <w:widowControl w:val="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49C6E79" w14:textId="77777777" w:rsidR="00495C3C" w:rsidRPr="00495C3C" w:rsidRDefault="00495C3C" w:rsidP="00B76C3D">
            <w:pPr>
              <w:widowControl w:val="0"/>
              <w:rPr>
                <w:b/>
                <w:sz w:val="18"/>
                <w:szCs w:val="18"/>
              </w:rPr>
            </w:pPr>
            <w:r w:rsidRPr="00495C3C">
              <w:rPr>
                <w:b/>
                <w:sz w:val="18"/>
                <w:szCs w:val="18"/>
              </w:rPr>
              <w:t>José Alberto Pérez Mendoza &lt;&lt;igual&gt;&gt;</w:t>
            </w:r>
          </w:p>
          <w:p w14:paraId="4046F94A" w14:textId="77777777" w:rsidR="00495C3C" w:rsidRPr="00495C3C" w:rsidRDefault="00495C3C" w:rsidP="00B76C3D">
            <w:pPr>
              <w:widowControl w:val="0"/>
              <w:rPr>
                <w:b/>
                <w:sz w:val="18"/>
                <w:szCs w:val="18"/>
              </w:rPr>
            </w:pPr>
            <w:r w:rsidRPr="00495C3C">
              <w:rPr>
                <w:b/>
                <w:sz w:val="18"/>
                <w:szCs w:val="18"/>
              </w:rPr>
              <w:t>Rubi Soledad de la Cruz García &lt;&lt;igual&gt;&gt;</w:t>
            </w:r>
          </w:p>
          <w:p w14:paraId="7DD663D8" w14:textId="77777777" w:rsidR="00495C3C" w:rsidRPr="00495C3C" w:rsidRDefault="00495C3C" w:rsidP="00B76C3D">
            <w:pPr>
              <w:widowControl w:val="0"/>
              <w:rPr>
                <w:b/>
                <w:sz w:val="18"/>
                <w:szCs w:val="18"/>
              </w:rPr>
            </w:pPr>
            <w:r w:rsidRPr="00495C3C">
              <w:rPr>
                <w:b/>
                <w:sz w:val="18"/>
                <w:szCs w:val="18"/>
              </w:rPr>
              <w:t>Manuel Ramos García &lt;&lt;principal&gt;&gt;</w:t>
            </w:r>
          </w:p>
        </w:tc>
      </w:tr>
      <w:tr w:rsidR="00495C3C" w:rsidRPr="0048642A" w14:paraId="6F233AB0" w14:textId="77777777" w:rsidTr="00B76C3D">
        <w:tc>
          <w:tcPr>
            <w:tcW w:w="3045" w:type="dxa"/>
            <w:shd w:val="clear" w:color="auto" w:fill="auto"/>
            <w:tcMar>
              <w:top w:w="100" w:type="dxa"/>
              <w:left w:w="100" w:type="dxa"/>
              <w:bottom w:w="100" w:type="dxa"/>
              <w:right w:w="100" w:type="dxa"/>
            </w:tcMar>
          </w:tcPr>
          <w:p w14:paraId="296AA8F0" w14:textId="77777777" w:rsidR="00495C3C" w:rsidRPr="0048642A" w:rsidRDefault="00495C3C" w:rsidP="00B76C3D">
            <w:pPr>
              <w:widowControl w:val="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BDFCB03" w14:textId="77777777" w:rsidR="00495C3C" w:rsidRPr="00495C3C" w:rsidRDefault="00495C3C" w:rsidP="00B76C3D">
            <w:pPr>
              <w:widowControl w:val="0"/>
              <w:rPr>
                <w:b/>
                <w:sz w:val="18"/>
                <w:szCs w:val="18"/>
              </w:rPr>
            </w:pPr>
            <w:r w:rsidRPr="00495C3C">
              <w:rPr>
                <w:b/>
                <w:sz w:val="18"/>
                <w:szCs w:val="18"/>
              </w:rPr>
              <w:t>Sandra Quintana Ponce &lt;&lt;principal&gt;&gt;</w:t>
            </w:r>
          </w:p>
          <w:p w14:paraId="537C2B66" w14:textId="77777777" w:rsidR="00495C3C" w:rsidRPr="00495C3C" w:rsidRDefault="00495C3C" w:rsidP="00B76C3D">
            <w:pPr>
              <w:widowControl w:val="0"/>
              <w:rPr>
                <w:b/>
                <w:sz w:val="18"/>
                <w:szCs w:val="18"/>
              </w:rPr>
            </w:pPr>
            <w:r w:rsidRPr="00495C3C">
              <w:rPr>
                <w:b/>
                <w:sz w:val="18"/>
                <w:szCs w:val="18"/>
              </w:rPr>
              <w:t>Nicolás Rogelio Barlandas Rendón &lt;&lt;que apoya&gt;&gt;</w:t>
            </w:r>
          </w:p>
          <w:p w14:paraId="5D99C4E4" w14:textId="77777777" w:rsidR="00495C3C" w:rsidRPr="00495C3C" w:rsidRDefault="00495C3C" w:rsidP="00B76C3D">
            <w:pPr>
              <w:widowControl w:val="0"/>
              <w:rPr>
                <w:b/>
                <w:sz w:val="18"/>
                <w:szCs w:val="18"/>
              </w:rPr>
            </w:pPr>
            <w:r w:rsidRPr="00495C3C">
              <w:rPr>
                <w:b/>
                <w:sz w:val="18"/>
                <w:szCs w:val="18"/>
              </w:rPr>
              <w:t>Manuel Ramos García &lt;&lt;igual&gt;&gt;</w:t>
            </w:r>
          </w:p>
        </w:tc>
      </w:tr>
      <w:tr w:rsidR="00495C3C" w:rsidRPr="00AB5583" w14:paraId="33E45DFE" w14:textId="77777777" w:rsidTr="00B76C3D">
        <w:tc>
          <w:tcPr>
            <w:tcW w:w="3045" w:type="dxa"/>
            <w:shd w:val="clear" w:color="auto" w:fill="auto"/>
            <w:tcMar>
              <w:top w:w="100" w:type="dxa"/>
              <w:left w:w="100" w:type="dxa"/>
              <w:bottom w:w="100" w:type="dxa"/>
              <w:right w:w="100" w:type="dxa"/>
            </w:tcMar>
          </w:tcPr>
          <w:p w14:paraId="358F664D" w14:textId="77777777" w:rsidR="00495C3C" w:rsidRPr="0048642A" w:rsidRDefault="00495C3C" w:rsidP="00B76C3D">
            <w:pPr>
              <w:widowControl w:val="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9547542" w14:textId="77777777" w:rsidR="00495C3C" w:rsidRPr="00495C3C" w:rsidRDefault="00495C3C" w:rsidP="00B76C3D">
            <w:pPr>
              <w:widowControl w:val="0"/>
              <w:rPr>
                <w:b/>
                <w:sz w:val="18"/>
                <w:szCs w:val="18"/>
              </w:rPr>
            </w:pPr>
            <w:r w:rsidRPr="00495C3C">
              <w:rPr>
                <w:b/>
                <w:sz w:val="18"/>
                <w:szCs w:val="18"/>
              </w:rPr>
              <w:t>José Alberto Pérez Mendoza &lt;&lt;principal&gt;&gt;</w:t>
            </w:r>
          </w:p>
          <w:p w14:paraId="1823444A" w14:textId="77777777" w:rsidR="00495C3C" w:rsidRPr="00495C3C" w:rsidRDefault="00495C3C" w:rsidP="00B76C3D">
            <w:pPr>
              <w:widowControl w:val="0"/>
              <w:rPr>
                <w:b/>
                <w:sz w:val="18"/>
                <w:szCs w:val="18"/>
              </w:rPr>
            </w:pPr>
            <w:r w:rsidRPr="00495C3C">
              <w:rPr>
                <w:b/>
                <w:sz w:val="18"/>
                <w:szCs w:val="18"/>
              </w:rPr>
              <w:t>Rubí Soledad de la Cruz García &lt;&lt;igual&gt;&gt;</w:t>
            </w:r>
          </w:p>
          <w:p w14:paraId="1BFF8029" w14:textId="77777777" w:rsidR="00495C3C" w:rsidRPr="00495C3C" w:rsidRDefault="00495C3C" w:rsidP="00B76C3D">
            <w:pPr>
              <w:widowControl w:val="0"/>
              <w:rPr>
                <w:b/>
                <w:sz w:val="18"/>
                <w:szCs w:val="18"/>
              </w:rPr>
            </w:pPr>
            <w:r w:rsidRPr="00495C3C">
              <w:rPr>
                <w:b/>
                <w:sz w:val="18"/>
                <w:szCs w:val="18"/>
              </w:rPr>
              <w:t>Manuel Ramos García &lt;&lt;que apoya&gt;&gt;</w:t>
            </w:r>
          </w:p>
        </w:tc>
      </w:tr>
      <w:tr w:rsidR="00495C3C" w:rsidRPr="00AB5583" w14:paraId="7E2F22EF" w14:textId="77777777" w:rsidTr="00B76C3D">
        <w:tc>
          <w:tcPr>
            <w:tcW w:w="3045" w:type="dxa"/>
            <w:shd w:val="clear" w:color="auto" w:fill="auto"/>
            <w:tcMar>
              <w:top w:w="100" w:type="dxa"/>
              <w:left w:w="100" w:type="dxa"/>
              <w:bottom w:w="100" w:type="dxa"/>
              <w:right w:w="100" w:type="dxa"/>
            </w:tcMar>
          </w:tcPr>
          <w:p w14:paraId="5AF69C7C" w14:textId="77777777" w:rsidR="00495C3C" w:rsidRPr="0048642A" w:rsidRDefault="00495C3C" w:rsidP="00B76C3D">
            <w:pPr>
              <w:widowControl w:val="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41DE1843" w14:textId="77777777" w:rsidR="00495C3C" w:rsidRPr="00495C3C" w:rsidRDefault="00495C3C" w:rsidP="00B76C3D">
            <w:pPr>
              <w:widowControl w:val="0"/>
              <w:rPr>
                <w:b/>
                <w:sz w:val="18"/>
                <w:szCs w:val="18"/>
              </w:rPr>
            </w:pPr>
            <w:r w:rsidRPr="00495C3C">
              <w:rPr>
                <w:b/>
                <w:sz w:val="18"/>
                <w:szCs w:val="18"/>
              </w:rPr>
              <w:t>Rubí Soledad de la Cruz García &lt;&lt;principal&gt;&gt;</w:t>
            </w:r>
          </w:p>
          <w:p w14:paraId="0055ACAB" w14:textId="77777777" w:rsidR="00495C3C" w:rsidRPr="00495C3C" w:rsidRDefault="00495C3C" w:rsidP="00B76C3D">
            <w:pPr>
              <w:widowControl w:val="0"/>
              <w:rPr>
                <w:b/>
                <w:sz w:val="18"/>
                <w:szCs w:val="18"/>
              </w:rPr>
            </w:pPr>
            <w:r w:rsidRPr="00495C3C">
              <w:rPr>
                <w:b/>
                <w:sz w:val="18"/>
                <w:szCs w:val="18"/>
              </w:rPr>
              <w:t>José Alberto Pérez Mendoza &lt;&lt;que apoya&gt;&gt;</w:t>
            </w:r>
          </w:p>
          <w:p w14:paraId="71CDC5EE" w14:textId="77777777" w:rsidR="00495C3C" w:rsidRPr="00495C3C" w:rsidRDefault="00495C3C" w:rsidP="00B76C3D">
            <w:pPr>
              <w:widowControl w:val="0"/>
              <w:rPr>
                <w:b/>
                <w:sz w:val="18"/>
                <w:szCs w:val="18"/>
              </w:rPr>
            </w:pPr>
            <w:r w:rsidRPr="00495C3C">
              <w:rPr>
                <w:b/>
                <w:sz w:val="18"/>
                <w:szCs w:val="18"/>
              </w:rPr>
              <w:t>Nicolás Rogelio Eric Barlandas Rendón &lt;&lt;igual&gt;&gt;</w:t>
            </w:r>
          </w:p>
        </w:tc>
      </w:tr>
      <w:tr w:rsidR="00495C3C" w:rsidRPr="0048642A" w14:paraId="3AC84B48" w14:textId="77777777" w:rsidTr="00B76C3D">
        <w:tc>
          <w:tcPr>
            <w:tcW w:w="3045" w:type="dxa"/>
            <w:shd w:val="clear" w:color="auto" w:fill="auto"/>
            <w:tcMar>
              <w:top w:w="100" w:type="dxa"/>
              <w:left w:w="100" w:type="dxa"/>
              <w:bottom w:w="100" w:type="dxa"/>
              <w:right w:w="100" w:type="dxa"/>
            </w:tcMar>
          </w:tcPr>
          <w:p w14:paraId="715C3391" w14:textId="77777777" w:rsidR="00495C3C" w:rsidRPr="0048642A" w:rsidRDefault="00495C3C" w:rsidP="00B76C3D">
            <w:pPr>
              <w:widowControl w:val="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9332E8B" w14:textId="77777777" w:rsidR="00495C3C" w:rsidRPr="00495C3C" w:rsidRDefault="00495C3C" w:rsidP="00B76C3D">
            <w:pPr>
              <w:widowControl w:val="0"/>
              <w:rPr>
                <w:b/>
                <w:sz w:val="18"/>
                <w:szCs w:val="18"/>
              </w:rPr>
            </w:pPr>
            <w:r w:rsidRPr="00495C3C">
              <w:rPr>
                <w:b/>
                <w:sz w:val="18"/>
                <w:szCs w:val="18"/>
              </w:rPr>
              <w:t>Rubí Soledad de la Cruz García &lt;&lt;que apoya&gt;&gt;</w:t>
            </w:r>
          </w:p>
          <w:p w14:paraId="3B8D87DA" w14:textId="77777777" w:rsidR="00495C3C" w:rsidRPr="00495C3C" w:rsidRDefault="00495C3C" w:rsidP="00B76C3D">
            <w:pPr>
              <w:widowControl w:val="0"/>
              <w:rPr>
                <w:b/>
                <w:sz w:val="18"/>
                <w:szCs w:val="18"/>
              </w:rPr>
            </w:pPr>
            <w:r w:rsidRPr="00495C3C">
              <w:rPr>
                <w:b/>
                <w:sz w:val="18"/>
                <w:szCs w:val="18"/>
              </w:rPr>
              <w:t>José Alberto Pérez Mendoza &lt;&lt;que apoya&gt;&gt;</w:t>
            </w:r>
          </w:p>
          <w:p w14:paraId="3FA18BB0" w14:textId="77777777" w:rsidR="00495C3C" w:rsidRPr="00495C3C" w:rsidRDefault="00495C3C" w:rsidP="00B76C3D">
            <w:pPr>
              <w:widowControl w:val="0"/>
              <w:rPr>
                <w:b/>
                <w:sz w:val="18"/>
                <w:szCs w:val="18"/>
              </w:rPr>
            </w:pPr>
            <w:r w:rsidRPr="00495C3C">
              <w:rPr>
                <w:b/>
                <w:sz w:val="18"/>
                <w:szCs w:val="18"/>
              </w:rPr>
              <w:t>Nicolás Rogelio Eric Barlandas Rendón &lt;&lt;igual&gt;&gt;</w:t>
            </w:r>
          </w:p>
          <w:p w14:paraId="3378C272" w14:textId="77777777" w:rsidR="00495C3C" w:rsidRPr="00495C3C" w:rsidRDefault="00495C3C" w:rsidP="00B76C3D">
            <w:pPr>
              <w:widowControl w:val="0"/>
              <w:rPr>
                <w:b/>
                <w:sz w:val="18"/>
                <w:szCs w:val="18"/>
              </w:rPr>
            </w:pPr>
            <w:r w:rsidRPr="00495C3C">
              <w:rPr>
                <w:b/>
                <w:sz w:val="18"/>
                <w:szCs w:val="18"/>
              </w:rPr>
              <w:t>Sandra Quintana Ponce &lt;&lt;principal&gt;&gt;</w:t>
            </w:r>
          </w:p>
        </w:tc>
      </w:tr>
      <w:tr w:rsidR="00495C3C" w:rsidRPr="00AB5583" w14:paraId="6196979A" w14:textId="77777777" w:rsidTr="00B76C3D">
        <w:tc>
          <w:tcPr>
            <w:tcW w:w="3045" w:type="dxa"/>
            <w:shd w:val="clear" w:color="auto" w:fill="auto"/>
            <w:tcMar>
              <w:top w:w="100" w:type="dxa"/>
              <w:left w:w="100" w:type="dxa"/>
              <w:bottom w:w="100" w:type="dxa"/>
              <w:right w:w="100" w:type="dxa"/>
            </w:tcMar>
          </w:tcPr>
          <w:p w14:paraId="30FCE804" w14:textId="77777777" w:rsidR="00495C3C" w:rsidRPr="0048642A" w:rsidRDefault="00495C3C" w:rsidP="00B76C3D">
            <w:pPr>
              <w:widowControl w:val="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15DB9A4" w14:textId="77777777" w:rsidR="00495C3C" w:rsidRPr="00495C3C" w:rsidRDefault="00495C3C" w:rsidP="00B76C3D">
            <w:pPr>
              <w:widowControl w:val="0"/>
              <w:rPr>
                <w:b/>
                <w:sz w:val="18"/>
                <w:szCs w:val="18"/>
              </w:rPr>
            </w:pPr>
            <w:r w:rsidRPr="00495C3C">
              <w:rPr>
                <w:b/>
                <w:sz w:val="18"/>
                <w:szCs w:val="18"/>
              </w:rPr>
              <w:t>Rubí Soledad de la Cruz García &lt;&lt;igual&gt;&gt;</w:t>
            </w:r>
          </w:p>
          <w:p w14:paraId="33A7C0C4" w14:textId="77777777" w:rsidR="00495C3C" w:rsidRPr="00495C3C" w:rsidRDefault="00495C3C" w:rsidP="00B76C3D">
            <w:pPr>
              <w:widowControl w:val="0"/>
              <w:rPr>
                <w:b/>
                <w:sz w:val="18"/>
                <w:szCs w:val="18"/>
              </w:rPr>
            </w:pPr>
            <w:r w:rsidRPr="00495C3C">
              <w:rPr>
                <w:b/>
                <w:sz w:val="18"/>
                <w:szCs w:val="18"/>
              </w:rPr>
              <w:t>José Alberto Pérez Mendoza &lt;&lt;igual&gt;&gt;</w:t>
            </w:r>
          </w:p>
          <w:p w14:paraId="459AE02A"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tc>
      </w:tr>
      <w:tr w:rsidR="00495C3C" w:rsidRPr="00AB5583" w14:paraId="4893D340" w14:textId="77777777" w:rsidTr="00B76C3D">
        <w:tc>
          <w:tcPr>
            <w:tcW w:w="3045" w:type="dxa"/>
            <w:shd w:val="clear" w:color="auto" w:fill="auto"/>
            <w:tcMar>
              <w:top w:w="100" w:type="dxa"/>
              <w:left w:w="100" w:type="dxa"/>
              <w:bottom w:w="100" w:type="dxa"/>
              <w:right w:w="100" w:type="dxa"/>
            </w:tcMar>
          </w:tcPr>
          <w:p w14:paraId="6942E1CF" w14:textId="77777777" w:rsidR="00495C3C" w:rsidRPr="0048642A" w:rsidRDefault="00495C3C" w:rsidP="00B76C3D">
            <w:pPr>
              <w:widowControl w:val="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5DDAD7F"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p w14:paraId="6455BF2B" w14:textId="77777777" w:rsidR="00495C3C" w:rsidRPr="00495C3C" w:rsidRDefault="00495C3C" w:rsidP="00B76C3D">
            <w:pPr>
              <w:widowControl w:val="0"/>
              <w:rPr>
                <w:b/>
                <w:sz w:val="18"/>
                <w:szCs w:val="18"/>
              </w:rPr>
            </w:pPr>
            <w:r w:rsidRPr="00495C3C">
              <w:rPr>
                <w:b/>
                <w:sz w:val="18"/>
                <w:szCs w:val="18"/>
              </w:rPr>
              <w:t>Manuel Ramos García &lt;&lt;que apoya&gt;&gt;</w:t>
            </w:r>
          </w:p>
        </w:tc>
      </w:tr>
      <w:tr w:rsidR="00495C3C" w:rsidRPr="00AB5583" w14:paraId="1C544937" w14:textId="77777777" w:rsidTr="00B76C3D">
        <w:trPr>
          <w:trHeight w:val="522"/>
        </w:trPr>
        <w:tc>
          <w:tcPr>
            <w:tcW w:w="3045" w:type="dxa"/>
            <w:shd w:val="clear" w:color="auto" w:fill="auto"/>
            <w:tcMar>
              <w:top w:w="100" w:type="dxa"/>
              <w:left w:w="100" w:type="dxa"/>
              <w:bottom w:w="100" w:type="dxa"/>
              <w:right w:w="100" w:type="dxa"/>
            </w:tcMar>
          </w:tcPr>
          <w:p w14:paraId="6A1C170A" w14:textId="77777777" w:rsidR="00495C3C" w:rsidRPr="0048642A" w:rsidRDefault="00495C3C" w:rsidP="00B76C3D">
            <w:pPr>
              <w:widowControl w:val="0"/>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2ACBDD6" w14:textId="77777777" w:rsidR="00495C3C" w:rsidRPr="00495C3C" w:rsidRDefault="00495C3C" w:rsidP="00B76C3D">
            <w:pPr>
              <w:widowControl w:val="0"/>
              <w:rPr>
                <w:b/>
                <w:sz w:val="18"/>
                <w:szCs w:val="18"/>
              </w:rPr>
            </w:pPr>
            <w:r w:rsidRPr="00495C3C">
              <w:rPr>
                <w:b/>
                <w:sz w:val="18"/>
                <w:szCs w:val="18"/>
              </w:rPr>
              <w:t>Nicolás Rogelio Eric Barlandas Rendón &lt;&lt;igual&gt;&gt;</w:t>
            </w:r>
          </w:p>
          <w:p w14:paraId="47FBA777" w14:textId="77777777" w:rsidR="00495C3C" w:rsidRPr="00495C3C" w:rsidRDefault="00495C3C" w:rsidP="00B76C3D">
            <w:pPr>
              <w:widowControl w:val="0"/>
              <w:rPr>
                <w:b/>
                <w:sz w:val="18"/>
                <w:szCs w:val="18"/>
              </w:rPr>
            </w:pPr>
            <w:r w:rsidRPr="00495C3C">
              <w:rPr>
                <w:b/>
                <w:sz w:val="18"/>
                <w:szCs w:val="18"/>
              </w:rPr>
              <w:t>Sandra Quintana Ponce &lt;&lt;principal&gt;&gt;</w:t>
            </w:r>
          </w:p>
        </w:tc>
      </w:tr>
      <w:tr w:rsidR="00495C3C" w:rsidRPr="00AB5583" w14:paraId="5951CB71" w14:textId="77777777" w:rsidTr="00B76C3D">
        <w:tc>
          <w:tcPr>
            <w:tcW w:w="3045" w:type="dxa"/>
            <w:shd w:val="clear" w:color="auto" w:fill="auto"/>
            <w:tcMar>
              <w:top w:w="100" w:type="dxa"/>
              <w:left w:w="100" w:type="dxa"/>
              <w:bottom w:w="100" w:type="dxa"/>
              <w:right w:w="100" w:type="dxa"/>
            </w:tcMar>
          </w:tcPr>
          <w:p w14:paraId="6889734F" w14:textId="77777777" w:rsidR="00495C3C" w:rsidRPr="0048642A" w:rsidRDefault="00495C3C" w:rsidP="00B76C3D">
            <w:pPr>
              <w:widowControl w:val="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C197D9B" w14:textId="77777777" w:rsidR="00495C3C" w:rsidRPr="00495C3C" w:rsidRDefault="00495C3C" w:rsidP="00B76C3D">
            <w:pPr>
              <w:widowControl w:val="0"/>
              <w:rPr>
                <w:b/>
                <w:sz w:val="18"/>
                <w:szCs w:val="18"/>
              </w:rPr>
            </w:pPr>
            <w:r w:rsidRPr="00495C3C">
              <w:rPr>
                <w:b/>
                <w:sz w:val="18"/>
                <w:szCs w:val="18"/>
              </w:rPr>
              <w:t>Nicolás Rogelio Eric Barlandas Rendón &lt;&lt;principal&gt;&gt;</w:t>
            </w:r>
          </w:p>
          <w:p w14:paraId="78F49053" w14:textId="77777777" w:rsidR="00495C3C" w:rsidRPr="00495C3C" w:rsidRDefault="00495C3C" w:rsidP="00B76C3D">
            <w:pPr>
              <w:widowControl w:val="0"/>
              <w:rPr>
                <w:b/>
                <w:sz w:val="18"/>
                <w:szCs w:val="18"/>
              </w:rPr>
            </w:pPr>
            <w:r w:rsidRPr="00495C3C">
              <w:rPr>
                <w:b/>
                <w:sz w:val="18"/>
                <w:szCs w:val="18"/>
              </w:rPr>
              <w:t>Maanuel Ramos García &lt;&lt;igual&gt;&gt;</w:t>
            </w:r>
          </w:p>
        </w:tc>
      </w:tr>
    </w:tbl>
    <w:p w14:paraId="466F6660" w14:textId="77777777" w:rsidR="00FD7E8A" w:rsidRPr="009E1D70" w:rsidRDefault="00FD7E8A" w:rsidP="00BE552E">
      <w:pPr>
        <w:spacing w:line="360" w:lineRule="auto"/>
      </w:pPr>
    </w:p>
    <w:p w14:paraId="4B2B3495" w14:textId="7C90D037" w:rsidR="00DE2367" w:rsidRDefault="00DE2367" w:rsidP="00DE2367">
      <w:pPr>
        <w:spacing w:line="360" w:lineRule="auto"/>
        <w:ind w:left="851" w:hanging="851"/>
        <w:jc w:val="both"/>
        <w:rPr>
          <w:rFonts w:eastAsia="Arial"/>
          <w:color w:val="0070C0"/>
        </w:rPr>
      </w:pPr>
    </w:p>
    <w:sectPr w:rsidR="00DE2367" w:rsidSect="001F4CEE">
      <w:headerReference w:type="default" r:id="rId14"/>
      <w:footerReference w:type="default" r:id="rId15"/>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73C4" w14:textId="77777777" w:rsidR="007D47FB" w:rsidRDefault="007D47FB" w:rsidP="00E33DDC">
      <w:r>
        <w:separator/>
      </w:r>
    </w:p>
  </w:endnote>
  <w:endnote w:type="continuationSeparator" w:id="0">
    <w:p w14:paraId="591C2B0D" w14:textId="77777777" w:rsidR="007D47FB" w:rsidRDefault="007D47FB" w:rsidP="00E3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tka Small">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286D" w14:textId="6FE56FD9" w:rsidR="00B76C3D" w:rsidRDefault="007D47FB" w:rsidP="001F4CEE">
    <w:pPr>
      <w:pStyle w:val="Piedepgina"/>
      <w:jc w:val="center"/>
    </w:pPr>
    <w:sdt>
      <w:sdtPr>
        <w:id w:val="4027598"/>
        <w:docPartObj>
          <w:docPartGallery w:val="Page Numbers (Bottom of Page)"/>
          <w:docPartUnique/>
        </w:docPartObj>
      </w:sdtPr>
      <w:sdtEndPr/>
      <w:sdtContent>
        <w:r w:rsidR="00B76C3D" w:rsidRPr="00B47E30">
          <w:rPr>
            <w:b/>
          </w:rPr>
          <w:t>Vol. 7, Núm. 1</w:t>
        </w:r>
        <w:r w:rsidR="00B76C3D">
          <w:rPr>
            <w:b/>
          </w:rPr>
          <w:t>4</w:t>
        </w:r>
        <w:r w:rsidR="00B76C3D" w:rsidRPr="00B47E30">
          <w:rPr>
            <w:b/>
          </w:rPr>
          <w:t xml:space="preserve">                   </w:t>
        </w:r>
        <w:r w:rsidR="00B76C3D">
          <w:rPr>
            <w:b/>
          </w:rPr>
          <w:t>Julio - Diciembre</w:t>
        </w:r>
        <w:r w:rsidR="00B76C3D" w:rsidRPr="00B47E30">
          <w:rPr>
            <w:b/>
          </w:rPr>
          <w:t xml:space="preserve"> 2018                   DOI:</w:t>
        </w:r>
      </w:sdtContent>
    </w:sdt>
    <w:r w:rsidR="000E022B" w:rsidRPr="000E022B">
      <w:rPr>
        <w:b/>
      </w:rPr>
      <w:t xml:space="preserve"> </w:t>
    </w:r>
    <w:hyperlink r:id="rId1" w:history="1">
      <w:r w:rsidR="000E022B" w:rsidRPr="000E022B">
        <w:rPr>
          <w:b/>
        </w:rPr>
        <w:t>10.23913/</w:t>
      </w:r>
      <w:proofErr w:type="gramStart"/>
      <w:r w:rsidR="000E022B" w:rsidRPr="000E022B">
        <w:rPr>
          <w:b/>
        </w:rPr>
        <w:t>rics.v</w:t>
      </w:r>
      <w:proofErr w:type="gramEnd"/>
      <w:r w:rsidR="000E022B" w:rsidRPr="000E022B">
        <w:rPr>
          <w:b/>
        </w:rPr>
        <w:t>7i14.68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CE84D" w14:textId="77777777" w:rsidR="007D47FB" w:rsidRDefault="007D47FB" w:rsidP="00E33DDC">
      <w:r>
        <w:separator/>
      </w:r>
    </w:p>
  </w:footnote>
  <w:footnote w:type="continuationSeparator" w:id="0">
    <w:p w14:paraId="44529CB2" w14:textId="77777777" w:rsidR="007D47FB" w:rsidRDefault="007D47FB" w:rsidP="00E3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DC43" w14:textId="7A13B051" w:rsidR="00B76C3D" w:rsidRDefault="00B76C3D" w:rsidP="001F4CEE">
    <w:pPr>
      <w:pStyle w:val="Encabezado"/>
      <w:jc w:val="center"/>
    </w:pPr>
    <w:r>
      <w:rPr>
        <w:noProof/>
        <w:lang w:val="es-ES_tradnl" w:eastAsia="es-ES_tradnl"/>
      </w:rPr>
      <w:drawing>
        <wp:inline distT="0" distB="0" distL="0" distR="0" wp14:anchorId="6060076A" wp14:editId="5F094E3D">
          <wp:extent cx="5610225" cy="666750"/>
          <wp:effectExtent l="0" t="0" r="952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A1D3D"/>
    <w:multiLevelType w:val="hybridMultilevel"/>
    <w:tmpl w:val="CD246C3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ED"/>
    <w:rsid w:val="00010805"/>
    <w:rsid w:val="00010C63"/>
    <w:rsid w:val="00024F68"/>
    <w:rsid w:val="00031E7B"/>
    <w:rsid w:val="000428B5"/>
    <w:rsid w:val="00044DAD"/>
    <w:rsid w:val="000468F2"/>
    <w:rsid w:val="00050D56"/>
    <w:rsid w:val="0006149A"/>
    <w:rsid w:val="000650F0"/>
    <w:rsid w:val="0006550E"/>
    <w:rsid w:val="000672D1"/>
    <w:rsid w:val="00077251"/>
    <w:rsid w:val="00081E09"/>
    <w:rsid w:val="000879BD"/>
    <w:rsid w:val="0009103D"/>
    <w:rsid w:val="00093AFE"/>
    <w:rsid w:val="00094E1E"/>
    <w:rsid w:val="000A207C"/>
    <w:rsid w:val="000A442A"/>
    <w:rsid w:val="000A5EE6"/>
    <w:rsid w:val="000A6E7F"/>
    <w:rsid w:val="000B5029"/>
    <w:rsid w:val="000B63D5"/>
    <w:rsid w:val="000B6F8B"/>
    <w:rsid w:val="000C34F6"/>
    <w:rsid w:val="000D0524"/>
    <w:rsid w:val="000D099B"/>
    <w:rsid w:val="000D3F21"/>
    <w:rsid w:val="000D69CE"/>
    <w:rsid w:val="000E022B"/>
    <w:rsid w:val="000F3288"/>
    <w:rsid w:val="000F531A"/>
    <w:rsid w:val="00112563"/>
    <w:rsid w:val="00113F17"/>
    <w:rsid w:val="0012108A"/>
    <w:rsid w:val="00125888"/>
    <w:rsid w:val="00132489"/>
    <w:rsid w:val="00137759"/>
    <w:rsid w:val="0014499E"/>
    <w:rsid w:val="00166B60"/>
    <w:rsid w:val="00167004"/>
    <w:rsid w:val="00170429"/>
    <w:rsid w:val="00176A6F"/>
    <w:rsid w:val="00180717"/>
    <w:rsid w:val="00183379"/>
    <w:rsid w:val="00185FD1"/>
    <w:rsid w:val="00191243"/>
    <w:rsid w:val="001959E9"/>
    <w:rsid w:val="001B0EB2"/>
    <w:rsid w:val="001B403B"/>
    <w:rsid w:val="001B428D"/>
    <w:rsid w:val="001C59C4"/>
    <w:rsid w:val="001C66C3"/>
    <w:rsid w:val="001D3003"/>
    <w:rsid w:val="001E1764"/>
    <w:rsid w:val="001E6F41"/>
    <w:rsid w:val="001F4CEE"/>
    <w:rsid w:val="001F4D77"/>
    <w:rsid w:val="002008F5"/>
    <w:rsid w:val="00215714"/>
    <w:rsid w:val="00230825"/>
    <w:rsid w:val="00233483"/>
    <w:rsid w:val="002533ED"/>
    <w:rsid w:val="00257C50"/>
    <w:rsid w:val="00264A7B"/>
    <w:rsid w:val="00265F37"/>
    <w:rsid w:val="002757B0"/>
    <w:rsid w:val="00281A69"/>
    <w:rsid w:val="00294507"/>
    <w:rsid w:val="0029713C"/>
    <w:rsid w:val="00297DF7"/>
    <w:rsid w:val="002B1B36"/>
    <w:rsid w:val="002C564C"/>
    <w:rsid w:val="002E0557"/>
    <w:rsid w:val="002E60B8"/>
    <w:rsid w:val="00303DDE"/>
    <w:rsid w:val="00305FF6"/>
    <w:rsid w:val="003162CB"/>
    <w:rsid w:val="00316C6A"/>
    <w:rsid w:val="00320B94"/>
    <w:rsid w:val="00326555"/>
    <w:rsid w:val="00327100"/>
    <w:rsid w:val="003279E1"/>
    <w:rsid w:val="0033463F"/>
    <w:rsid w:val="00341072"/>
    <w:rsid w:val="0034229A"/>
    <w:rsid w:val="0034313D"/>
    <w:rsid w:val="00345028"/>
    <w:rsid w:val="00345FC2"/>
    <w:rsid w:val="0034733D"/>
    <w:rsid w:val="003560CC"/>
    <w:rsid w:val="00373A07"/>
    <w:rsid w:val="00373DBA"/>
    <w:rsid w:val="0037499A"/>
    <w:rsid w:val="00383D7D"/>
    <w:rsid w:val="00385B7D"/>
    <w:rsid w:val="00396FD2"/>
    <w:rsid w:val="003A0E67"/>
    <w:rsid w:val="003B1B77"/>
    <w:rsid w:val="003C33EF"/>
    <w:rsid w:val="003C57A5"/>
    <w:rsid w:val="003F153E"/>
    <w:rsid w:val="003F3F5D"/>
    <w:rsid w:val="003F66A9"/>
    <w:rsid w:val="00400331"/>
    <w:rsid w:val="00404220"/>
    <w:rsid w:val="0041415E"/>
    <w:rsid w:val="00422FAF"/>
    <w:rsid w:val="00435CE0"/>
    <w:rsid w:val="00455673"/>
    <w:rsid w:val="004632C9"/>
    <w:rsid w:val="004642D6"/>
    <w:rsid w:val="00467698"/>
    <w:rsid w:val="00471347"/>
    <w:rsid w:val="004718CC"/>
    <w:rsid w:val="0048024D"/>
    <w:rsid w:val="00495C3C"/>
    <w:rsid w:val="004970F8"/>
    <w:rsid w:val="004A3A1F"/>
    <w:rsid w:val="004B3833"/>
    <w:rsid w:val="004C3E46"/>
    <w:rsid w:val="004C7EDA"/>
    <w:rsid w:val="004D0056"/>
    <w:rsid w:val="004D18A2"/>
    <w:rsid w:val="004E19C6"/>
    <w:rsid w:val="004E37E3"/>
    <w:rsid w:val="004E48E7"/>
    <w:rsid w:val="004F018E"/>
    <w:rsid w:val="004F7545"/>
    <w:rsid w:val="004F7BAC"/>
    <w:rsid w:val="005036B1"/>
    <w:rsid w:val="0050525D"/>
    <w:rsid w:val="00510FC1"/>
    <w:rsid w:val="00514F71"/>
    <w:rsid w:val="0052049C"/>
    <w:rsid w:val="005267AC"/>
    <w:rsid w:val="0053546D"/>
    <w:rsid w:val="00535F47"/>
    <w:rsid w:val="00543363"/>
    <w:rsid w:val="005520C1"/>
    <w:rsid w:val="005621B0"/>
    <w:rsid w:val="00566C1A"/>
    <w:rsid w:val="005744DB"/>
    <w:rsid w:val="00575B97"/>
    <w:rsid w:val="005900D7"/>
    <w:rsid w:val="00595073"/>
    <w:rsid w:val="00595336"/>
    <w:rsid w:val="00596E1F"/>
    <w:rsid w:val="005A4ACD"/>
    <w:rsid w:val="005A5AAC"/>
    <w:rsid w:val="005B1CBA"/>
    <w:rsid w:val="005B2C7C"/>
    <w:rsid w:val="005C2D16"/>
    <w:rsid w:val="005C7FC3"/>
    <w:rsid w:val="005D4E07"/>
    <w:rsid w:val="005E1C76"/>
    <w:rsid w:val="005E1D15"/>
    <w:rsid w:val="005E274D"/>
    <w:rsid w:val="005F2750"/>
    <w:rsid w:val="005F47A6"/>
    <w:rsid w:val="00604496"/>
    <w:rsid w:val="00604CBE"/>
    <w:rsid w:val="00615506"/>
    <w:rsid w:val="00616727"/>
    <w:rsid w:val="00621011"/>
    <w:rsid w:val="00633FC9"/>
    <w:rsid w:val="0063507C"/>
    <w:rsid w:val="00646677"/>
    <w:rsid w:val="00653C7C"/>
    <w:rsid w:val="006545C3"/>
    <w:rsid w:val="00654DE9"/>
    <w:rsid w:val="006560F9"/>
    <w:rsid w:val="00693461"/>
    <w:rsid w:val="006969A7"/>
    <w:rsid w:val="00697753"/>
    <w:rsid w:val="006977BF"/>
    <w:rsid w:val="006A1D62"/>
    <w:rsid w:val="006A5D80"/>
    <w:rsid w:val="006A66A4"/>
    <w:rsid w:val="006B3DF4"/>
    <w:rsid w:val="006B48C0"/>
    <w:rsid w:val="006B49A5"/>
    <w:rsid w:val="006C0AD3"/>
    <w:rsid w:val="006C45A1"/>
    <w:rsid w:val="006C46AA"/>
    <w:rsid w:val="006C5E80"/>
    <w:rsid w:val="006C6550"/>
    <w:rsid w:val="006E4CE0"/>
    <w:rsid w:val="006F1663"/>
    <w:rsid w:val="006F3655"/>
    <w:rsid w:val="006F51C7"/>
    <w:rsid w:val="00706973"/>
    <w:rsid w:val="007100A0"/>
    <w:rsid w:val="00711D7D"/>
    <w:rsid w:val="00720C86"/>
    <w:rsid w:val="00726658"/>
    <w:rsid w:val="00732570"/>
    <w:rsid w:val="00732E06"/>
    <w:rsid w:val="007545A9"/>
    <w:rsid w:val="0075785F"/>
    <w:rsid w:val="00765197"/>
    <w:rsid w:val="00766ADE"/>
    <w:rsid w:val="007678F2"/>
    <w:rsid w:val="00775827"/>
    <w:rsid w:val="00775E7F"/>
    <w:rsid w:val="0078122E"/>
    <w:rsid w:val="0078634C"/>
    <w:rsid w:val="0079364B"/>
    <w:rsid w:val="007A4182"/>
    <w:rsid w:val="007A5F6C"/>
    <w:rsid w:val="007C1803"/>
    <w:rsid w:val="007C3A27"/>
    <w:rsid w:val="007D47FB"/>
    <w:rsid w:val="007E35D8"/>
    <w:rsid w:val="007E4DA5"/>
    <w:rsid w:val="007E7542"/>
    <w:rsid w:val="007F55A5"/>
    <w:rsid w:val="007F6970"/>
    <w:rsid w:val="00801254"/>
    <w:rsid w:val="00801CE4"/>
    <w:rsid w:val="00801EBB"/>
    <w:rsid w:val="00802EFD"/>
    <w:rsid w:val="00806565"/>
    <w:rsid w:val="00811C96"/>
    <w:rsid w:val="00814A21"/>
    <w:rsid w:val="00822BE4"/>
    <w:rsid w:val="008255A7"/>
    <w:rsid w:val="008304F1"/>
    <w:rsid w:val="00833C26"/>
    <w:rsid w:val="008437B8"/>
    <w:rsid w:val="008616E5"/>
    <w:rsid w:val="00862FEE"/>
    <w:rsid w:val="00872B73"/>
    <w:rsid w:val="0087350A"/>
    <w:rsid w:val="00875D49"/>
    <w:rsid w:val="00877653"/>
    <w:rsid w:val="0089203C"/>
    <w:rsid w:val="008A0B4B"/>
    <w:rsid w:val="008A158E"/>
    <w:rsid w:val="008A2324"/>
    <w:rsid w:val="008A6E1E"/>
    <w:rsid w:val="008A7604"/>
    <w:rsid w:val="008B2F83"/>
    <w:rsid w:val="008B4183"/>
    <w:rsid w:val="008C563D"/>
    <w:rsid w:val="008C676A"/>
    <w:rsid w:val="008C695B"/>
    <w:rsid w:val="008D000F"/>
    <w:rsid w:val="008E2E3E"/>
    <w:rsid w:val="008F2936"/>
    <w:rsid w:val="00905008"/>
    <w:rsid w:val="009117B6"/>
    <w:rsid w:val="009122AF"/>
    <w:rsid w:val="009145ED"/>
    <w:rsid w:val="0092224D"/>
    <w:rsid w:val="00934C74"/>
    <w:rsid w:val="009370C7"/>
    <w:rsid w:val="0094608D"/>
    <w:rsid w:val="00953827"/>
    <w:rsid w:val="00970175"/>
    <w:rsid w:val="0097034C"/>
    <w:rsid w:val="00975A3C"/>
    <w:rsid w:val="009772AA"/>
    <w:rsid w:val="009808AD"/>
    <w:rsid w:val="00993D08"/>
    <w:rsid w:val="009A5D1F"/>
    <w:rsid w:val="009A6CE8"/>
    <w:rsid w:val="009B0CFC"/>
    <w:rsid w:val="009C3099"/>
    <w:rsid w:val="009C3A4D"/>
    <w:rsid w:val="009D1B0C"/>
    <w:rsid w:val="009E1D70"/>
    <w:rsid w:val="009E4145"/>
    <w:rsid w:val="009E48B3"/>
    <w:rsid w:val="009E527F"/>
    <w:rsid w:val="009E6ECC"/>
    <w:rsid w:val="00A00F6E"/>
    <w:rsid w:val="00A03EC4"/>
    <w:rsid w:val="00A06D2C"/>
    <w:rsid w:val="00A0709F"/>
    <w:rsid w:val="00A21516"/>
    <w:rsid w:val="00A2679A"/>
    <w:rsid w:val="00A339D2"/>
    <w:rsid w:val="00A35CEE"/>
    <w:rsid w:val="00A37F44"/>
    <w:rsid w:val="00A41B30"/>
    <w:rsid w:val="00A45D9D"/>
    <w:rsid w:val="00A5187B"/>
    <w:rsid w:val="00A53990"/>
    <w:rsid w:val="00A64501"/>
    <w:rsid w:val="00A6783F"/>
    <w:rsid w:val="00A82E40"/>
    <w:rsid w:val="00A953E7"/>
    <w:rsid w:val="00A96D50"/>
    <w:rsid w:val="00AA1AC4"/>
    <w:rsid w:val="00AB070F"/>
    <w:rsid w:val="00AC07B2"/>
    <w:rsid w:val="00AD167D"/>
    <w:rsid w:val="00AD61A3"/>
    <w:rsid w:val="00AD64B5"/>
    <w:rsid w:val="00AD7B2A"/>
    <w:rsid w:val="00AE05EA"/>
    <w:rsid w:val="00AE38EB"/>
    <w:rsid w:val="00AF2CBF"/>
    <w:rsid w:val="00AF5FC9"/>
    <w:rsid w:val="00B02CC1"/>
    <w:rsid w:val="00B03644"/>
    <w:rsid w:val="00B210D5"/>
    <w:rsid w:val="00B23469"/>
    <w:rsid w:val="00B27484"/>
    <w:rsid w:val="00B31FC8"/>
    <w:rsid w:val="00B6039C"/>
    <w:rsid w:val="00B6236A"/>
    <w:rsid w:val="00B623D5"/>
    <w:rsid w:val="00B71518"/>
    <w:rsid w:val="00B71B0A"/>
    <w:rsid w:val="00B76C3D"/>
    <w:rsid w:val="00B82314"/>
    <w:rsid w:val="00B8522F"/>
    <w:rsid w:val="00B957D2"/>
    <w:rsid w:val="00BB1169"/>
    <w:rsid w:val="00BB2ED3"/>
    <w:rsid w:val="00BC6DB3"/>
    <w:rsid w:val="00BD1155"/>
    <w:rsid w:val="00BD278E"/>
    <w:rsid w:val="00BE46FD"/>
    <w:rsid w:val="00BE552E"/>
    <w:rsid w:val="00C01DBB"/>
    <w:rsid w:val="00C02C83"/>
    <w:rsid w:val="00C03974"/>
    <w:rsid w:val="00C3181A"/>
    <w:rsid w:val="00C4133E"/>
    <w:rsid w:val="00C44BD5"/>
    <w:rsid w:val="00C521F0"/>
    <w:rsid w:val="00C60B52"/>
    <w:rsid w:val="00C614DC"/>
    <w:rsid w:val="00C627EA"/>
    <w:rsid w:val="00C71CC8"/>
    <w:rsid w:val="00C807A6"/>
    <w:rsid w:val="00C8154E"/>
    <w:rsid w:val="00C81B2C"/>
    <w:rsid w:val="00C91C67"/>
    <w:rsid w:val="00C9403B"/>
    <w:rsid w:val="00CA217B"/>
    <w:rsid w:val="00CA5E6E"/>
    <w:rsid w:val="00CB0DDF"/>
    <w:rsid w:val="00CB5204"/>
    <w:rsid w:val="00CC0F1D"/>
    <w:rsid w:val="00CF4F6B"/>
    <w:rsid w:val="00D01FAB"/>
    <w:rsid w:val="00D04F5D"/>
    <w:rsid w:val="00D12549"/>
    <w:rsid w:val="00D26C55"/>
    <w:rsid w:val="00D3470F"/>
    <w:rsid w:val="00D45559"/>
    <w:rsid w:val="00D60F9C"/>
    <w:rsid w:val="00D63037"/>
    <w:rsid w:val="00D63947"/>
    <w:rsid w:val="00D67165"/>
    <w:rsid w:val="00D67720"/>
    <w:rsid w:val="00D71441"/>
    <w:rsid w:val="00D802E4"/>
    <w:rsid w:val="00D96ADE"/>
    <w:rsid w:val="00D96AE9"/>
    <w:rsid w:val="00DA3478"/>
    <w:rsid w:val="00DB4760"/>
    <w:rsid w:val="00DB7974"/>
    <w:rsid w:val="00DC262F"/>
    <w:rsid w:val="00DC296E"/>
    <w:rsid w:val="00DC5E84"/>
    <w:rsid w:val="00DD0186"/>
    <w:rsid w:val="00DD56A1"/>
    <w:rsid w:val="00DE1183"/>
    <w:rsid w:val="00DE2367"/>
    <w:rsid w:val="00DE296E"/>
    <w:rsid w:val="00DE5986"/>
    <w:rsid w:val="00DE7AE6"/>
    <w:rsid w:val="00DF0498"/>
    <w:rsid w:val="00DF22B6"/>
    <w:rsid w:val="00DF52DB"/>
    <w:rsid w:val="00DF6261"/>
    <w:rsid w:val="00DF6BFA"/>
    <w:rsid w:val="00DF7575"/>
    <w:rsid w:val="00E01239"/>
    <w:rsid w:val="00E022D2"/>
    <w:rsid w:val="00E052C6"/>
    <w:rsid w:val="00E23795"/>
    <w:rsid w:val="00E2532B"/>
    <w:rsid w:val="00E27833"/>
    <w:rsid w:val="00E32782"/>
    <w:rsid w:val="00E33DDC"/>
    <w:rsid w:val="00E51CF2"/>
    <w:rsid w:val="00E6393D"/>
    <w:rsid w:val="00E66D9B"/>
    <w:rsid w:val="00E7061C"/>
    <w:rsid w:val="00E73CE5"/>
    <w:rsid w:val="00E73E7C"/>
    <w:rsid w:val="00E77747"/>
    <w:rsid w:val="00E84C0E"/>
    <w:rsid w:val="00E931DF"/>
    <w:rsid w:val="00E940FE"/>
    <w:rsid w:val="00EA11E4"/>
    <w:rsid w:val="00EB1579"/>
    <w:rsid w:val="00EB404E"/>
    <w:rsid w:val="00EC45FB"/>
    <w:rsid w:val="00EC5AD5"/>
    <w:rsid w:val="00EC66E6"/>
    <w:rsid w:val="00ED0667"/>
    <w:rsid w:val="00ED7E4D"/>
    <w:rsid w:val="00EE2A70"/>
    <w:rsid w:val="00F07F18"/>
    <w:rsid w:val="00F10E74"/>
    <w:rsid w:val="00F12D59"/>
    <w:rsid w:val="00F17255"/>
    <w:rsid w:val="00F17B7A"/>
    <w:rsid w:val="00F27942"/>
    <w:rsid w:val="00F27C15"/>
    <w:rsid w:val="00F364FA"/>
    <w:rsid w:val="00F53CFE"/>
    <w:rsid w:val="00F5444E"/>
    <w:rsid w:val="00F55115"/>
    <w:rsid w:val="00F55FAA"/>
    <w:rsid w:val="00F66625"/>
    <w:rsid w:val="00F7132B"/>
    <w:rsid w:val="00F72FE0"/>
    <w:rsid w:val="00F9137E"/>
    <w:rsid w:val="00FB2780"/>
    <w:rsid w:val="00FC02B6"/>
    <w:rsid w:val="00FC7B79"/>
    <w:rsid w:val="00FD6186"/>
    <w:rsid w:val="00FD66CC"/>
    <w:rsid w:val="00FD7E8A"/>
    <w:rsid w:val="00FE0394"/>
    <w:rsid w:val="00FF34EE"/>
    <w:rsid w:val="00FF394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BB264"/>
  <w15:docId w15:val="{9365EA7F-8789-43A3-9A1F-F3EE21D2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C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3560CC"/>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B31F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95C3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33ED"/>
    <w:rPr>
      <w:color w:val="0000FF" w:themeColor="hyperlink"/>
      <w:u w:val="single"/>
    </w:rPr>
  </w:style>
  <w:style w:type="character" w:styleId="nfasis">
    <w:name w:val="Emphasis"/>
    <w:basedOn w:val="Fuentedeprrafopredeter"/>
    <w:uiPriority w:val="20"/>
    <w:qFormat/>
    <w:rsid w:val="008616E5"/>
    <w:rPr>
      <w:i/>
      <w:iCs/>
    </w:rPr>
  </w:style>
  <w:style w:type="table" w:styleId="Cuadrculaclara-nfasis5">
    <w:name w:val="Light Grid Accent 5"/>
    <w:basedOn w:val="Tablanormal"/>
    <w:uiPriority w:val="62"/>
    <w:rsid w:val="008E2E3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8E2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E3E"/>
    <w:rPr>
      <w:rFonts w:ascii="Tahoma" w:hAnsi="Tahoma" w:cs="Tahoma"/>
      <w:sz w:val="16"/>
      <w:szCs w:val="16"/>
    </w:rPr>
  </w:style>
  <w:style w:type="table" w:customStyle="1" w:styleId="Tabladecuadrcula6concolores-nfasis51">
    <w:name w:val="Tabla de cuadrícula 6 con colores - Énfasis 51"/>
    <w:basedOn w:val="Tablanormal"/>
    <w:uiPriority w:val="51"/>
    <w:rsid w:val="007100A0"/>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inespaciado">
    <w:name w:val="No Spacing"/>
    <w:uiPriority w:val="1"/>
    <w:qFormat/>
    <w:rsid w:val="007100A0"/>
    <w:pPr>
      <w:spacing w:after="0" w:line="240" w:lineRule="auto"/>
    </w:pPr>
  </w:style>
  <w:style w:type="table" w:styleId="Tablaconcuadrcula">
    <w:name w:val="Table Grid"/>
    <w:basedOn w:val="Tablanormal"/>
    <w:uiPriority w:val="59"/>
    <w:rsid w:val="00EC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5354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E33DD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33DDC"/>
  </w:style>
  <w:style w:type="paragraph" w:styleId="Piedepgina">
    <w:name w:val="footer"/>
    <w:basedOn w:val="Normal"/>
    <w:link w:val="PiedepginaCar"/>
    <w:uiPriority w:val="99"/>
    <w:unhideWhenUsed/>
    <w:rsid w:val="00E33DDC"/>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33DDC"/>
  </w:style>
  <w:style w:type="paragraph" w:styleId="Prrafodelista">
    <w:name w:val="List Paragraph"/>
    <w:basedOn w:val="Normal"/>
    <w:uiPriority w:val="34"/>
    <w:qFormat/>
    <w:rsid w:val="00B8522F"/>
    <w:pPr>
      <w:spacing w:after="160" w:line="259" w:lineRule="auto"/>
      <w:ind w:left="720"/>
      <w:contextualSpacing/>
    </w:pPr>
    <w:rPr>
      <w:rFonts w:asciiTheme="minorHAnsi" w:eastAsiaTheme="minorHAnsi" w:hAnsiTheme="minorHAnsi" w:cstheme="minorBidi"/>
      <w:sz w:val="22"/>
      <w:szCs w:val="22"/>
      <w:lang w:val="es-ES" w:eastAsia="en-US"/>
    </w:rPr>
  </w:style>
  <w:style w:type="table" w:styleId="Cuadrculaclara-nfasis1">
    <w:name w:val="Light Grid Accent 1"/>
    <w:basedOn w:val="Tablanormal"/>
    <w:uiPriority w:val="62"/>
    <w:rsid w:val="005A5A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2">
    <w:name w:val="Light Shading Accent 2"/>
    <w:basedOn w:val="Tablanormal"/>
    <w:uiPriority w:val="60"/>
    <w:rsid w:val="005A5AA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tulo1Car">
    <w:name w:val="Título 1 Car"/>
    <w:basedOn w:val="Fuentedeprrafopredeter"/>
    <w:link w:val="Ttulo1"/>
    <w:uiPriority w:val="9"/>
    <w:rsid w:val="003560CC"/>
    <w:rPr>
      <w:rFonts w:ascii="Times New Roman" w:eastAsia="Times New Roman" w:hAnsi="Times New Roman" w:cs="Times New Roman"/>
      <w:b/>
      <w:bCs/>
      <w:kern w:val="36"/>
      <w:sz w:val="48"/>
      <w:szCs w:val="48"/>
      <w:lang w:eastAsia="es-MX"/>
    </w:rPr>
  </w:style>
  <w:style w:type="character" w:customStyle="1" w:styleId="hiddenreadable">
    <w:name w:val="hiddenreadable"/>
    <w:basedOn w:val="Fuentedeprrafopredeter"/>
    <w:rsid w:val="000A6E7F"/>
  </w:style>
  <w:style w:type="paragraph" w:styleId="HTMLconformatoprevio">
    <w:name w:val="HTML Preformatted"/>
    <w:basedOn w:val="Normal"/>
    <w:link w:val="HTMLconformatoprevioCar"/>
    <w:uiPriority w:val="99"/>
    <w:unhideWhenUsed/>
    <w:rsid w:val="001C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59C4"/>
    <w:rPr>
      <w:rFonts w:ascii="Courier New" w:eastAsia="Times New Roman" w:hAnsi="Courier New" w:cs="Courier New"/>
      <w:sz w:val="20"/>
      <w:szCs w:val="20"/>
      <w:lang w:eastAsia="es-MX"/>
    </w:rPr>
  </w:style>
  <w:style w:type="character" w:styleId="CdigoHTML">
    <w:name w:val="HTML Code"/>
    <w:basedOn w:val="Fuentedeprrafopredeter"/>
    <w:uiPriority w:val="99"/>
    <w:semiHidden/>
    <w:unhideWhenUsed/>
    <w:rsid w:val="00166B60"/>
    <w:rPr>
      <w:rFonts w:ascii="Courier New" w:eastAsia="Times New Roman" w:hAnsi="Courier New" w:cs="Courier New"/>
      <w:sz w:val="20"/>
      <w:szCs w:val="20"/>
    </w:rPr>
  </w:style>
  <w:style w:type="character" w:customStyle="1" w:styleId="Mencinsinresolver1">
    <w:name w:val="Mención sin resolver1"/>
    <w:basedOn w:val="Fuentedeprrafopredeter"/>
    <w:uiPriority w:val="99"/>
    <w:semiHidden/>
    <w:unhideWhenUsed/>
    <w:rsid w:val="00726658"/>
    <w:rPr>
      <w:color w:val="808080"/>
      <w:shd w:val="clear" w:color="auto" w:fill="E6E6E6"/>
    </w:rPr>
  </w:style>
  <w:style w:type="table" w:customStyle="1" w:styleId="Tablaconcuadrcula4-nfasis61">
    <w:name w:val="Tabla con cuadrícula 4 - Énfasis 61"/>
    <w:basedOn w:val="Tablanormal"/>
    <w:uiPriority w:val="49"/>
    <w:rsid w:val="006545C3"/>
    <w:pPr>
      <w:spacing w:after="0" w:line="240" w:lineRule="auto"/>
    </w:pPr>
    <w:rPr>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tulo2Car">
    <w:name w:val="Título 2 Car"/>
    <w:basedOn w:val="Fuentedeprrafopredeter"/>
    <w:link w:val="Ttulo2"/>
    <w:uiPriority w:val="9"/>
    <w:semiHidden/>
    <w:rsid w:val="00B31FC8"/>
    <w:rPr>
      <w:rFonts w:asciiTheme="majorHAnsi" w:eastAsiaTheme="majorEastAsia" w:hAnsiTheme="majorHAnsi" w:cstheme="majorBidi"/>
      <w:color w:val="365F91" w:themeColor="accent1" w:themeShade="BF"/>
      <w:sz w:val="26"/>
      <w:szCs w:val="26"/>
      <w:lang w:eastAsia="es-MX"/>
    </w:rPr>
  </w:style>
  <w:style w:type="table" w:customStyle="1" w:styleId="Tablaconcuadrcula4-nfasis21">
    <w:name w:val="Tabla con cuadrícula 4 - Énfasis 21"/>
    <w:basedOn w:val="Tablanormal"/>
    <w:uiPriority w:val="49"/>
    <w:rsid w:val="004E37E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5oscura-nfasis51">
    <w:name w:val="Tabla con cuadrícula 5 oscura - Énfasis 51"/>
    <w:basedOn w:val="Tablanormal"/>
    <w:uiPriority w:val="50"/>
    <w:rsid w:val="004003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Ttulo3Car">
    <w:name w:val="Título 3 Car"/>
    <w:basedOn w:val="Fuentedeprrafopredeter"/>
    <w:link w:val="Ttulo3"/>
    <w:uiPriority w:val="9"/>
    <w:semiHidden/>
    <w:rsid w:val="00495C3C"/>
    <w:rPr>
      <w:rFonts w:asciiTheme="majorHAnsi" w:eastAsiaTheme="majorEastAsia" w:hAnsiTheme="majorHAnsi" w:cstheme="majorBidi"/>
      <w:color w:val="243F60"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175">
      <w:bodyDiv w:val="1"/>
      <w:marLeft w:val="0"/>
      <w:marRight w:val="0"/>
      <w:marTop w:val="0"/>
      <w:marBottom w:val="0"/>
      <w:divBdr>
        <w:top w:val="none" w:sz="0" w:space="0" w:color="auto"/>
        <w:left w:val="none" w:sz="0" w:space="0" w:color="auto"/>
        <w:bottom w:val="none" w:sz="0" w:space="0" w:color="auto"/>
        <w:right w:val="none" w:sz="0" w:space="0" w:color="auto"/>
      </w:divBdr>
    </w:div>
    <w:div w:id="315956411">
      <w:bodyDiv w:val="1"/>
      <w:marLeft w:val="0"/>
      <w:marRight w:val="0"/>
      <w:marTop w:val="0"/>
      <w:marBottom w:val="0"/>
      <w:divBdr>
        <w:top w:val="none" w:sz="0" w:space="0" w:color="auto"/>
        <w:left w:val="none" w:sz="0" w:space="0" w:color="auto"/>
        <w:bottom w:val="none" w:sz="0" w:space="0" w:color="auto"/>
        <w:right w:val="none" w:sz="0" w:space="0" w:color="auto"/>
      </w:divBdr>
    </w:div>
    <w:div w:id="316035782">
      <w:bodyDiv w:val="1"/>
      <w:marLeft w:val="0"/>
      <w:marRight w:val="0"/>
      <w:marTop w:val="0"/>
      <w:marBottom w:val="0"/>
      <w:divBdr>
        <w:top w:val="none" w:sz="0" w:space="0" w:color="auto"/>
        <w:left w:val="none" w:sz="0" w:space="0" w:color="auto"/>
        <w:bottom w:val="none" w:sz="0" w:space="0" w:color="auto"/>
        <w:right w:val="none" w:sz="0" w:space="0" w:color="auto"/>
      </w:divBdr>
    </w:div>
    <w:div w:id="380834226">
      <w:bodyDiv w:val="1"/>
      <w:marLeft w:val="0"/>
      <w:marRight w:val="0"/>
      <w:marTop w:val="0"/>
      <w:marBottom w:val="0"/>
      <w:divBdr>
        <w:top w:val="none" w:sz="0" w:space="0" w:color="auto"/>
        <w:left w:val="none" w:sz="0" w:space="0" w:color="auto"/>
        <w:bottom w:val="none" w:sz="0" w:space="0" w:color="auto"/>
        <w:right w:val="none" w:sz="0" w:space="0" w:color="auto"/>
      </w:divBdr>
    </w:div>
    <w:div w:id="384061904">
      <w:bodyDiv w:val="1"/>
      <w:marLeft w:val="0"/>
      <w:marRight w:val="0"/>
      <w:marTop w:val="0"/>
      <w:marBottom w:val="0"/>
      <w:divBdr>
        <w:top w:val="none" w:sz="0" w:space="0" w:color="auto"/>
        <w:left w:val="none" w:sz="0" w:space="0" w:color="auto"/>
        <w:bottom w:val="none" w:sz="0" w:space="0" w:color="auto"/>
        <w:right w:val="none" w:sz="0" w:space="0" w:color="auto"/>
      </w:divBdr>
    </w:div>
    <w:div w:id="666371879">
      <w:bodyDiv w:val="1"/>
      <w:marLeft w:val="0"/>
      <w:marRight w:val="0"/>
      <w:marTop w:val="0"/>
      <w:marBottom w:val="0"/>
      <w:divBdr>
        <w:top w:val="none" w:sz="0" w:space="0" w:color="auto"/>
        <w:left w:val="none" w:sz="0" w:space="0" w:color="auto"/>
        <w:bottom w:val="none" w:sz="0" w:space="0" w:color="auto"/>
        <w:right w:val="none" w:sz="0" w:space="0" w:color="auto"/>
      </w:divBdr>
    </w:div>
    <w:div w:id="684094039">
      <w:bodyDiv w:val="1"/>
      <w:marLeft w:val="0"/>
      <w:marRight w:val="0"/>
      <w:marTop w:val="0"/>
      <w:marBottom w:val="0"/>
      <w:divBdr>
        <w:top w:val="none" w:sz="0" w:space="0" w:color="auto"/>
        <w:left w:val="none" w:sz="0" w:space="0" w:color="auto"/>
        <w:bottom w:val="none" w:sz="0" w:space="0" w:color="auto"/>
        <w:right w:val="none" w:sz="0" w:space="0" w:color="auto"/>
      </w:divBdr>
    </w:div>
    <w:div w:id="705447532">
      <w:bodyDiv w:val="1"/>
      <w:marLeft w:val="0"/>
      <w:marRight w:val="0"/>
      <w:marTop w:val="0"/>
      <w:marBottom w:val="0"/>
      <w:divBdr>
        <w:top w:val="none" w:sz="0" w:space="0" w:color="auto"/>
        <w:left w:val="none" w:sz="0" w:space="0" w:color="auto"/>
        <w:bottom w:val="none" w:sz="0" w:space="0" w:color="auto"/>
        <w:right w:val="none" w:sz="0" w:space="0" w:color="auto"/>
      </w:divBdr>
      <w:divsChild>
        <w:div w:id="391731564">
          <w:marLeft w:val="0"/>
          <w:marRight w:val="0"/>
          <w:marTop w:val="0"/>
          <w:marBottom w:val="0"/>
          <w:divBdr>
            <w:top w:val="none" w:sz="0" w:space="0" w:color="auto"/>
            <w:left w:val="none" w:sz="0" w:space="0" w:color="auto"/>
            <w:bottom w:val="none" w:sz="0" w:space="0" w:color="auto"/>
            <w:right w:val="none" w:sz="0" w:space="0" w:color="auto"/>
          </w:divBdr>
          <w:divsChild>
            <w:div w:id="1979411541">
              <w:marLeft w:val="0"/>
              <w:marRight w:val="0"/>
              <w:marTop w:val="0"/>
              <w:marBottom w:val="0"/>
              <w:divBdr>
                <w:top w:val="none" w:sz="0" w:space="0" w:color="auto"/>
                <w:left w:val="none" w:sz="0" w:space="0" w:color="auto"/>
                <w:bottom w:val="none" w:sz="0" w:space="0" w:color="auto"/>
                <w:right w:val="none" w:sz="0" w:space="0" w:color="auto"/>
              </w:divBdr>
              <w:divsChild>
                <w:div w:id="12677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9203">
      <w:bodyDiv w:val="1"/>
      <w:marLeft w:val="0"/>
      <w:marRight w:val="0"/>
      <w:marTop w:val="0"/>
      <w:marBottom w:val="0"/>
      <w:divBdr>
        <w:top w:val="none" w:sz="0" w:space="0" w:color="auto"/>
        <w:left w:val="none" w:sz="0" w:space="0" w:color="auto"/>
        <w:bottom w:val="none" w:sz="0" w:space="0" w:color="auto"/>
        <w:right w:val="none" w:sz="0" w:space="0" w:color="auto"/>
      </w:divBdr>
      <w:divsChild>
        <w:div w:id="2123105258">
          <w:marLeft w:val="0"/>
          <w:marRight w:val="0"/>
          <w:marTop w:val="0"/>
          <w:marBottom w:val="0"/>
          <w:divBdr>
            <w:top w:val="none" w:sz="0" w:space="0" w:color="auto"/>
            <w:left w:val="none" w:sz="0" w:space="0" w:color="auto"/>
            <w:bottom w:val="none" w:sz="0" w:space="0" w:color="auto"/>
            <w:right w:val="none" w:sz="0" w:space="0" w:color="auto"/>
          </w:divBdr>
          <w:divsChild>
            <w:div w:id="1538470902">
              <w:marLeft w:val="0"/>
              <w:marRight w:val="0"/>
              <w:marTop w:val="0"/>
              <w:marBottom w:val="0"/>
              <w:divBdr>
                <w:top w:val="none" w:sz="0" w:space="0" w:color="auto"/>
                <w:left w:val="none" w:sz="0" w:space="0" w:color="auto"/>
                <w:bottom w:val="none" w:sz="0" w:space="0" w:color="auto"/>
                <w:right w:val="none" w:sz="0" w:space="0" w:color="auto"/>
              </w:divBdr>
              <w:divsChild>
                <w:div w:id="934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12153">
      <w:bodyDiv w:val="1"/>
      <w:marLeft w:val="0"/>
      <w:marRight w:val="0"/>
      <w:marTop w:val="0"/>
      <w:marBottom w:val="0"/>
      <w:divBdr>
        <w:top w:val="none" w:sz="0" w:space="0" w:color="auto"/>
        <w:left w:val="none" w:sz="0" w:space="0" w:color="auto"/>
        <w:bottom w:val="none" w:sz="0" w:space="0" w:color="auto"/>
        <w:right w:val="none" w:sz="0" w:space="0" w:color="auto"/>
      </w:divBdr>
    </w:div>
    <w:div w:id="1025135185">
      <w:bodyDiv w:val="1"/>
      <w:marLeft w:val="0"/>
      <w:marRight w:val="0"/>
      <w:marTop w:val="0"/>
      <w:marBottom w:val="0"/>
      <w:divBdr>
        <w:top w:val="none" w:sz="0" w:space="0" w:color="auto"/>
        <w:left w:val="none" w:sz="0" w:space="0" w:color="auto"/>
        <w:bottom w:val="none" w:sz="0" w:space="0" w:color="auto"/>
        <w:right w:val="none" w:sz="0" w:space="0" w:color="auto"/>
      </w:divBdr>
    </w:div>
    <w:div w:id="1128626631">
      <w:bodyDiv w:val="1"/>
      <w:marLeft w:val="0"/>
      <w:marRight w:val="0"/>
      <w:marTop w:val="0"/>
      <w:marBottom w:val="0"/>
      <w:divBdr>
        <w:top w:val="none" w:sz="0" w:space="0" w:color="auto"/>
        <w:left w:val="none" w:sz="0" w:space="0" w:color="auto"/>
        <w:bottom w:val="none" w:sz="0" w:space="0" w:color="auto"/>
        <w:right w:val="none" w:sz="0" w:space="0" w:color="auto"/>
      </w:divBdr>
    </w:div>
    <w:div w:id="1458601392">
      <w:bodyDiv w:val="1"/>
      <w:marLeft w:val="0"/>
      <w:marRight w:val="0"/>
      <w:marTop w:val="0"/>
      <w:marBottom w:val="0"/>
      <w:divBdr>
        <w:top w:val="none" w:sz="0" w:space="0" w:color="auto"/>
        <w:left w:val="none" w:sz="0" w:space="0" w:color="auto"/>
        <w:bottom w:val="none" w:sz="0" w:space="0" w:color="auto"/>
        <w:right w:val="none" w:sz="0" w:space="0" w:color="auto"/>
      </w:divBdr>
    </w:div>
    <w:div w:id="1540438511">
      <w:bodyDiv w:val="1"/>
      <w:marLeft w:val="0"/>
      <w:marRight w:val="0"/>
      <w:marTop w:val="0"/>
      <w:marBottom w:val="0"/>
      <w:divBdr>
        <w:top w:val="none" w:sz="0" w:space="0" w:color="auto"/>
        <w:left w:val="none" w:sz="0" w:space="0" w:color="auto"/>
        <w:bottom w:val="none" w:sz="0" w:space="0" w:color="auto"/>
        <w:right w:val="none" w:sz="0" w:space="0" w:color="auto"/>
      </w:divBdr>
    </w:div>
    <w:div w:id="1812021801">
      <w:bodyDiv w:val="1"/>
      <w:marLeft w:val="0"/>
      <w:marRight w:val="0"/>
      <w:marTop w:val="0"/>
      <w:marBottom w:val="0"/>
      <w:divBdr>
        <w:top w:val="none" w:sz="0" w:space="0" w:color="auto"/>
        <w:left w:val="none" w:sz="0" w:space="0" w:color="auto"/>
        <w:bottom w:val="none" w:sz="0" w:space="0" w:color="auto"/>
        <w:right w:val="none" w:sz="0" w:space="0" w:color="auto"/>
      </w:divBdr>
    </w:div>
    <w:div w:id="1880624368">
      <w:bodyDiv w:val="1"/>
      <w:marLeft w:val="0"/>
      <w:marRight w:val="0"/>
      <w:marTop w:val="0"/>
      <w:marBottom w:val="0"/>
      <w:divBdr>
        <w:top w:val="none" w:sz="0" w:space="0" w:color="auto"/>
        <w:left w:val="none" w:sz="0" w:space="0" w:color="auto"/>
        <w:bottom w:val="none" w:sz="0" w:space="0" w:color="auto"/>
        <w:right w:val="none" w:sz="0" w:space="0" w:color="auto"/>
      </w:divBdr>
      <w:divsChild>
        <w:div w:id="179974130">
          <w:marLeft w:val="0"/>
          <w:marRight w:val="0"/>
          <w:marTop w:val="0"/>
          <w:marBottom w:val="0"/>
          <w:divBdr>
            <w:top w:val="none" w:sz="0" w:space="0" w:color="auto"/>
            <w:left w:val="none" w:sz="0" w:space="0" w:color="auto"/>
            <w:bottom w:val="none" w:sz="0" w:space="0" w:color="auto"/>
            <w:right w:val="none" w:sz="0" w:space="0" w:color="auto"/>
          </w:divBdr>
        </w:div>
      </w:divsChild>
    </w:div>
    <w:div w:id="1906529475">
      <w:bodyDiv w:val="1"/>
      <w:marLeft w:val="0"/>
      <w:marRight w:val="0"/>
      <w:marTop w:val="0"/>
      <w:marBottom w:val="0"/>
      <w:divBdr>
        <w:top w:val="none" w:sz="0" w:space="0" w:color="auto"/>
        <w:left w:val="none" w:sz="0" w:space="0" w:color="auto"/>
        <w:bottom w:val="none" w:sz="0" w:space="0" w:color="auto"/>
        <w:right w:val="none" w:sz="0" w:space="0" w:color="auto"/>
      </w:divBdr>
    </w:div>
    <w:div w:id="1941836067">
      <w:bodyDiv w:val="1"/>
      <w:marLeft w:val="0"/>
      <w:marRight w:val="0"/>
      <w:marTop w:val="0"/>
      <w:marBottom w:val="0"/>
      <w:divBdr>
        <w:top w:val="none" w:sz="0" w:space="0" w:color="auto"/>
        <w:left w:val="none" w:sz="0" w:space="0" w:color="auto"/>
        <w:bottom w:val="none" w:sz="0" w:space="0" w:color="auto"/>
        <w:right w:val="none" w:sz="0" w:space="0" w:color="auto"/>
      </w:divBdr>
      <w:divsChild>
        <w:div w:id="1782995193">
          <w:marLeft w:val="0"/>
          <w:marRight w:val="0"/>
          <w:marTop w:val="0"/>
          <w:marBottom w:val="0"/>
          <w:divBdr>
            <w:top w:val="none" w:sz="0" w:space="0" w:color="auto"/>
            <w:left w:val="none" w:sz="0" w:space="0" w:color="auto"/>
            <w:bottom w:val="none" w:sz="0" w:space="0" w:color="auto"/>
            <w:right w:val="none" w:sz="0" w:space="0" w:color="auto"/>
          </w:divBdr>
          <w:divsChild>
            <w:div w:id="1356736234">
              <w:marLeft w:val="0"/>
              <w:marRight w:val="0"/>
              <w:marTop w:val="0"/>
              <w:marBottom w:val="0"/>
              <w:divBdr>
                <w:top w:val="none" w:sz="0" w:space="0" w:color="auto"/>
                <w:left w:val="none" w:sz="0" w:space="0" w:color="auto"/>
                <w:bottom w:val="none" w:sz="0" w:space="0" w:color="auto"/>
                <w:right w:val="none" w:sz="0" w:space="0" w:color="auto"/>
              </w:divBdr>
              <w:divsChild>
                <w:div w:id="8842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landas@uagro.mx" TargetMode="External"/><Relationship Id="rId13" Type="http://schemas.openxmlformats.org/officeDocument/2006/relationships/hyperlink" Target="http://casus.ucss.edu.pe/index.php/casus/article/view/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gamanuel@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lacruz_ruby@hotmail.com" TargetMode="External"/><Relationship Id="rId4" Type="http://schemas.openxmlformats.org/officeDocument/2006/relationships/settings" Target="settings.xml"/><Relationship Id="rId9" Type="http://schemas.openxmlformats.org/officeDocument/2006/relationships/hyperlink" Target="mailto:squintana@uagro.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xmlns:b="http://schemas.openxmlformats.org/officeDocument/2006/bibliography">
    <b:Tag>Abr10</b:Tag>
    <b:SourceType>JournalArticle</b:SourceType>
    <b:Guid>{AB94AC39-A9D1-464C-B385-CE4886590F05}</b:Guid>
    <b:Author>
      <b:Author>
        <b:NameList>
          <b:Person>
            <b:Last>Abraham Zonana-Nacach</b:Last>
            <b:First>Rogelio</b:First>
            <b:Middle>Baldenebro-Preciado, Marco Antonio Ruiz-Dorado,</b:Middle>
          </b:Person>
        </b:NameList>
      </b:Author>
    </b:Author>
    <b:Title>Efecto de la ganancia de peso gestacional en la madre y el neonato</b:Title>
    <b:JournalName>salud pública de méxico</b:JournalName>
    <b:Year>2010</b:Year>
    <b:Pages>220-225</b:Pages>
    <b:Volume>52</b:Volume>
    <b:Issue>3</b:Issue>
    <b:RefOrder>1</b:RefOrder>
  </b:Source>
</b:Sources>
</file>

<file path=customXml/itemProps1.xml><?xml version="1.0" encoding="utf-8"?>
<ds:datastoreItem xmlns:ds="http://schemas.openxmlformats.org/officeDocument/2006/customXml" ds:itemID="{48E85E96-237B-4F89-8DDA-4333D9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4991</Words>
  <Characters>27455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Naira Niktè Santillan</cp:lastModifiedBy>
  <cp:revision>15</cp:revision>
  <dcterms:created xsi:type="dcterms:W3CDTF">2018-09-19T04:17:00Z</dcterms:created>
  <dcterms:modified xsi:type="dcterms:W3CDTF">2018-09-19T16:57:00Z</dcterms:modified>
</cp:coreProperties>
</file>