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B1" w:rsidRDefault="005B2BB1" w:rsidP="00F34A85">
      <w:pPr>
        <w:pStyle w:val="Textoindependiente2"/>
        <w:spacing w:before="100" w:beforeAutospacing="1" w:after="100" w:afterAutospacing="1" w:line="276" w:lineRule="auto"/>
        <w:ind w:right="-1"/>
        <w:jc w:val="right"/>
        <w:rPr>
          <w:rFonts w:ascii="Calibri" w:hAnsi="Calibri" w:cs="Calibri"/>
          <w:color w:val="7030A0"/>
          <w:sz w:val="36"/>
          <w:szCs w:val="36"/>
          <w:shd w:val="solid" w:color="FFFFFF" w:fill="auto"/>
          <w:lang w:eastAsia="ru-RU"/>
        </w:rPr>
      </w:pPr>
      <w:r w:rsidRPr="00F34A85">
        <w:rPr>
          <w:rFonts w:ascii="Calibri" w:hAnsi="Calibri" w:cs="Calibri"/>
          <w:color w:val="7030A0"/>
          <w:sz w:val="36"/>
          <w:szCs w:val="36"/>
          <w:shd w:val="solid" w:color="FFFFFF" w:fill="auto"/>
          <w:lang w:eastAsia="ru-RU"/>
        </w:rPr>
        <w:t xml:space="preserve">Enfermedades </w:t>
      </w:r>
      <w:r w:rsidR="008A5009" w:rsidRPr="00F34A85">
        <w:rPr>
          <w:rFonts w:ascii="Calibri" w:hAnsi="Calibri" w:cs="Calibri"/>
          <w:color w:val="7030A0"/>
          <w:sz w:val="36"/>
          <w:szCs w:val="36"/>
          <w:shd w:val="solid" w:color="FFFFFF" w:fill="auto"/>
          <w:lang w:eastAsia="ru-RU"/>
        </w:rPr>
        <w:t>c</w:t>
      </w:r>
      <w:r w:rsidRPr="00F34A85">
        <w:rPr>
          <w:rFonts w:ascii="Calibri" w:hAnsi="Calibri" w:cs="Calibri"/>
          <w:color w:val="7030A0"/>
          <w:sz w:val="36"/>
          <w:szCs w:val="36"/>
          <w:shd w:val="solid" w:color="FFFFFF" w:fill="auto"/>
          <w:lang w:eastAsia="ru-RU"/>
        </w:rPr>
        <w:t xml:space="preserve">ardiovasculares, </w:t>
      </w:r>
      <w:r w:rsidR="008A5009" w:rsidRPr="00F34A85">
        <w:rPr>
          <w:rFonts w:ascii="Calibri" w:hAnsi="Calibri" w:cs="Calibri"/>
          <w:color w:val="7030A0"/>
          <w:sz w:val="36"/>
          <w:szCs w:val="36"/>
          <w:shd w:val="solid" w:color="FFFFFF" w:fill="auto"/>
          <w:lang w:eastAsia="ru-RU"/>
        </w:rPr>
        <w:t>h</w:t>
      </w:r>
      <w:r w:rsidRPr="00F34A85">
        <w:rPr>
          <w:rFonts w:ascii="Calibri" w:hAnsi="Calibri" w:cs="Calibri"/>
          <w:color w:val="7030A0"/>
          <w:sz w:val="36"/>
          <w:szCs w:val="36"/>
          <w:shd w:val="solid" w:color="FFFFFF" w:fill="auto"/>
          <w:lang w:eastAsia="ru-RU"/>
        </w:rPr>
        <w:t xml:space="preserve">ipertensión </w:t>
      </w:r>
      <w:r w:rsidR="008A5009" w:rsidRPr="00F34A85">
        <w:rPr>
          <w:rFonts w:ascii="Calibri" w:hAnsi="Calibri" w:cs="Calibri"/>
          <w:color w:val="7030A0"/>
          <w:sz w:val="36"/>
          <w:szCs w:val="36"/>
          <w:shd w:val="solid" w:color="FFFFFF" w:fill="auto"/>
          <w:lang w:eastAsia="ru-RU"/>
        </w:rPr>
        <w:t>a</w:t>
      </w:r>
      <w:r w:rsidRPr="00F34A85">
        <w:rPr>
          <w:rFonts w:ascii="Calibri" w:hAnsi="Calibri" w:cs="Calibri"/>
          <w:color w:val="7030A0"/>
          <w:sz w:val="36"/>
          <w:szCs w:val="36"/>
          <w:shd w:val="solid" w:color="FFFFFF" w:fill="auto"/>
          <w:lang w:eastAsia="ru-RU"/>
        </w:rPr>
        <w:t xml:space="preserve">rterial y </w:t>
      </w:r>
      <w:r w:rsidR="008A5009" w:rsidRPr="00F34A85">
        <w:rPr>
          <w:rFonts w:ascii="Calibri" w:hAnsi="Calibri" w:cs="Calibri"/>
          <w:color w:val="7030A0"/>
          <w:sz w:val="36"/>
          <w:szCs w:val="36"/>
          <w:shd w:val="solid" w:color="FFFFFF" w:fill="auto"/>
          <w:lang w:eastAsia="ru-RU"/>
        </w:rPr>
        <w:t>c</w:t>
      </w:r>
      <w:r w:rsidRPr="00F34A85">
        <w:rPr>
          <w:rFonts w:ascii="Calibri" w:hAnsi="Calibri" w:cs="Calibri"/>
          <w:color w:val="7030A0"/>
          <w:sz w:val="36"/>
          <w:szCs w:val="36"/>
          <w:shd w:val="solid" w:color="FFFFFF" w:fill="auto"/>
          <w:lang w:eastAsia="ru-RU"/>
        </w:rPr>
        <w:t xml:space="preserve">onsumo de </w:t>
      </w:r>
      <w:r w:rsidR="008A5009" w:rsidRPr="00F34A85">
        <w:rPr>
          <w:rFonts w:ascii="Calibri" w:hAnsi="Calibri" w:cs="Calibri"/>
          <w:color w:val="7030A0"/>
          <w:sz w:val="36"/>
          <w:szCs w:val="36"/>
          <w:shd w:val="solid" w:color="FFFFFF" w:fill="auto"/>
          <w:lang w:eastAsia="ru-RU"/>
        </w:rPr>
        <w:t>s</w:t>
      </w:r>
      <w:r w:rsidRPr="00F34A85">
        <w:rPr>
          <w:rFonts w:ascii="Calibri" w:hAnsi="Calibri" w:cs="Calibri"/>
          <w:color w:val="7030A0"/>
          <w:sz w:val="36"/>
          <w:szCs w:val="36"/>
          <w:shd w:val="solid" w:color="FFFFFF" w:fill="auto"/>
          <w:lang w:eastAsia="ru-RU"/>
        </w:rPr>
        <w:t xml:space="preserve">odio: </w:t>
      </w:r>
      <w:r w:rsidR="00EC0571" w:rsidRPr="00F34A85">
        <w:rPr>
          <w:rFonts w:ascii="Calibri" w:hAnsi="Calibri" w:cs="Calibri"/>
          <w:color w:val="7030A0"/>
          <w:sz w:val="36"/>
          <w:szCs w:val="36"/>
          <w:shd w:val="solid" w:color="FFFFFF" w:fill="auto"/>
          <w:lang w:eastAsia="ru-RU"/>
        </w:rPr>
        <w:t>u</w:t>
      </w:r>
      <w:r w:rsidRPr="00F34A85">
        <w:rPr>
          <w:rFonts w:ascii="Calibri" w:hAnsi="Calibri" w:cs="Calibri"/>
          <w:color w:val="7030A0"/>
          <w:sz w:val="36"/>
          <w:szCs w:val="36"/>
          <w:shd w:val="solid" w:color="FFFFFF" w:fill="auto"/>
          <w:lang w:eastAsia="ru-RU"/>
        </w:rPr>
        <w:t>na relación controversial</w:t>
      </w:r>
    </w:p>
    <w:p w:rsidR="00F34A85" w:rsidRDefault="00A64A6E" w:rsidP="00F34A85">
      <w:pPr>
        <w:pStyle w:val="Textoindependiente2"/>
        <w:spacing w:before="100" w:beforeAutospacing="1" w:after="100" w:afterAutospacing="1" w:line="276" w:lineRule="auto"/>
        <w:ind w:right="-1"/>
        <w:jc w:val="right"/>
        <w:rPr>
          <w:rFonts w:ascii="Calibri" w:hAnsi="Calibri" w:cs="Calibri"/>
          <w:i/>
          <w:color w:val="7030A0"/>
          <w:sz w:val="28"/>
          <w:szCs w:val="36"/>
          <w:shd w:val="solid" w:color="FFFFFF" w:fill="auto"/>
          <w:lang w:eastAsia="ru-RU"/>
        </w:rPr>
      </w:pPr>
      <w:r w:rsidRPr="00A64A6E">
        <w:rPr>
          <w:rFonts w:ascii="Calibri" w:hAnsi="Calibri" w:cs="Calibri"/>
          <w:i/>
          <w:color w:val="7030A0"/>
          <w:sz w:val="28"/>
          <w:szCs w:val="36"/>
          <w:shd w:val="solid" w:color="FFFFFF" w:fill="auto"/>
          <w:lang w:eastAsia="ru-RU"/>
        </w:rPr>
        <w:t xml:space="preserve">Cardiovascular </w:t>
      </w:r>
      <w:proofErr w:type="spellStart"/>
      <w:r w:rsidRPr="00A64A6E">
        <w:rPr>
          <w:rFonts w:ascii="Calibri" w:hAnsi="Calibri" w:cs="Calibri"/>
          <w:i/>
          <w:color w:val="7030A0"/>
          <w:sz w:val="28"/>
          <w:szCs w:val="36"/>
          <w:shd w:val="solid" w:color="FFFFFF" w:fill="auto"/>
          <w:lang w:eastAsia="ru-RU"/>
        </w:rPr>
        <w:t>diseases</w:t>
      </w:r>
      <w:proofErr w:type="spellEnd"/>
      <w:r w:rsidRPr="00A64A6E">
        <w:rPr>
          <w:rFonts w:ascii="Calibri" w:hAnsi="Calibri" w:cs="Calibri"/>
          <w:i/>
          <w:color w:val="7030A0"/>
          <w:sz w:val="28"/>
          <w:szCs w:val="36"/>
          <w:shd w:val="solid" w:color="FFFFFF" w:fill="auto"/>
          <w:lang w:eastAsia="ru-RU"/>
        </w:rPr>
        <w:t xml:space="preserve">, </w:t>
      </w:r>
      <w:proofErr w:type="spellStart"/>
      <w:r w:rsidRPr="00A64A6E">
        <w:rPr>
          <w:rFonts w:ascii="Calibri" w:hAnsi="Calibri" w:cs="Calibri"/>
          <w:i/>
          <w:color w:val="7030A0"/>
          <w:sz w:val="28"/>
          <w:szCs w:val="36"/>
          <w:shd w:val="solid" w:color="FFFFFF" w:fill="auto"/>
          <w:lang w:eastAsia="ru-RU"/>
        </w:rPr>
        <w:t>high</w:t>
      </w:r>
      <w:proofErr w:type="spellEnd"/>
      <w:r w:rsidRPr="00A64A6E">
        <w:rPr>
          <w:rFonts w:ascii="Calibri" w:hAnsi="Calibri" w:cs="Calibri"/>
          <w:i/>
          <w:color w:val="7030A0"/>
          <w:sz w:val="28"/>
          <w:szCs w:val="36"/>
          <w:shd w:val="solid" w:color="FFFFFF" w:fill="auto"/>
          <w:lang w:eastAsia="ru-RU"/>
        </w:rPr>
        <w:t xml:space="preserve"> </w:t>
      </w:r>
      <w:proofErr w:type="spellStart"/>
      <w:r w:rsidRPr="00A64A6E">
        <w:rPr>
          <w:rFonts w:ascii="Calibri" w:hAnsi="Calibri" w:cs="Calibri"/>
          <w:i/>
          <w:color w:val="7030A0"/>
          <w:sz w:val="28"/>
          <w:szCs w:val="36"/>
          <w:shd w:val="solid" w:color="FFFFFF" w:fill="auto"/>
          <w:lang w:eastAsia="ru-RU"/>
        </w:rPr>
        <w:t>blood</w:t>
      </w:r>
      <w:proofErr w:type="spellEnd"/>
      <w:r w:rsidRPr="00A64A6E">
        <w:rPr>
          <w:rFonts w:ascii="Calibri" w:hAnsi="Calibri" w:cs="Calibri"/>
          <w:i/>
          <w:color w:val="7030A0"/>
          <w:sz w:val="28"/>
          <w:szCs w:val="36"/>
          <w:shd w:val="solid" w:color="FFFFFF" w:fill="auto"/>
          <w:lang w:eastAsia="ru-RU"/>
        </w:rPr>
        <w:t xml:space="preserve"> </w:t>
      </w:r>
      <w:proofErr w:type="spellStart"/>
      <w:r w:rsidRPr="00A64A6E">
        <w:rPr>
          <w:rFonts w:ascii="Calibri" w:hAnsi="Calibri" w:cs="Calibri"/>
          <w:i/>
          <w:color w:val="7030A0"/>
          <w:sz w:val="28"/>
          <w:szCs w:val="36"/>
          <w:shd w:val="solid" w:color="FFFFFF" w:fill="auto"/>
          <w:lang w:eastAsia="ru-RU"/>
        </w:rPr>
        <w:t>pressure</w:t>
      </w:r>
      <w:proofErr w:type="spellEnd"/>
      <w:r w:rsidRPr="00A64A6E">
        <w:rPr>
          <w:rFonts w:ascii="Calibri" w:hAnsi="Calibri" w:cs="Calibri"/>
          <w:i/>
          <w:color w:val="7030A0"/>
          <w:sz w:val="28"/>
          <w:szCs w:val="36"/>
          <w:shd w:val="solid" w:color="FFFFFF" w:fill="auto"/>
          <w:lang w:eastAsia="ru-RU"/>
        </w:rPr>
        <w:t xml:space="preserve"> and </w:t>
      </w:r>
      <w:proofErr w:type="spellStart"/>
      <w:r w:rsidRPr="00A64A6E">
        <w:rPr>
          <w:rFonts w:ascii="Calibri" w:hAnsi="Calibri" w:cs="Calibri"/>
          <w:i/>
          <w:color w:val="7030A0"/>
          <w:sz w:val="28"/>
          <w:szCs w:val="36"/>
          <w:shd w:val="solid" w:color="FFFFFF" w:fill="auto"/>
          <w:lang w:eastAsia="ru-RU"/>
        </w:rPr>
        <w:t>sodium</w:t>
      </w:r>
      <w:proofErr w:type="spellEnd"/>
      <w:r w:rsidRPr="00A64A6E">
        <w:rPr>
          <w:rFonts w:ascii="Calibri" w:hAnsi="Calibri" w:cs="Calibri"/>
          <w:i/>
          <w:color w:val="7030A0"/>
          <w:sz w:val="28"/>
          <w:szCs w:val="36"/>
          <w:shd w:val="solid" w:color="FFFFFF" w:fill="auto"/>
          <w:lang w:eastAsia="ru-RU"/>
        </w:rPr>
        <w:t xml:space="preserve"> </w:t>
      </w:r>
      <w:proofErr w:type="spellStart"/>
      <w:r w:rsidRPr="00A64A6E">
        <w:rPr>
          <w:rFonts w:ascii="Calibri" w:hAnsi="Calibri" w:cs="Calibri"/>
          <w:i/>
          <w:color w:val="7030A0"/>
          <w:sz w:val="28"/>
          <w:szCs w:val="36"/>
          <w:shd w:val="solid" w:color="FFFFFF" w:fill="auto"/>
          <w:lang w:eastAsia="ru-RU"/>
        </w:rPr>
        <w:t>intake</w:t>
      </w:r>
      <w:proofErr w:type="spellEnd"/>
      <w:r w:rsidRPr="00A64A6E">
        <w:rPr>
          <w:rFonts w:ascii="Calibri" w:hAnsi="Calibri" w:cs="Calibri"/>
          <w:i/>
          <w:color w:val="7030A0"/>
          <w:sz w:val="28"/>
          <w:szCs w:val="36"/>
          <w:shd w:val="solid" w:color="FFFFFF" w:fill="auto"/>
          <w:lang w:eastAsia="ru-RU"/>
        </w:rPr>
        <w:t xml:space="preserve">: a controversial </w:t>
      </w:r>
      <w:proofErr w:type="spellStart"/>
      <w:r w:rsidRPr="00A64A6E">
        <w:rPr>
          <w:rFonts w:ascii="Calibri" w:hAnsi="Calibri" w:cs="Calibri"/>
          <w:i/>
          <w:color w:val="7030A0"/>
          <w:sz w:val="28"/>
          <w:szCs w:val="36"/>
          <w:shd w:val="solid" w:color="FFFFFF" w:fill="auto"/>
          <w:lang w:eastAsia="ru-RU"/>
        </w:rPr>
        <w:t>relationship</w:t>
      </w:r>
      <w:proofErr w:type="spellEnd"/>
    </w:p>
    <w:p w:rsidR="00F34A85" w:rsidRPr="00F34A85" w:rsidRDefault="00F34A85" w:rsidP="00F34A85">
      <w:pPr>
        <w:pStyle w:val="Textoindependiente2"/>
        <w:spacing w:before="100" w:beforeAutospacing="1" w:after="100" w:afterAutospacing="1" w:line="276" w:lineRule="auto"/>
        <w:ind w:right="-1"/>
        <w:jc w:val="right"/>
        <w:rPr>
          <w:rFonts w:ascii="Calibri" w:hAnsi="Calibri" w:cs="Calibri"/>
          <w:i/>
          <w:color w:val="7030A0"/>
          <w:sz w:val="28"/>
          <w:szCs w:val="36"/>
          <w:shd w:val="solid" w:color="FFFFFF" w:fill="auto"/>
          <w:lang w:eastAsia="ru-RU"/>
        </w:rPr>
      </w:pPr>
      <w:proofErr w:type="spellStart"/>
      <w:r>
        <w:rPr>
          <w:rFonts w:ascii="Calibri" w:hAnsi="Calibri" w:cs="Calibri"/>
          <w:i/>
          <w:color w:val="7030A0"/>
          <w:sz w:val="28"/>
          <w:szCs w:val="36"/>
          <w:shd w:val="solid" w:color="FFFFFF" w:fill="auto"/>
          <w:lang w:eastAsia="ru-RU"/>
        </w:rPr>
        <w:t>D</w:t>
      </w:r>
      <w:r w:rsidRPr="00F34A85">
        <w:rPr>
          <w:rFonts w:ascii="Calibri" w:hAnsi="Calibri" w:cs="Calibri"/>
          <w:i/>
          <w:color w:val="7030A0"/>
          <w:sz w:val="28"/>
          <w:szCs w:val="36"/>
          <w:shd w:val="solid" w:color="FFFFFF" w:fill="auto"/>
          <w:lang w:eastAsia="ru-RU"/>
        </w:rPr>
        <w:t>oenças</w:t>
      </w:r>
      <w:proofErr w:type="spellEnd"/>
      <w:r w:rsidRPr="00F34A85">
        <w:rPr>
          <w:rFonts w:ascii="Calibri" w:hAnsi="Calibri" w:cs="Calibri"/>
          <w:i/>
          <w:color w:val="7030A0"/>
          <w:sz w:val="28"/>
          <w:szCs w:val="36"/>
          <w:shd w:val="solid" w:color="FFFFFF" w:fill="auto"/>
          <w:lang w:eastAsia="ru-RU"/>
        </w:rPr>
        <w:t xml:space="preserve"> cardiovasculares, </w:t>
      </w:r>
      <w:proofErr w:type="spellStart"/>
      <w:r w:rsidRPr="00F34A85">
        <w:rPr>
          <w:rFonts w:ascii="Calibri" w:hAnsi="Calibri" w:cs="Calibri"/>
          <w:i/>
          <w:color w:val="7030A0"/>
          <w:sz w:val="28"/>
          <w:szCs w:val="36"/>
          <w:shd w:val="solid" w:color="FFFFFF" w:fill="auto"/>
          <w:lang w:eastAsia="ru-RU"/>
        </w:rPr>
        <w:t>hipertensão</w:t>
      </w:r>
      <w:proofErr w:type="spellEnd"/>
      <w:r w:rsidRPr="00F34A85">
        <w:rPr>
          <w:rFonts w:ascii="Calibri" w:hAnsi="Calibri" w:cs="Calibri"/>
          <w:i/>
          <w:color w:val="7030A0"/>
          <w:sz w:val="28"/>
          <w:szCs w:val="36"/>
          <w:shd w:val="solid" w:color="FFFFFF" w:fill="auto"/>
          <w:lang w:eastAsia="ru-RU"/>
        </w:rPr>
        <w:t xml:space="preserve"> e </w:t>
      </w:r>
      <w:proofErr w:type="spellStart"/>
      <w:r w:rsidRPr="00F34A85">
        <w:rPr>
          <w:rFonts w:ascii="Calibri" w:hAnsi="Calibri" w:cs="Calibri"/>
          <w:i/>
          <w:color w:val="7030A0"/>
          <w:sz w:val="28"/>
          <w:szCs w:val="36"/>
          <w:shd w:val="solid" w:color="FFFFFF" w:fill="auto"/>
          <w:lang w:eastAsia="ru-RU"/>
        </w:rPr>
        <w:t>ingestão</w:t>
      </w:r>
      <w:proofErr w:type="spellEnd"/>
      <w:r w:rsidRPr="00F34A85">
        <w:rPr>
          <w:rFonts w:ascii="Calibri" w:hAnsi="Calibri" w:cs="Calibri"/>
          <w:i/>
          <w:color w:val="7030A0"/>
          <w:sz w:val="28"/>
          <w:szCs w:val="36"/>
          <w:shd w:val="solid" w:color="FFFFFF" w:fill="auto"/>
          <w:lang w:eastAsia="ru-RU"/>
        </w:rPr>
        <w:t xml:space="preserve"> de </w:t>
      </w:r>
      <w:proofErr w:type="spellStart"/>
      <w:r w:rsidRPr="00F34A85">
        <w:rPr>
          <w:rFonts w:ascii="Calibri" w:hAnsi="Calibri" w:cs="Calibri"/>
          <w:i/>
          <w:color w:val="7030A0"/>
          <w:sz w:val="28"/>
          <w:szCs w:val="36"/>
          <w:shd w:val="solid" w:color="FFFFFF" w:fill="auto"/>
          <w:lang w:eastAsia="ru-RU"/>
        </w:rPr>
        <w:t>sódio</w:t>
      </w:r>
      <w:proofErr w:type="spellEnd"/>
      <w:r w:rsidRPr="00F34A85">
        <w:rPr>
          <w:rFonts w:ascii="Calibri" w:hAnsi="Calibri" w:cs="Calibri"/>
          <w:i/>
          <w:color w:val="7030A0"/>
          <w:sz w:val="28"/>
          <w:szCs w:val="36"/>
          <w:shd w:val="solid" w:color="FFFFFF" w:fill="auto"/>
          <w:lang w:eastAsia="ru-RU"/>
        </w:rPr>
        <w:t xml:space="preserve">: a </w:t>
      </w:r>
      <w:proofErr w:type="spellStart"/>
      <w:r w:rsidRPr="00F34A85">
        <w:rPr>
          <w:rFonts w:ascii="Calibri" w:hAnsi="Calibri" w:cs="Calibri"/>
          <w:i/>
          <w:color w:val="7030A0"/>
          <w:sz w:val="28"/>
          <w:szCs w:val="36"/>
          <w:shd w:val="solid" w:color="FFFFFF" w:fill="auto"/>
          <w:lang w:eastAsia="ru-RU"/>
        </w:rPr>
        <w:t>relação</w:t>
      </w:r>
      <w:proofErr w:type="spellEnd"/>
      <w:r w:rsidRPr="00F34A85">
        <w:rPr>
          <w:rFonts w:ascii="Calibri" w:hAnsi="Calibri" w:cs="Calibri"/>
          <w:i/>
          <w:color w:val="7030A0"/>
          <w:sz w:val="28"/>
          <w:szCs w:val="36"/>
          <w:shd w:val="solid" w:color="FFFFFF" w:fill="auto"/>
          <w:lang w:eastAsia="ru-RU"/>
        </w:rPr>
        <w:t xml:space="preserve"> </w:t>
      </w:r>
      <w:proofErr w:type="spellStart"/>
      <w:r w:rsidRPr="00F34A85">
        <w:rPr>
          <w:rFonts w:ascii="Calibri" w:hAnsi="Calibri" w:cs="Calibri"/>
          <w:i/>
          <w:color w:val="7030A0"/>
          <w:sz w:val="28"/>
          <w:szCs w:val="36"/>
          <w:shd w:val="solid" w:color="FFFFFF" w:fill="auto"/>
          <w:lang w:eastAsia="ru-RU"/>
        </w:rPr>
        <w:t>controversa</w:t>
      </w:r>
      <w:proofErr w:type="spellEnd"/>
    </w:p>
    <w:p w:rsidR="00F34A85" w:rsidRDefault="00F34A85" w:rsidP="00527098">
      <w:pPr>
        <w:pStyle w:val="Textoindependiente2"/>
        <w:spacing w:before="100" w:beforeAutospacing="1" w:after="100" w:afterAutospacing="1"/>
        <w:ind w:right="-1"/>
        <w:jc w:val="right"/>
        <w:rPr>
          <w:rFonts w:ascii="Arial" w:hAnsi="Arial" w:cs="Arial"/>
          <w:sz w:val="24"/>
        </w:rPr>
      </w:pPr>
    </w:p>
    <w:p w:rsidR="004411D9" w:rsidRDefault="009F63DD" w:rsidP="00F34A85">
      <w:pPr>
        <w:pStyle w:val="Textoindependiente2"/>
        <w:spacing w:before="100" w:beforeAutospacing="1" w:after="100" w:afterAutospacing="1" w:line="276" w:lineRule="auto"/>
        <w:ind w:right="-1"/>
        <w:jc w:val="right"/>
        <w:rPr>
          <w:rFonts w:ascii="Arial" w:eastAsiaTheme="minorEastAsia" w:hAnsi="Arial" w:cs="Arial"/>
          <w:sz w:val="24"/>
        </w:rPr>
      </w:pPr>
      <w:r w:rsidRPr="00F34A85">
        <w:rPr>
          <w:rFonts w:ascii="Calibri" w:eastAsia="Calibri" w:hAnsi="Calibri" w:cs="Calibri"/>
          <w:b/>
          <w:sz w:val="24"/>
          <w:lang w:val="es-ES" w:eastAsia="en-US"/>
        </w:rPr>
        <w:t>Guadalupe Ruiz Vivanco</w:t>
      </w:r>
      <w:r w:rsidR="00F34A85">
        <w:rPr>
          <w:rFonts w:ascii="Calibri" w:eastAsia="Calibri" w:hAnsi="Calibri" w:cs="Calibri"/>
          <w:b/>
          <w:sz w:val="24"/>
          <w:lang w:val="es-ES" w:eastAsia="en-US"/>
        </w:rPr>
        <w:br/>
      </w:r>
      <w:r w:rsidR="00591D1D" w:rsidRPr="00F34A85">
        <w:rPr>
          <w:rFonts w:ascii="Calibri" w:eastAsia="Calibri" w:hAnsi="Calibri" w:cs="Calibri"/>
          <w:sz w:val="24"/>
          <w:lang w:val="es-ES" w:eastAsia="en-US"/>
        </w:rPr>
        <w:t>Universidad Autónoma de Tlaxcala</w:t>
      </w:r>
      <w:r w:rsidR="0088396B">
        <w:rPr>
          <w:rFonts w:ascii="Calibri" w:eastAsia="Calibri" w:hAnsi="Calibri" w:cs="Calibri"/>
          <w:sz w:val="24"/>
          <w:lang w:val="es-ES" w:eastAsia="en-US"/>
        </w:rPr>
        <w:t xml:space="preserve">, </w:t>
      </w:r>
      <w:r w:rsidR="0088396B" w:rsidRPr="0088396B">
        <w:rPr>
          <w:rFonts w:ascii="Calibri" w:eastAsia="Calibri" w:hAnsi="Calibri" w:cs="Calibri"/>
          <w:sz w:val="24"/>
          <w:lang w:val="es-ES" w:eastAsia="en-US"/>
        </w:rPr>
        <w:t>Doctorado en Ciencias Biológicas</w:t>
      </w:r>
      <w:r w:rsidR="0088396B">
        <w:rPr>
          <w:rFonts w:ascii="Calibri" w:eastAsia="Calibri" w:hAnsi="Calibri" w:cs="Calibri"/>
          <w:sz w:val="24"/>
          <w:lang w:val="es-ES" w:eastAsia="en-US"/>
        </w:rPr>
        <w:br/>
      </w:r>
      <w:r w:rsidR="0088396B" w:rsidRPr="0088396B">
        <w:rPr>
          <w:rFonts w:ascii="Calibri" w:eastAsia="Calibri" w:hAnsi="Calibri" w:cs="Calibri"/>
          <w:sz w:val="24"/>
          <w:lang w:val="es-ES" w:eastAsia="en-US"/>
        </w:rPr>
        <w:t>Facultad de Medicina, Benemérita Universidad Autónoma de Puebla</w:t>
      </w:r>
      <w:r w:rsidR="0088396B">
        <w:rPr>
          <w:rFonts w:ascii="Calibri" w:eastAsia="Calibri" w:hAnsi="Calibri" w:cs="Calibri"/>
          <w:sz w:val="24"/>
          <w:lang w:val="es-ES" w:eastAsia="en-US"/>
        </w:rPr>
        <w:br/>
      </w:r>
      <w:r w:rsidR="0088396B" w:rsidRPr="0088396B">
        <w:rPr>
          <w:rFonts w:ascii="Calibri" w:eastAsia="Calibri" w:hAnsi="Calibri" w:cs="Calibri"/>
          <w:sz w:val="24"/>
          <w:lang w:val="es-ES" w:eastAsia="en-US"/>
        </w:rPr>
        <w:t>Laboratorio de Investigación en Fisiopatología de Enfermedades Crónicas, Centro de Investigación Biomédica de Oriente, IMSS</w:t>
      </w:r>
      <w:r w:rsidR="002C01B8">
        <w:rPr>
          <w:rFonts w:ascii="Calibri" w:eastAsia="Calibri" w:hAnsi="Calibri" w:cs="Calibri"/>
          <w:sz w:val="24"/>
          <w:lang w:val="es-ES" w:eastAsia="en-US"/>
        </w:rPr>
        <w:t>, México</w:t>
      </w:r>
      <w:r w:rsidR="00F34A85">
        <w:rPr>
          <w:rFonts w:ascii="Arial" w:eastAsiaTheme="minorEastAsia" w:hAnsi="Arial" w:cs="Arial"/>
          <w:sz w:val="24"/>
        </w:rPr>
        <w:br/>
      </w:r>
      <w:hyperlink r:id="rId9" w:history="1">
        <w:r w:rsidR="004411D9" w:rsidRPr="00F34A85">
          <w:rPr>
            <w:rStyle w:val="Hipervnculo"/>
            <w:rFonts w:ascii="Calibri" w:eastAsia="Calibri" w:hAnsi="Calibri" w:cs="Calibri"/>
            <w:color w:val="FF0000"/>
            <w:sz w:val="24"/>
            <w:szCs w:val="22"/>
            <w:u w:val="none"/>
            <w:lang w:eastAsia="en-US"/>
          </w:rPr>
          <w:t>grv47@hotmail.com</w:t>
        </w:r>
      </w:hyperlink>
    </w:p>
    <w:p w:rsidR="004411D9" w:rsidRDefault="009F63DD" w:rsidP="00F34A85">
      <w:pPr>
        <w:pStyle w:val="Textoindependiente2"/>
        <w:spacing w:before="100" w:beforeAutospacing="1" w:after="100" w:afterAutospacing="1" w:line="276" w:lineRule="auto"/>
        <w:ind w:right="-1"/>
        <w:jc w:val="right"/>
        <w:rPr>
          <w:rFonts w:ascii="Arial" w:eastAsiaTheme="minorEastAsia" w:hAnsi="Arial" w:cs="Arial"/>
          <w:sz w:val="24"/>
        </w:rPr>
      </w:pPr>
      <w:r w:rsidRPr="00F34A85">
        <w:rPr>
          <w:rFonts w:ascii="Calibri" w:eastAsia="Calibri" w:hAnsi="Calibri" w:cs="Calibri"/>
          <w:b/>
          <w:sz w:val="24"/>
          <w:lang w:val="es-ES" w:eastAsia="en-US"/>
        </w:rPr>
        <w:t>Jorge Rodríguez Antolín</w:t>
      </w:r>
      <w:r w:rsidR="00F34A85">
        <w:rPr>
          <w:rFonts w:ascii="Calibri" w:eastAsia="Calibri" w:hAnsi="Calibri" w:cs="Calibri"/>
          <w:b/>
          <w:sz w:val="24"/>
          <w:lang w:val="es-ES" w:eastAsia="en-US"/>
        </w:rPr>
        <w:br/>
      </w:r>
      <w:r w:rsidR="0088396B" w:rsidRPr="0088396B">
        <w:rPr>
          <w:rFonts w:ascii="Calibri" w:eastAsia="Calibri" w:hAnsi="Calibri" w:cs="Calibri"/>
          <w:sz w:val="24"/>
          <w:lang w:val="es-ES" w:eastAsia="en-US"/>
        </w:rPr>
        <w:t>Centro Tlaxcala de Biología de la Conducta, Universidad Autónoma de Tlaxcala</w:t>
      </w:r>
      <w:r w:rsidR="002C01B8">
        <w:rPr>
          <w:rFonts w:ascii="Calibri" w:eastAsia="Calibri" w:hAnsi="Calibri" w:cs="Calibri"/>
          <w:sz w:val="24"/>
          <w:lang w:val="es-ES" w:eastAsia="en-US"/>
        </w:rPr>
        <w:t>, México</w:t>
      </w:r>
      <w:r w:rsidR="00F34A85">
        <w:rPr>
          <w:rFonts w:ascii="Arial" w:eastAsiaTheme="minorEastAsia" w:hAnsi="Arial" w:cs="Arial"/>
          <w:sz w:val="24"/>
        </w:rPr>
        <w:br/>
      </w:r>
      <w:hyperlink r:id="rId10" w:history="1">
        <w:r w:rsidR="004411D9" w:rsidRPr="00F34A85">
          <w:rPr>
            <w:rStyle w:val="Hipervnculo"/>
            <w:rFonts w:ascii="Calibri" w:eastAsia="Calibri" w:hAnsi="Calibri" w:cs="Calibri"/>
            <w:color w:val="FF0000"/>
            <w:sz w:val="24"/>
            <w:szCs w:val="22"/>
            <w:u w:val="none"/>
            <w:lang w:eastAsia="en-US"/>
          </w:rPr>
          <w:t>antolin26@gmail.com</w:t>
        </w:r>
      </w:hyperlink>
    </w:p>
    <w:p w:rsidR="004411D9" w:rsidRDefault="009F63DD" w:rsidP="00F34A85">
      <w:pPr>
        <w:pStyle w:val="Textoindependiente2"/>
        <w:spacing w:before="100" w:beforeAutospacing="1" w:after="100" w:afterAutospacing="1" w:line="276" w:lineRule="auto"/>
        <w:ind w:right="-1"/>
        <w:jc w:val="right"/>
        <w:rPr>
          <w:rFonts w:ascii="Arial" w:eastAsiaTheme="minorEastAsia" w:hAnsi="Arial" w:cs="Arial"/>
          <w:sz w:val="24"/>
        </w:rPr>
      </w:pPr>
      <w:r w:rsidRPr="00F34A85">
        <w:rPr>
          <w:rFonts w:ascii="Calibri" w:eastAsia="Calibri" w:hAnsi="Calibri" w:cs="Calibri"/>
          <w:b/>
          <w:sz w:val="24"/>
          <w:lang w:val="es-ES" w:eastAsia="en-US"/>
        </w:rPr>
        <w:t>Enrique Torres Rasgado</w:t>
      </w:r>
      <w:r w:rsidR="00F34A85">
        <w:rPr>
          <w:rFonts w:ascii="Calibri" w:eastAsia="Calibri" w:hAnsi="Calibri" w:cs="Calibri"/>
          <w:b/>
          <w:sz w:val="24"/>
          <w:lang w:val="es-ES" w:eastAsia="en-US"/>
        </w:rPr>
        <w:br/>
      </w:r>
      <w:r w:rsidR="0088396B" w:rsidRPr="0088396B">
        <w:rPr>
          <w:rFonts w:ascii="Calibri" w:eastAsia="Calibri" w:hAnsi="Calibri" w:cs="Calibri"/>
          <w:sz w:val="24"/>
          <w:lang w:val="es-ES" w:eastAsia="en-US"/>
        </w:rPr>
        <w:t>Facultad de Medicina, Benemérita Universidad Autónoma de Puebla</w:t>
      </w:r>
      <w:r w:rsidR="002C01B8">
        <w:rPr>
          <w:rFonts w:ascii="Calibri" w:eastAsia="Calibri" w:hAnsi="Calibri" w:cs="Calibri"/>
          <w:sz w:val="24"/>
          <w:lang w:val="es-ES" w:eastAsia="en-US"/>
        </w:rPr>
        <w:t>, México</w:t>
      </w:r>
      <w:r w:rsidR="00F34A85">
        <w:rPr>
          <w:rFonts w:ascii="Arial" w:hAnsi="Arial" w:cs="Arial"/>
          <w:sz w:val="24"/>
        </w:rPr>
        <w:br/>
      </w:r>
      <w:hyperlink r:id="rId11" w:history="1">
        <w:r w:rsidR="004411D9" w:rsidRPr="00F34A85">
          <w:rPr>
            <w:rStyle w:val="Hipervnculo"/>
            <w:rFonts w:ascii="Calibri" w:eastAsia="Calibri" w:hAnsi="Calibri" w:cs="Calibri"/>
            <w:color w:val="FF0000"/>
            <w:sz w:val="24"/>
            <w:szCs w:val="22"/>
            <w:u w:val="none"/>
            <w:lang w:eastAsia="en-US"/>
          </w:rPr>
          <w:t>entora30@yahoo.com</w:t>
        </w:r>
      </w:hyperlink>
    </w:p>
    <w:p w:rsidR="004411D9" w:rsidRPr="00F34A85" w:rsidRDefault="009F63DD" w:rsidP="00F34A85">
      <w:pPr>
        <w:pStyle w:val="Textoindependiente2"/>
        <w:spacing w:before="100" w:beforeAutospacing="1" w:after="100" w:afterAutospacing="1" w:line="276" w:lineRule="auto"/>
        <w:ind w:right="-1"/>
        <w:jc w:val="right"/>
        <w:rPr>
          <w:rStyle w:val="Hipervnculo"/>
          <w:rFonts w:ascii="Calibri" w:eastAsia="Calibri" w:hAnsi="Calibri" w:cs="Calibri"/>
          <w:color w:val="FF0000"/>
          <w:szCs w:val="22"/>
          <w:u w:val="none"/>
          <w:lang w:eastAsia="en-US"/>
        </w:rPr>
      </w:pPr>
      <w:r w:rsidRPr="00F34A85">
        <w:rPr>
          <w:rFonts w:ascii="Calibri" w:eastAsia="Calibri" w:hAnsi="Calibri" w:cs="Calibri"/>
          <w:b/>
          <w:sz w:val="24"/>
          <w:lang w:val="es-ES" w:eastAsia="en-US"/>
        </w:rPr>
        <w:t>Margarita Martínez Gómez</w:t>
      </w:r>
      <w:r w:rsidR="00F34A85">
        <w:rPr>
          <w:rFonts w:ascii="Calibri" w:eastAsia="Calibri" w:hAnsi="Calibri" w:cs="Calibri"/>
          <w:b/>
          <w:sz w:val="24"/>
          <w:lang w:val="es-ES" w:eastAsia="en-US"/>
        </w:rPr>
        <w:br/>
      </w:r>
      <w:r w:rsidR="00215C14" w:rsidRPr="00215C14">
        <w:rPr>
          <w:rFonts w:ascii="Calibri" w:eastAsia="Calibri" w:hAnsi="Calibri" w:cs="Calibri"/>
          <w:sz w:val="24"/>
          <w:lang w:val="es-ES" w:eastAsia="en-US"/>
        </w:rPr>
        <w:t>Departamento de Biología Celular y Fisiología. Instituto de Investigaciones Biomédicas, Universidad Nacional Autónoma de México. Centro Tlaxcala de Biología de la Conducta, Universidad Autónoma de Tlaxcala</w:t>
      </w:r>
      <w:r w:rsidR="002C01B8">
        <w:rPr>
          <w:rFonts w:ascii="Calibri" w:eastAsia="Calibri" w:hAnsi="Calibri" w:cs="Calibri"/>
          <w:sz w:val="24"/>
          <w:lang w:val="es-ES" w:eastAsia="en-US"/>
        </w:rPr>
        <w:t>, México</w:t>
      </w:r>
      <w:r w:rsidR="00F34A85">
        <w:rPr>
          <w:rFonts w:ascii="Arial" w:eastAsiaTheme="minorEastAsia" w:hAnsi="Arial" w:cs="Arial"/>
          <w:sz w:val="24"/>
        </w:rPr>
        <w:br/>
      </w:r>
      <w:hyperlink r:id="rId12" w:tgtFrame="_blank" w:history="1">
        <w:r w:rsidR="00215C14" w:rsidRPr="00215C14">
          <w:rPr>
            <w:rStyle w:val="Hipervnculo"/>
            <w:rFonts w:ascii="Calibri" w:eastAsia="Calibri" w:hAnsi="Calibri" w:cs="Calibri"/>
            <w:color w:val="FF0000"/>
            <w:sz w:val="24"/>
            <w:szCs w:val="22"/>
            <w:u w:val="none"/>
            <w:lang w:eastAsia="en-US"/>
          </w:rPr>
          <w:t>marmag@biomedicas.unam.mx</w:t>
        </w:r>
      </w:hyperlink>
    </w:p>
    <w:p w:rsidR="004411D9" w:rsidRDefault="009F63DD" w:rsidP="00F34A85">
      <w:pPr>
        <w:pStyle w:val="Textoindependiente2"/>
        <w:spacing w:before="100" w:beforeAutospacing="1" w:after="100" w:afterAutospacing="1" w:line="276" w:lineRule="auto"/>
        <w:ind w:right="-1"/>
        <w:jc w:val="right"/>
        <w:rPr>
          <w:rFonts w:ascii="Arial" w:eastAsiaTheme="minorEastAsia" w:hAnsi="Arial" w:cs="Arial"/>
          <w:sz w:val="24"/>
        </w:rPr>
      </w:pPr>
      <w:r w:rsidRPr="00F34A85">
        <w:rPr>
          <w:rFonts w:ascii="Calibri" w:eastAsia="Calibri" w:hAnsi="Calibri" w:cs="Calibri"/>
          <w:b/>
          <w:sz w:val="24"/>
          <w:lang w:val="es-ES" w:eastAsia="en-US"/>
        </w:rPr>
        <w:t>Martha E</w:t>
      </w:r>
      <w:r w:rsidR="00B42358">
        <w:rPr>
          <w:rFonts w:ascii="Calibri" w:eastAsia="Calibri" w:hAnsi="Calibri" w:cs="Calibri"/>
          <w:b/>
          <w:sz w:val="24"/>
          <w:lang w:val="es-ES" w:eastAsia="en-US"/>
        </w:rPr>
        <w:t>lba</w:t>
      </w:r>
      <w:r w:rsidR="009525B9">
        <w:rPr>
          <w:rFonts w:ascii="Calibri" w:eastAsia="Calibri" w:hAnsi="Calibri" w:cs="Calibri"/>
          <w:b/>
          <w:sz w:val="24"/>
          <w:lang w:val="es-ES" w:eastAsia="en-US"/>
        </w:rPr>
        <w:t xml:space="preserve"> </w:t>
      </w:r>
      <w:proofErr w:type="spellStart"/>
      <w:r w:rsidR="009525B9">
        <w:rPr>
          <w:rFonts w:ascii="Calibri" w:eastAsia="Calibri" w:hAnsi="Calibri" w:cs="Calibri"/>
          <w:b/>
          <w:sz w:val="24"/>
          <w:lang w:val="es-ES" w:eastAsia="en-US"/>
        </w:rPr>
        <w:t>Gonza</w:t>
      </w:r>
      <w:r w:rsidRPr="00F34A85">
        <w:rPr>
          <w:rFonts w:ascii="Calibri" w:eastAsia="Calibri" w:hAnsi="Calibri" w:cs="Calibri"/>
          <w:b/>
          <w:sz w:val="24"/>
          <w:lang w:val="es-ES" w:eastAsia="en-US"/>
        </w:rPr>
        <w:t>lez</w:t>
      </w:r>
      <w:proofErr w:type="spellEnd"/>
      <w:r w:rsidRPr="00F34A85">
        <w:rPr>
          <w:rFonts w:ascii="Calibri" w:eastAsia="Calibri" w:hAnsi="Calibri" w:cs="Calibri"/>
          <w:b/>
          <w:sz w:val="24"/>
          <w:lang w:val="es-ES" w:eastAsia="en-US"/>
        </w:rPr>
        <w:t xml:space="preserve"> </w:t>
      </w:r>
      <w:proofErr w:type="spellStart"/>
      <w:r w:rsidRPr="00F34A85">
        <w:rPr>
          <w:rFonts w:ascii="Calibri" w:eastAsia="Calibri" w:hAnsi="Calibri" w:cs="Calibri"/>
          <w:b/>
          <w:sz w:val="24"/>
          <w:lang w:val="es-ES" w:eastAsia="en-US"/>
        </w:rPr>
        <w:t>Mej</w:t>
      </w:r>
      <w:r w:rsidR="009525B9">
        <w:rPr>
          <w:rFonts w:ascii="Calibri" w:eastAsia="Calibri" w:hAnsi="Calibri" w:cs="Calibri"/>
          <w:b/>
          <w:sz w:val="24"/>
          <w:lang w:val="es-ES" w:eastAsia="en-US"/>
        </w:rPr>
        <w:t>i</w:t>
      </w:r>
      <w:r w:rsidRPr="00F34A85">
        <w:rPr>
          <w:rFonts w:ascii="Calibri" w:eastAsia="Calibri" w:hAnsi="Calibri" w:cs="Calibri"/>
          <w:b/>
          <w:sz w:val="24"/>
          <w:lang w:val="es-ES" w:eastAsia="en-US"/>
        </w:rPr>
        <w:t>a</w:t>
      </w:r>
      <w:proofErr w:type="spellEnd"/>
      <w:r w:rsidR="00F34A85">
        <w:rPr>
          <w:rFonts w:ascii="Calibri" w:eastAsia="Calibri" w:hAnsi="Calibri" w:cs="Calibri"/>
          <w:b/>
          <w:sz w:val="24"/>
          <w:lang w:val="es-ES" w:eastAsia="en-US"/>
        </w:rPr>
        <w:br/>
      </w:r>
      <w:r w:rsidR="00B42358" w:rsidRPr="00B42358">
        <w:rPr>
          <w:rFonts w:ascii="Calibri" w:eastAsia="Calibri" w:hAnsi="Calibri" w:cs="Calibri"/>
          <w:sz w:val="24"/>
          <w:lang w:val="es-ES" w:eastAsia="en-US"/>
        </w:rPr>
        <w:t>Facultad de Medicina, Benemérita Universidad Autónoma de Puebla</w:t>
      </w:r>
      <w:r w:rsidR="002C01B8">
        <w:rPr>
          <w:rFonts w:ascii="Calibri" w:eastAsia="Calibri" w:hAnsi="Calibri" w:cs="Calibri"/>
          <w:sz w:val="24"/>
          <w:lang w:val="es-ES" w:eastAsia="en-US"/>
        </w:rPr>
        <w:t>, México</w:t>
      </w:r>
      <w:r w:rsidR="00F34A85">
        <w:rPr>
          <w:rFonts w:ascii="Arial" w:hAnsi="Arial" w:cs="Arial"/>
          <w:sz w:val="24"/>
        </w:rPr>
        <w:br/>
      </w:r>
      <w:hyperlink r:id="rId13" w:history="1">
        <w:r w:rsidR="004411D9" w:rsidRPr="00F34A85">
          <w:rPr>
            <w:rStyle w:val="Hipervnculo"/>
            <w:rFonts w:ascii="Calibri" w:eastAsia="Calibri" w:hAnsi="Calibri" w:cs="Calibri"/>
            <w:color w:val="FF0000"/>
            <w:sz w:val="24"/>
            <w:szCs w:val="22"/>
            <w:u w:val="none"/>
            <w:lang w:eastAsia="en-US"/>
          </w:rPr>
          <w:t>elba.gonzalezmejia@gmail.com</w:t>
        </w:r>
      </w:hyperlink>
    </w:p>
    <w:p w:rsidR="00B42358" w:rsidRDefault="00B42358" w:rsidP="00F34A85">
      <w:pPr>
        <w:pStyle w:val="Textoindependiente2"/>
        <w:spacing w:before="100" w:beforeAutospacing="1" w:after="100" w:afterAutospacing="1" w:line="276" w:lineRule="auto"/>
        <w:ind w:right="-1"/>
        <w:jc w:val="right"/>
        <w:rPr>
          <w:rFonts w:ascii="Calibri" w:eastAsia="Calibri" w:hAnsi="Calibri" w:cs="Calibri"/>
          <w:b/>
          <w:sz w:val="24"/>
          <w:lang w:val="es-ES" w:eastAsia="en-US"/>
        </w:rPr>
      </w:pPr>
    </w:p>
    <w:p w:rsidR="00B42358" w:rsidRDefault="00B42358" w:rsidP="00F34A85">
      <w:pPr>
        <w:pStyle w:val="Textoindependiente2"/>
        <w:spacing w:before="100" w:beforeAutospacing="1" w:after="100" w:afterAutospacing="1" w:line="276" w:lineRule="auto"/>
        <w:ind w:right="-1"/>
        <w:jc w:val="right"/>
        <w:rPr>
          <w:rFonts w:ascii="Calibri" w:eastAsia="Calibri" w:hAnsi="Calibri" w:cs="Calibri"/>
          <w:b/>
          <w:sz w:val="24"/>
          <w:lang w:val="es-ES" w:eastAsia="en-US"/>
        </w:rPr>
      </w:pPr>
    </w:p>
    <w:p w:rsidR="004411D9" w:rsidRDefault="009F63DD" w:rsidP="00F34A85">
      <w:pPr>
        <w:pStyle w:val="Textoindependiente2"/>
        <w:spacing w:before="100" w:beforeAutospacing="1" w:after="100" w:afterAutospacing="1" w:line="276" w:lineRule="auto"/>
        <w:ind w:right="-1"/>
        <w:jc w:val="right"/>
        <w:rPr>
          <w:rFonts w:ascii="Arial" w:eastAsiaTheme="minorEastAsia" w:hAnsi="Arial" w:cs="Arial"/>
          <w:sz w:val="24"/>
        </w:rPr>
      </w:pPr>
      <w:r w:rsidRPr="00F34A85">
        <w:rPr>
          <w:rFonts w:ascii="Calibri" w:eastAsia="Calibri" w:hAnsi="Calibri" w:cs="Calibri"/>
          <w:b/>
          <w:sz w:val="24"/>
          <w:lang w:val="es-ES" w:eastAsia="en-US"/>
        </w:rPr>
        <w:lastRenderedPageBreak/>
        <w:t>Ricardo Pérez Fuentes</w:t>
      </w:r>
      <w:r w:rsidR="00F34A85">
        <w:rPr>
          <w:rFonts w:ascii="Calibri" w:eastAsia="Calibri" w:hAnsi="Calibri" w:cs="Calibri"/>
          <w:b/>
          <w:sz w:val="24"/>
          <w:lang w:val="es-ES" w:eastAsia="en-US"/>
        </w:rPr>
        <w:br/>
      </w:r>
      <w:r w:rsidR="00B42358" w:rsidRPr="00B42358">
        <w:rPr>
          <w:rFonts w:ascii="Calibri" w:eastAsia="Calibri" w:hAnsi="Calibri" w:cs="Calibri"/>
          <w:sz w:val="24"/>
          <w:lang w:val="es-ES" w:eastAsia="en-US"/>
        </w:rPr>
        <w:t>Facultad de Medicina, Benemérita Universidad Autónoma de Puebla</w:t>
      </w:r>
      <w:r w:rsidR="00B42358">
        <w:rPr>
          <w:rFonts w:ascii="Calibri" w:eastAsia="Calibri" w:hAnsi="Calibri" w:cs="Calibri"/>
          <w:sz w:val="24"/>
          <w:lang w:val="es-ES" w:eastAsia="en-US"/>
        </w:rPr>
        <w:br/>
      </w:r>
      <w:r w:rsidR="00B42358" w:rsidRPr="00B42358">
        <w:rPr>
          <w:rFonts w:ascii="Calibri" w:eastAsia="Calibri" w:hAnsi="Calibri" w:cs="Calibri"/>
          <w:sz w:val="24"/>
          <w:lang w:val="es-ES" w:eastAsia="en-US"/>
        </w:rPr>
        <w:t>Laboratorio de Investigación en Fisiopatología de Enfermedades Crónicas, Centro de Investigación Biomédica de Oriente, IMSS,</w:t>
      </w:r>
      <w:r w:rsidR="002C01B8">
        <w:rPr>
          <w:rFonts w:ascii="Calibri" w:eastAsia="Calibri" w:hAnsi="Calibri" w:cs="Calibri"/>
          <w:sz w:val="24"/>
          <w:lang w:val="es-ES" w:eastAsia="en-US"/>
        </w:rPr>
        <w:t xml:space="preserve"> México</w:t>
      </w:r>
      <w:bookmarkStart w:id="0" w:name="_GoBack"/>
      <w:bookmarkEnd w:id="0"/>
      <w:r w:rsidR="00F34A85" w:rsidRPr="00B42358">
        <w:rPr>
          <w:rFonts w:ascii="Calibri" w:eastAsia="Calibri" w:hAnsi="Calibri" w:cs="Calibri"/>
          <w:sz w:val="24"/>
          <w:lang w:val="es-ES" w:eastAsia="en-US"/>
        </w:rPr>
        <w:br/>
      </w:r>
      <w:hyperlink r:id="rId14" w:history="1">
        <w:r w:rsidR="004411D9" w:rsidRPr="00F34A85">
          <w:rPr>
            <w:rStyle w:val="Hipervnculo"/>
            <w:rFonts w:ascii="Calibri" w:eastAsia="Calibri" w:hAnsi="Calibri" w:cs="Calibri"/>
            <w:color w:val="FF0000"/>
            <w:sz w:val="24"/>
            <w:szCs w:val="22"/>
            <w:u w:val="none"/>
            <w:lang w:eastAsia="en-US"/>
          </w:rPr>
          <w:t>rycardoperez@hotmail.com</w:t>
        </w:r>
      </w:hyperlink>
    </w:p>
    <w:p w:rsidR="00F34A85" w:rsidRDefault="00F34A85" w:rsidP="00A55B10">
      <w:pPr>
        <w:spacing w:after="0" w:line="480" w:lineRule="auto"/>
        <w:jc w:val="both"/>
        <w:rPr>
          <w:rFonts w:ascii="Arial" w:hAnsi="Arial" w:cs="Arial"/>
          <w:b/>
          <w:sz w:val="24"/>
          <w:szCs w:val="24"/>
          <w:lang w:val="es-ES"/>
        </w:rPr>
      </w:pPr>
    </w:p>
    <w:p w:rsidR="00692592" w:rsidRPr="002F3687" w:rsidRDefault="00692592" w:rsidP="00A55B10">
      <w:pPr>
        <w:spacing w:after="0" w:line="480" w:lineRule="auto"/>
        <w:jc w:val="both"/>
        <w:rPr>
          <w:rFonts w:ascii="Arial" w:hAnsi="Arial" w:cs="Arial"/>
          <w:b/>
          <w:sz w:val="24"/>
          <w:szCs w:val="24"/>
          <w:lang w:val="es-ES"/>
        </w:rPr>
      </w:pPr>
      <w:r w:rsidRPr="00F34A85">
        <w:rPr>
          <w:rFonts w:ascii="Calibri" w:eastAsia="Times New Roman" w:hAnsi="Calibri" w:cs="Calibri"/>
          <w:color w:val="7030A0"/>
          <w:sz w:val="28"/>
          <w:szCs w:val="28"/>
          <w:lang w:val="es-ES" w:eastAsia="es-ES"/>
        </w:rPr>
        <w:t>Resumen</w:t>
      </w:r>
      <w:r w:rsidRPr="002F3687">
        <w:rPr>
          <w:rFonts w:ascii="Arial" w:hAnsi="Arial" w:cs="Arial"/>
          <w:b/>
          <w:sz w:val="24"/>
          <w:szCs w:val="24"/>
          <w:lang w:val="es-ES"/>
        </w:rPr>
        <w:t xml:space="preserve"> </w:t>
      </w:r>
    </w:p>
    <w:p w:rsidR="00692592" w:rsidRPr="00F34A85" w:rsidRDefault="00692592" w:rsidP="00F34A85">
      <w:pPr>
        <w:spacing w:line="360" w:lineRule="auto"/>
        <w:jc w:val="both"/>
        <w:rPr>
          <w:rFonts w:ascii="Times New Roman" w:hAnsi="Times New Roman" w:cs="Times New Roman"/>
          <w:sz w:val="24"/>
          <w:szCs w:val="24"/>
          <w:lang w:val="es-ES"/>
        </w:rPr>
      </w:pPr>
      <w:r w:rsidRPr="00F34A85">
        <w:rPr>
          <w:rFonts w:ascii="Times New Roman" w:hAnsi="Times New Roman" w:cs="Times New Roman"/>
          <w:sz w:val="24"/>
          <w:szCs w:val="24"/>
          <w:lang w:val="es-ES"/>
        </w:rPr>
        <w:t xml:space="preserve">Las enfermedades cardiovasculares (ECV) son la principal causa de muerte en el mundo. El alto consumo de sal es uno de los principales factores de riesgo que se asocian </w:t>
      </w:r>
      <w:r w:rsidR="00111C3C" w:rsidRPr="00F34A85">
        <w:rPr>
          <w:rFonts w:ascii="Times New Roman" w:hAnsi="Times New Roman" w:cs="Times New Roman"/>
          <w:sz w:val="24"/>
          <w:szCs w:val="24"/>
          <w:lang w:val="es-ES"/>
        </w:rPr>
        <w:t xml:space="preserve">al </w:t>
      </w:r>
      <w:r w:rsidRPr="00F34A85">
        <w:rPr>
          <w:rFonts w:ascii="Times New Roman" w:hAnsi="Times New Roman" w:cs="Times New Roman"/>
          <w:sz w:val="24"/>
          <w:szCs w:val="24"/>
          <w:lang w:val="es-ES"/>
        </w:rPr>
        <w:t xml:space="preserve">desarrollo de CVD. Las guías clínicas recomiendan restricciones de consumo de sal en pacientes con hipertensión arterial e insuficiencia cardíaca; Sin embargo, los ensayos clínicos han reportado resultados contradictorios. Las dietas de restricción de sodio se asocian con un mayor desarrollo de la aterosclerosis, que </w:t>
      </w:r>
      <w:r w:rsidR="00E56D54" w:rsidRPr="00F34A85">
        <w:rPr>
          <w:rFonts w:ascii="Times New Roman" w:hAnsi="Times New Roman" w:cs="Times New Roman"/>
          <w:sz w:val="24"/>
          <w:szCs w:val="24"/>
          <w:lang w:val="es-ES"/>
        </w:rPr>
        <w:t>actúa</w:t>
      </w:r>
      <w:r w:rsidRPr="00F34A85">
        <w:rPr>
          <w:rFonts w:ascii="Times New Roman" w:hAnsi="Times New Roman" w:cs="Times New Roman"/>
          <w:sz w:val="24"/>
          <w:szCs w:val="24"/>
          <w:lang w:val="es-ES"/>
        </w:rPr>
        <w:t xml:space="preserve"> a través de la activación del sistema renina-angiotensina-aldosterona, lo que lleva al desarrollo de las enfermedades cardiovasculares.</w:t>
      </w:r>
    </w:p>
    <w:p w:rsidR="00692592" w:rsidRPr="00E479CC" w:rsidRDefault="00E56D54" w:rsidP="00F34A85">
      <w:pPr>
        <w:spacing w:line="360" w:lineRule="auto"/>
        <w:jc w:val="both"/>
        <w:rPr>
          <w:rFonts w:ascii="Arial" w:hAnsi="Arial" w:cs="Arial"/>
          <w:sz w:val="24"/>
          <w:szCs w:val="24"/>
          <w:lang w:val="es-ES"/>
        </w:rPr>
      </w:pPr>
      <w:r w:rsidRPr="00F34A85">
        <w:rPr>
          <w:rFonts w:ascii="Times New Roman" w:hAnsi="Times New Roman" w:cs="Times New Roman"/>
          <w:sz w:val="24"/>
          <w:szCs w:val="24"/>
          <w:lang w:val="es-ES"/>
        </w:rPr>
        <w:t>El objetivo de la investigación es a</w:t>
      </w:r>
      <w:r w:rsidR="00692592" w:rsidRPr="00F34A85">
        <w:rPr>
          <w:rFonts w:ascii="Times New Roman" w:hAnsi="Times New Roman" w:cs="Times New Roman"/>
          <w:sz w:val="24"/>
          <w:szCs w:val="24"/>
          <w:lang w:val="es-ES"/>
        </w:rPr>
        <w:t xml:space="preserve">portar evidencias científicas pertinentes que alerten y faculten al profesional de la salud en la toma de decisiones objetivas sobre el control de la ingesta de sal en la dieta, particularmente en pacientes </w:t>
      </w:r>
      <w:r w:rsidR="0014576E" w:rsidRPr="00F34A85">
        <w:rPr>
          <w:rFonts w:ascii="Times New Roman" w:hAnsi="Times New Roman" w:cs="Times New Roman"/>
          <w:sz w:val="24"/>
          <w:szCs w:val="24"/>
          <w:lang w:val="es-ES"/>
        </w:rPr>
        <w:t xml:space="preserve">con </w:t>
      </w:r>
      <w:r w:rsidR="00692592" w:rsidRPr="00F34A85">
        <w:rPr>
          <w:rFonts w:ascii="Times New Roman" w:hAnsi="Times New Roman" w:cs="Times New Roman"/>
          <w:sz w:val="24"/>
          <w:szCs w:val="24"/>
          <w:lang w:val="es-ES"/>
        </w:rPr>
        <w:t>riesgo de desarrollar enfermedades cardiovasculares.</w:t>
      </w:r>
    </w:p>
    <w:p w:rsidR="003D1CA3" w:rsidRDefault="003D1CA3" w:rsidP="003D1CA3">
      <w:pPr>
        <w:spacing w:line="480" w:lineRule="auto"/>
        <w:jc w:val="both"/>
        <w:rPr>
          <w:rFonts w:ascii="Arial" w:hAnsi="Arial" w:cs="Arial"/>
          <w:sz w:val="24"/>
          <w:lang w:val="es-ES"/>
        </w:rPr>
      </w:pPr>
      <w:r w:rsidRPr="00F34A85">
        <w:rPr>
          <w:rFonts w:ascii="Calibri" w:eastAsia="Times New Roman" w:hAnsi="Calibri" w:cs="Calibri"/>
          <w:color w:val="7030A0"/>
          <w:sz w:val="28"/>
          <w:szCs w:val="28"/>
          <w:lang w:val="es-ES" w:eastAsia="es-ES"/>
        </w:rPr>
        <w:t>P</w:t>
      </w:r>
      <w:r w:rsidR="00967B11" w:rsidRPr="00F34A85">
        <w:rPr>
          <w:rFonts w:ascii="Calibri" w:eastAsia="Times New Roman" w:hAnsi="Calibri" w:cs="Calibri"/>
          <w:color w:val="7030A0"/>
          <w:sz w:val="28"/>
          <w:szCs w:val="28"/>
          <w:lang w:val="es-ES" w:eastAsia="es-ES"/>
        </w:rPr>
        <w:t>alabras clave:</w:t>
      </w:r>
      <w:r>
        <w:rPr>
          <w:rFonts w:ascii="Arial" w:hAnsi="Arial" w:cs="Arial"/>
          <w:sz w:val="24"/>
          <w:lang w:val="es-ES"/>
        </w:rPr>
        <w:t xml:space="preserve"> </w:t>
      </w:r>
      <w:r w:rsidR="00967B11" w:rsidRPr="00F34A85">
        <w:rPr>
          <w:rFonts w:ascii="Times New Roman" w:hAnsi="Times New Roman" w:cs="Times New Roman"/>
          <w:sz w:val="24"/>
          <w:szCs w:val="24"/>
          <w:lang w:val="es-ES"/>
        </w:rPr>
        <w:t>s</w:t>
      </w:r>
      <w:r w:rsidRPr="00F34A85">
        <w:rPr>
          <w:rFonts w:ascii="Times New Roman" w:hAnsi="Times New Roman" w:cs="Times New Roman"/>
          <w:sz w:val="24"/>
          <w:szCs w:val="24"/>
          <w:lang w:val="es-ES"/>
        </w:rPr>
        <w:t xml:space="preserve">odio, </w:t>
      </w:r>
      <w:r w:rsidR="00967B11" w:rsidRPr="00F34A85">
        <w:rPr>
          <w:rFonts w:ascii="Times New Roman" w:hAnsi="Times New Roman" w:cs="Times New Roman"/>
          <w:sz w:val="24"/>
          <w:szCs w:val="24"/>
          <w:lang w:val="es-ES"/>
        </w:rPr>
        <w:t>e</w:t>
      </w:r>
      <w:r w:rsidRPr="00F34A85">
        <w:rPr>
          <w:rFonts w:ascii="Times New Roman" w:hAnsi="Times New Roman" w:cs="Times New Roman"/>
          <w:sz w:val="24"/>
          <w:szCs w:val="24"/>
          <w:lang w:val="es-ES"/>
        </w:rPr>
        <w:t xml:space="preserve">nfermedad </w:t>
      </w:r>
      <w:r w:rsidR="00967B11" w:rsidRPr="00F34A85">
        <w:rPr>
          <w:rFonts w:ascii="Times New Roman" w:hAnsi="Times New Roman" w:cs="Times New Roman"/>
          <w:sz w:val="24"/>
          <w:szCs w:val="24"/>
          <w:lang w:val="es-ES"/>
        </w:rPr>
        <w:t>c</w:t>
      </w:r>
      <w:r w:rsidRPr="00F34A85">
        <w:rPr>
          <w:rFonts w:ascii="Times New Roman" w:hAnsi="Times New Roman" w:cs="Times New Roman"/>
          <w:sz w:val="24"/>
          <w:szCs w:val="24"/>
          <w:lang w:val="es-ES"/>
        </w:rPr>
        <w:t>ardiovascular, HAS</w:t>
      </w:r>
      <w:r w:rsidR="00967B11" w:rsidRPr="00F34A85">
        <w:rPr>
          <w:rFonts w:ascii="Times New Roman" w:hAnsi="Times New Roman" w:cs="Times New Roman"/>
          <w:sz w:val="24"/>
          <w:szCs w:val="24"/>
          <w:lang w:val="es-ES"/>
        </w:rPr>
        <w:t>.</w:t>
      </w:r>
    </w:p>
    <w:p w:rsidR="00D4268A" w:rsidRPr="00F34A85" w:rsidRDefault="00D4268A" w:rsidP="00F34A85">
      <w:pPr>
        <w:spacing w:after="0" w:line="480" w:lineRule="auto"/>
        <w:rPr>
          <w:rFonts w:ascii="Calibri" w:eastAsia="Times New Roman" w:hAnsi="Calibri" w:cs="Calibri"/>
          <w:color w:val="7030A0"/>
          <w:sz w:val="28"/>
          <w:szCs w:val="28"/>
          <w:lang w:val="es-ES" w:eastAsia="es-ES"/>
        </w:rPr>
      </w:pPr>
      <w:r w:rsidRPr="00F34A85">
        <w:rPr>
          <w:rFonts w:ascii="Calibri" w:eastAsia="Times New Roman" w:hAnsi="Calibri" w:cs="Calibri"/>
          <w:color w:val="7030A0"/>
          <w:sz w:val="28"/>
          <w:szCs w:val="28"/>
          <w:lang w:val="es-ES" w:eastAsia="es-ES"/>
        </w:rPr>
        <w:t xml:space="preserve">Abstract </w:t>
      </w:r>
    </w:p>
    <w:p w:rsidR="00A64A6E" w:rsidRDefault="00A64A6E" w:rsidP="00A64A6E">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Cardiovascular </w:t>
      </w:r>
      <w:proofErr w:type="spellStart"/>
      <w:r>
        <w:rPr>
          <w:rFonts w:ascii="Times New Roman" w:hAnsi="Times New Roman" w:cs="Times New Roman"/>
          <w:sz w:val="24"/>
          <w:szCs w:val="24"/>
          <w:lang w:val="es-ES_tradnl"/>
        </w:rPr>
        <w:t>Diseases</w:t>
      </w:r>
      <w:proofErr w:type="spellEnd"/>
      <w:r>
        <w:rPr>
          <w:rFonts w:ascii="Times New Roman" w:hAnsi="Times New Roman" w:cs="Times New Roman"/>
          <w:sz w:val="24"/>
          <w:szCs w:val="24"/>
          <w:lang w:val="es-ES_tradnl"/>
        </w:rPr>
        <w:t xml:space="preserve"> (CVD) are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leading</w:t>
      </w:r>
      <w:proofErr w:type="spellEnd"/>
      <w:r>
        <w:rPr>
          <w:rFonts w:ascii="Times New Roman" w:hAnsi="Times New Roman" w:cs="Times New Roman"/>
          <w:sz w:val="24"/>
          <w:szCs w:val="24"/>
          <w:lang w:val="es-ES_tradnl"/>
        </w:rPr>
        <w:t xml:space="preserve"> cause of </w:t>
      </w:r>
      <w:proofErr w:type="spellStart"/>
      <w:r>
        <w:rPr>
          <w:rFonts w:ascii="Times New Roman" w:hAnsi="Times New Roman" w:cs="Times New Roman"/>
          <w:sz w:val="24"/>
          <w:szCs w:val="24"/>
          <w:lang w:val="es-ES_tradnl"/>
        </w:rPr>
        <w:t>death</w:t>
      </w:r>
      <w:proofErr w:type="spellEnd"/>
      <w:r>
        <w:rPr>
          <w:rFonts w:ascii="Times New Roman" w:hAnsi="Times New Roman" w:cs="Times New Roman"/>
          <w:sz w:val="24"/>
          <w:szCs w:val="24"/>
          <w:lang w:val="es-ES_tradnl"/>
        </w:rPr>
        <w:t xml:space="preserve"> in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world</w:t>
      </w:r>
      <w:proofErr w:type="spellEnd"/>
      <w:r>
        <w:rPr>
          <w:rFonts w:ascii="Times New Roman" w:hAnsi="Times New Roman" w:cs="Times New Roman"/>
          <w:sz w:val="24"/>
          <w:szCs w:val="24"/>
          <w:lang w:val="es-ES_tradnl"/>
        </w:rPr>
        <w:t xml:space="preserve">. High </w:t>
      </w:r>
      <w:proofErr w:type="spellStart"/>
      <w:r>
        <w:rPr>
          <w:rFonts w:ascii="Times New Roman" w:hAnsi="Times New Roman" w:cs="Times New Roman"/>
          <w:sz w:val="24"/>
          <w:szCs w:val="24"/>
          <w:lang w:val="es-ES_tradnl"/>
        </w:rPr>
        <w:t>consumption</w:t>
      </w:r>
      <w:proofErr w:type="spellEnd"/>
      <w:r>
        <w:rPr>
          <w:rFonts w:ascii="Times New Roman" w:hAnsi="Times New Roman" w:cs="Times New Roman"/>
          <w:sz w:val="24"/>
          <w:szCs w:val="24"/>
          <w:lang w:val="es-ES_tradnl"/>
        </w:rPr>
        <w:t xml:space="preserve"> of </w:t>
      </w:r>
      <w:proofErr w:type="spellStart"/>
      <w:r>
        <w:rPr>
          <w:rFonts w:ascii="Times New Roman" w:hAnsi="Times New Roman" w:cs="Times New Roman"/>
          <w:sz w:val="24"/>
          <w:szCs w:val="24"/>
          <w:lang w:val="es-ES_tradnl"/>
        </w:rPr>
        <w:t>salt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one</w:t>
      </w:r>
      <w:proofErr w:type="spellEnd"/>
      <w:r>
        <w:rPr>
          <w:rFonts w:ascii="Times New Roman" w:hAnsi="Times New Roman" w:cs="Times New Roman"/>
          <w:sz w:val="24"/>
          <w:szCs w:val="24"/>
          <w:lang w:val="es-ES_tradnl"/>
        </w:rPr>
        <w:t xml:space="preserve"> of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main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risk</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factors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associated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with</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development</w:t>
      </w:r>
      <w:proofErr w:type="spellEnd"/>
      <w:r>
        <w:rPr>
          <w:rFonts w:ascii="Times New Roman" w:hAnsi="Times New Roman" w:cs="Times New Roman"/>
          <w:sz w:val="24"/>
          <w:szCs w:val="24"/>
          <w:lang w:val="es-ES_tradnl"/>
        </w:rPr>
        <w:t xml:space="preserve"> of CVD. </w:t>
      </w:r>
      <w:proofErr w:type="spellStart"/>
      <w:r>
        <w:rPr>
          <w:rFonts w:ascii="Times New Roman" w:hAnsi="Times New Roman" w:cs="Times New Roman"/>
          <w:sz w:val="24"/>
          <w:szCs w:val="24"/>
          <w:lang w:val="es-ES_tradnl"/>
        </w:rPr>
        <w:t>Clinical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guidelines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recommend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restrictions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on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salt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consumption</w:t>
      </w:r>
      <w:proofErr w:type="spellEnd"/>
      <w:r>
        <w:rPr>
          <w:rFonts w:ascii="Times New Roman" w:hAnsi="Times New Roman" w:cs="Times New Roman"/>
          <w:sz w:val="24"/>
          <w:szCs w:val="24"/>
          <w:lang w:val="es-ES_tradnl"/>
        </w:rPr>
        <w:t xml:space="preserve"> in </w:t>
      </w:r>
      <w:proofErr w:type="spellStart"/>
      <w:r>
        <w:rPr>
          <w:rFonts w:ascii="Times New Roman" w:hAnsi="Times New Roman" w:cs="Times New Roman"/>
          <w:sz w:val="24"/>
          <w:szCs w:val="24"/>
          <w:lang w:val="es-ES_tradnl"/>
        </w:rPr>
        <w:t>patients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with</w:t>
      </w:r>
      <w:proofErr w:type="spellEnd"/>
      <w:r>
        <w:rPr>
          <w:rFonts w:ascii="Times New Roman" w:hAnsi="Times New Roman" w:cs="Times New Roman"/>
          <w:sz w:val="24"/>
          <w:szCs w:val="24"/>
          <w:lang w:val="es-ES_tradnl"/>
        </w:rPr>
        <w:t xml:space="preserve"> arterial </w:t>
      </w:r>
      <w:proofErr w:type="spellStart"/>
      <w:r>
        <w:rPr>
          <w:rFonts w:ascii="Times New Roman" w:hAnsi="Times New Roman" w:cs="Times New Roman"/>
          <w:sz w:val="24"/>
          <w:szCs w:val="24"/>
          <w:lang w:val="es-ES_tradnl"/>
        </w:rPr>
        <w:t>hypertension</w:t>
      </w:r>
      <w:proofErr w:type="spellEnd"/>
      <w:r>
        <w:rPr>
          <w:rFonts w:ascii="Times New Roman" w:hAnsi="Times New Roman" w:cs="Times New Roman"/>
          <w:sz w:val="24"/>
          <w:szCs w:val="24"/>
          <w:lang w:val="es-ES_tradnl"/>
        </w:rPr>
        <w:t xml:space="preserve"> and </w:t>
      </w:r>
      <w:proofErr w:type="spellStart"/>
      <w:r>
        <w:rPr>
          <w:rFonts w:ascii="Times New Roman" w:hAnsi="Times New Roman" w:cs="Times New Roman"/>
          <w:sz w:val="24"/>
          <w:szCs w:val="24"/>
          <w:lang w:val="es-ES_tradnl"/>
        </w:rPr>
        <w:t>heart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failure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however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clinical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trials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have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reported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conflicting</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results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sodium</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restricted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diets</w:t>
      </w:r>
      <w:proofErr w:type="spellEnd"/>
      <w:r>
        <w:rPr>
          <w:rFonts w:ascii="Times New Roman" w:hAnsi="Times New Roman" w:cs="Times New Roman"/>
          <w:sz w:val="24"/>
          <w:szCs w:val="24"/>
          <w:lang w:val="es-ES_tradnl"/>
        </w:rPr>
        <w:t xml:space="preserve"> are </w:t>
      </w:r>
      <w:proofErr w:type="spellStart"/>
      <w:r>
        <w:rPr>
          <w:rFonts w:ascii="Times New Roman" w:hAnsi="Times New Roman" w:cs="Times New Roman"/>
          <w:sz w:val="24"/>
          <w:szCs w:val="24"/>
          <w:lang w:val="es-ES_tradnl"/>
        </w:rPr>
        <w:t>associated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with</w:t>
      </w:r>
      <w:proofErr w:type="spellEnd"/>
      <w:r>
        <w:rPr>
          <w:rFonts w:ascii="Times New Roman" w:hAnsi="Times New Roman" w:cs="Times New Roman"/>
          <w:sz w:val="24"/>
          <w:szCs w:val="24"/>
          <w:lang w:val="es-ES_tradnl"/>
        </w:rPr>
        <w:t xml:space="preserve"> a </w:t>
      </w:r>
      <w:proofErr w:type="spellStart"/>
      <w:r>
        <w:rPr>
          <w:rFonts w:ascii="Times New Roman" w:hAnsi="Times New Roman" w:cs="Times New Roman"/>
          <w:sz w:val="24"/>
          <w:szCs w:val="24"/>
          <w:lang w:val="es-ES_tradnl"/>
        </w:rPr>
        <w:t>greater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development</w:t>
      </w:r>
      <w:proofErr w:type="spellEnd"/>
      <w:r>
        <w:rPr>
          <w:rFonts w:ascii="Times New Roman" w:hAnsi="Times New Roman" w:cs="Times New Roman"/>
          <w:sz w:val="24"/>
          <w:szCs w:val="24"/>
          <w:lang w:val="es-ES_tradnl"/>
        </w:rPr>
        <w:t xml:space="preserve"> of </w:t>
      </w:r>
      <w:proofErr w:type="spellStart"/>
      <w:r>
        <w:rPr>
          <w:rFonts w:ascii="Times New Roman" w:hAnsi="Times New Roman" w:cs="Times New Roman"/>
          <w:sz w:val="24"/>
          <w:szCs w:val="24"/>
          <w:lang w:val="es-ES_tradnl"/>
        </w:rPr>
        <w:t>atherosclerosis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which</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acts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through</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activation</w:t>
      </w:r>
      <w:proofErr w:type="spellEnd"/>
      <w:r>
        <w:rPr>
          <w:rFonts w:ascii="Times New Roman" w:hAnsi="Times New Roman" w:cs="Times New Roman"/>
          <w:sz w:val="24"/>
          <w:szCs w:val="24"/>
          <w:lang w:val="es-ES_tradnl"/>
        </w:rPr>
        <w:t xml:space="preserve"> of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renin-angiotensin-aldosterone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system</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which</w:t>
      </w:r>
      <w:proofErr w:type="spellEnd"/>
      <w:r>
        <w:rPr>
          <w:rFonts w:ascii="Times New Roman" w:hAnsi="Times New Roman" w:cs="Times New Roman"/>
          <w:sz w:val="24"/>
          <w:szCs w:val="24"/>
          <w:lang w:val="es-ES_tradnl"/>
        </w:rPr>
        <w:t xml:space="preserve"> leads to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development</w:t>
      </w:r>
      <w:proofErr w:type="spellEnd"/>
      <w:r>
        <w:rPr>
          <w:rFonts w:ascii="Times New Roman" w:hAnsi="Times New Roman" w:cs="Times New Roman"/>
          <w:sz w:val="24"/>
          <w:szCs w:val="24"/>
          <w:lang w:val="es-ES_tradnl"/>
        </w:rPr>
        <w:t xml:space="preserve"> of cardiovascular </w:t>
      </w:r>
      <w:proofErr w:type="spellStart"/>
      <w:r>
        <w:rPr>
          <w:rFonts w:ascii="Times New Roman" w:hAnsi="Times New Roman" w:cs="Times New Roman"/>
          <w:sz w:val="24"/>
          <w:szCs w:val="24"/>
          <w:lang w:val="es-ES_tradnl"/>
        </w:rPr>
        <w:t>disease</w:t>
      </w:r>
      <w:proofErr w:type="spellEnd"/>
      <w:r>
        <w:rPr>
          <w:rFonts w:ascii="Times New Roman" w:hAnsi="Times New Roman" w:cs="Times New Roman"/>
          <w:sz w:val="24"/>
          <w:szCs w:val="24"/>
          <w:lang w:val="es-ES_tradnl"/>
        </w:rPr>
        <w:t>.</w:t>
      </w:r>
    </w:p>
    <w:p w:rsidR="00A64A6E" w:rsidRDefault="00A64A6E" w:rsidP="00A64A6E">
      <w:pPr>
        <w:spacing w:line="360" w:lineRule="auto"/>
        <w:jc w:val="both"/>
        <w:rPr>
          <w:rFonts w:ascii="Arial" w:hAnsi="Arial" w:cs="Arial"/>
          <w:sz w:val="24"/>
          <w:szCs w:val="24"/>
          <w:lang w:val="es-ES_tradnl"/>
        </w:rPr>
      </w:pPr>
      <w:r>
        <w:rPr>
          <w:rFonts w:ascii="Times New Roman" w:hAnsi="Times New Roman" w:cs="Times New Roman"/>
          <w:sz w:val="24"/>
          <w:szCs w:val="24"/>
          <w:lang w:val="es-ES_tradnl"/>
        </w:rPr>
        <w:lastRenderedPageBreak/>
        <w:t>El objetivo de la investigación es aportar evidencias científicas pertinentes que alerten y faculten al profesional de la salud en la toma de decisiones objetivas sobre el control de la ingesta de sal en la dieta, particularmente en pacientes con riesgo de desarrollar enfermedades cardiovasculares.</w:t>
      </w:r>
    </w:p>
    <w:p w:rsidR="00D4268A" w:rsidRDefault="00A64A6E" w:rsidP="00A64A6E">
      <w:pPr>
        <w:spacing w:line="480" w:lineRule="auto"/>
        <w:jc w:val="both"/>
        <w:rPr>
          <w:rFonts w:ascii="Times New Roman" w:hAnsi="Times New Roman" w:cs="Times New Roman"/>
          <w:sz w:val="24"/>
          <w:szCs w:val="24"/>
          <w:lang w:val="es-ES"/>
        </w:rPr>
      </w:pPr>
      <w:r>
        <w:rPr>
          <w:rFonts w:eastAsia="Times New Roman"/>
          <w:color w:val="7030A0"/>
          <w:sz w:val="28"/>
          <w:szCs w:val="28"/>
          <w:lang w:val="es-ES_tradnl"/>
        </w:rPr>
        <w:t xml:space="preserve">Key </w:t>
      </w:r>
      <w:proofErr w:type="spellStart"/>
      <w:r>
        <w:rPr>
          <w:rFonts w:eastAsia="Times New Roman"/>
          <w:color w:val="7030A0"/>
          <w:sz w:val="28"/>
          <w:szCs w:val="28"/>
          <w:lang w:val="es-ES_tradnl"/>
        </w:rPr>
        <w:t>words</w:t>
      </w:r>
      <w:proofErr w:type="spellEnd"/>
      <w:r>
        <w:rPr>
          <w:rFonts w:eastAsia="Times New Roman"/>
          <w:color w:val="7030A0"/>
          <w:sz w:val="28"/>
          <w:szCs w:val="28"/>
          <w:lang w:val="es-ES_tradnl"/>
        </w:rPr>
        <w:t>:</w:t>
      </w:r>
      <w:r>
        <w:rPr>
          <w:rFonts w:ascii="Arial" w:hAnsi="Arial" w:cs="Arial"/>
          <w:sz w:val="24"/>
          <w:lang w:val="es-ES_tradnl"/>
        </w:rPr>
        <w:t xml:space="preserve"> </w:t>
      </w:r>
      <w:proofErr w:type="spellStart"/>
      <w:r>
        <w:rPr>
          <w:rFonts w:ascii="Times New Roman" w:hAnsi="Times New Roman" w:cs="Times New Roman"/>
          <w:sz w:val="24"/>
          <w:szCs w:val="24"/>
          <w:lang w:val="es-ES_tradnl"/>
        </w:rPr>
        <w:t>sodium</w:t>
      </w:r>
      <w:proofErr w:type="spellEnd"/>
      <w:r>
        <w:rPr>
          <w:rFonts w:ascii="Times New Roman" w:hAnsi="Times New Roman" w:cs="Times New Roman"/>
          <w:sz w:val="24"/>
          <w:szCs w:val="24"/>
          <w:lang w:val="es-ES_tradnl"/>
        </w:rPr>
        <w:t xml:space="preserve">, cardiovascular </w:t>
      </w:r>
      <w:proofErr w:type="spellStart"/>
      <w:r>
        <w:rPr>
          <w:rFonts w:ascii="Times New Roman" w:hAnsi="Times New Roman" w:cs="Times New Roman"/>
          <w:sz w:val="24"/>
          <w:szCs w:val="24"/>
          <w:lang w:val="es-ES_tradnl"/>
        </w:rPr>
        <w:t>disease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Hypertension</w:t>
      </w:r>
      <w:proofErr w:type="spellEnd"/>
      <w:r>
        <w:rPr>
          <w:rFonts w:ascii="Times New Roman" w:hAnsi="Times New Roman" w:cs="Times New Roman"/>
          <w:sz w:val="24"/>
          <w:szCs w:val="24"/>
          <w:lang w:val="es-ES_tradnl"/>
        </w:rPr>
        <w:t xml:space="preserve"> (HTN).</w:t>
      </w:r>
    </w:p>
    <w:p w:rsidR="00F34A85" w:rsidRPr="00F34A85" w:rsidRDefault="00B42358" w:rsidP="00F34A85">
      <w:pPr>
        <w:spacing w:after="0" w:line="48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w:t>
      </w:r>
      <w:r w:rsidR="00F34A85" w:rsidRPr="00F34A85">
        <w:rPr>
          <w:rFonts w:ascii="Calibri" w:eastAsia="Times New Roman" w:hAnsi="Calibri" w:cs="Calibri"/>
          <w:color w:val="7030A0"/>
          <w:sz w:val="28"/>
          <w:szCs w:val="28"/>
          <w:lang w:val="es-ES" w:eastAsia="es-ES"/>
        </w:rPr>
        <w:t>esumo</w:t>
      </w:r>
    </w:p>
    <w:p w:rsidR="00F34A85" w:rsidRPr="00F34A85" w:rsidRDefault="00F34A85" w:rsidP="00F34A85">
      <w:pPr>
        <w:spacing w:line="360" w:lineRule="auto"/>
        <w:jc w:val="both"/>
        <w:rPr>
          <w:rFonts w:ascii="Times New Roman" w:hAnsi="Times New Roman" w:cs="Times New Roman"/>
          <w:sz w:val="24"/>
          <w:szCs w:val="24"/>
          <w:lang w:val="es-ES"/>
        </w:rPr>
      </w:pPr>
      <w:r w:rsidRPr="00F34A85">
        <w:rPr>
          <w:rFonts w:ascii="Times New Roman" w:hAnsi="Times New Roman" w:cs="Times New Roman"/>
          <w:sz w:val="24"/>
          <w:szCs w:val="24"/>
          <w:lang w:val="es-ES"/>
        </w:rPr>
        <w:t xml:space="preserve">As </w:t>
      </w:r>
      <w:proofErr w:type="spellStart"/>
      <w:r w:rsidRPr="00F34A85">
        <w:rPr>
          <w:rFonts w:ascii="Times New Roman" w:hAnsi="Times New Roman" w:cs="Times New Roman"/>
          <w:sz w:val="24"/>
          <w:szCs w:val="24"/>
          <w:lang w:val="es-ES"/>
        </w:rPr>
        <w:t>doenças</w:t>
      </w:r>
      <w:proofErr w:type="spellEnd"/>
      <w:r w:rsidRPr="00F34A85">
        <w:rPr>
          <w:rFonts w:ascii="Times New Roman" w:hAnsi="Times New Roman" w:cs="Times New Roman"/>
          <w:sz w:val="24"/>
          <w:szCs w:val="24"/>
          <w:lang w:val="es-ES"/>
        </w:rPr>
        <w:t xml:space="preserve"> cardiovasculares (DCV) </w:t>
      </w:r>
      <w:proofErr w:type="spellStart"/>
      <w:r w:rsidRPr="00F34A85">
        <w:rPr>
          <w:rFonts w:ascii="Times New Roman" w:hAnsi="Times New Roman" w:cs="Times New Roman"/>
          <w:sz w:val="24"/>
          <w:szCs w:val="24"/>
          <w:lang w:val="es-ES"/>
        </w:rPr>
        <w:t>são</w:t>
      </w:r>
      <w:proofErr w:type="spellEnd"/>
      <w:r w:rsidRPr="00F34A85">
        <w:rPr>
          <w:rFonts w:ascii="Times New Roman" w:hAnsi="Times New Roman" w:cs="Times New Roman"/>
          <w:sz w:val="24"/>
          <w:szCs w:val="24"/>
          <w:lang w:val="es-ES"/>
        </w:rPr>
        <w:t xml:space="preserve"> a principal causa de </w:t>
      </w:r>
      <w:proofErr w:type="spellStart"/>
      <w:r w:rsidRPr="00F34A85">
        <w:rPr>
          <w:rFonts w:ascii="Times New Roman" w:hAnsi="Times New Roman" w:cs="Times New Roman"/>
          <w:sz w:val="24"/>
          <w:szCs w:val="24"/>
          <w:lang w:val="es-ES"/>
        </w:rPr>
        <w:t>morte</w:t>
      </w:r>
      <w:proofErr w:type="spellEnd"/>
      <w:r w:rsidRPr="00F34A85">
        <w:rPr>
          <w:rFonts w:ascii="Times New Roman" w:hAnsi="Times New Roman" w:cs="Times New Roman"/>
          <w:sz w:val="24"/>
          <w:szCs w:val="24"/>
          <w:lang w:val="es-ES"/>
        </w:rPr>
        <w:t xml:space="preserve"> no mundo. A </w:t>
      </w:r>
      <w:proofErr w:type="spellStart"/>
      <w:r w:rsidRPr="00F34A85">
        <w:rPr>
          <w:rFonts w:ascii="Times New Roman" w:hAnsi="Times New Roman" w:cs="Times New Roman"/>
          <w:sz w:val="24"/>
          <w:szCs w:val="24"/>
          <w:lang w:val="es-ES"/>
        </w:rPr>
        <w:t>ingestão</w:t>
      </w:r>
      <w:proofErr w:type="spellEnd"/>
      <w:r w:rsidRPr="00F34A85">
        <w:rPr>
          <w:rFonts w:ascii="Times New Roman" w:hAnsi="Times New Roman" w:cs="Times New Roman"/>
          <w:sz w:val="24"/>
          <w:szCs w:val="24"/>
          <w:lang w:val="es-ES"/>
        </w:rPr>
        <w:t xml:space="preserve"> de elevado </w:t>
      </w:r>
      <w:proofErr w:type="spellStart"/>
      <w:r w:rsidRPr="00F34A85">
        <w:rPr>
          <w:rFonts w:ascii="Times New Roman" w:hAnsi="Times New Roman" w:cs="Times New Roman"/>
          <w:sz w:val="24"/>
          <w:szCs w:val="24"/>
          <w:lang w:val="es-ES"/>
        </w:rPr>
        <w:t>teor</w:t>
      </w:r>
      <w:proofErr w:type="spellEnd"/>
      <w:r w:rsidRPr="00F34A85">
        <w:rPr>
          <w:rFonts w:ascii="Times New Roman" w:hAnsi="Times New Roman" w:cs="Times New Roman"/>
          <w:sz w:val="24"/>
          <w:szCs w:val="24"/>
          <w:lang w:val="es-ES"/>
        </w:rPr>
        <w:t xml:space="preserve"> de sal é </w:t>
      </w:r>
      <w:proofErr w:type="spellStart"/>
      <w:r w:rsidRPr="00F34A85">
        <w:rPr>
          <w:rFonts w:ascii="Times New Roman" w:hAnsi="Times New Roman" w:cs="Times New Roman"/>
          <w:sz w:val="24"/>
          <w:szCs w:val="24"/>
          <w:lang w:val="es-ES"/>
        </w:rPr>
        <w:t>um</w:t>
      </w:r>
      <w:proofErr w:type="spellEnd"/>
      <w:r w:rsidRPr="00F34A85">
        <w:rPr>
          <w:rFonts w:ascii="Times New Roman" w:hAnsi="Times New Roman" w:cs="Times New Roman"/>
          <w:sz w:val="24"/>
          <w:szCs w:val="24"/>
          <w:lang w:val="es-ES"/>
        </w:rPr>
        <w:t xml:space="preserve"> dos </w:t>
      </w:r>
      <w:proofErr w:type="spellStart"/>
      <w:r w:rsidRPr="00F34A85">
        <w:rPr>
          <w:rFonts w:ascii="Times New Roman" w:hAnsi="Times New Roman" w:cs="Times New Roman"/>
          <w:sz w:val="24"/>
          <w:szCs w:val="24"/>
          <w:lang w:val="es-ES"/>
        </w:rPr>
        <w:t>principais</w:t>
      </w:r>
      <w:proofErr w:type="spellEnd"/>
      <w:r w:rsidRPr="00F34A85">
        <w:rPr>
          <w:rFonts w:ascii="Times New Roman" w:hAnsi="Times New Roman" w:cs="Times New Roman"/>
          <w:sz w:val="24"/>
          <w:szCs w:val="24"/>
          <w:lang w:val="es-ES"/>
        </w:rPr>
        <w:t xml:space="preserve"> factores de risco </w:t>
      </w:r>
      <w:proofErr w:type="spellStart"/>
      <w:r w:rsidRPr="00F34A85">
        <w:rPr>
          <w:rFonts w:ascii="Times New Roman" w:hAnsi="Times New Roman" w:cs="Times New Roman"/>
          <w:sz w:val="24"/>
          <w:szCs w:val="24"/>
          <w:lang w:val="es-ES"/>
        </w:rPr>
        <w:t>associados</w:t>
      </w:r>
      <w:proofErr w:type="spellEnd"/>
      <w:r w:rsidRPr="00F34A85">
        <w:rPr>
          <w:rFonts w:ascii="Times New Roman" w:hAnsi="Times New Roman" w:cs="Times New Roman"/>
          <w:sz w:val="24"/>
          <w:szCs w:val="24"/>
          <w:lang w:val="es-ES"/>
        </w:rPr>
        <w:t xml:space="preserve"> </w:t>
      </w:r>
      <w:proofErr w:type="spellStart"/>
      <w:r w:rsidRPr="00F34A85">
        <w:rPr>
          <w:rFonts w:ascii="Times New Roman" w:hAnsi="Times New Roman" w:cs="Times New Roman"/>
          <w:sz w:val="24"/>
          <w:szCs w:val="24"/>
          <w:lang w:val="es-ES"/>
        </w:rPr>
        <w:t>ao</w:t>
      </w:r>
      <w:proofErr w:type="spellEnd"/>
      <w:r w:rsidRPr="00F34A85">
        <w:rPr>
          <w:rFonts w:ascii="Times New Roman" w:hAnsi="Times New Roman" w:cs="Times New Roman"/>
          <w:sz w:val="24"/>
          <w:szCs w:val="24"/>
          <w:lang w:val="es-ES"/>
        </w:rPr>
        <w:t xml:space="preserve"> </w:t>
      </w:r>
      <w:proofErr w:type="spellStart"/>
      <w:r w:rsidRPr="00F34A85">
        <w:rPr>
          <w:rFonts w:ascii="Times New Roman" w:hAnsi="Times New Roman" w:cs="Times New Roman"/>
          <w:sz w:val="24"/>
          <w:szCs w:val="24"/>
          <w:lang w:val="es-ES"/>
        </w:rPr>
        <w:t>desenvolvimento</w:t>
      </w:r>
      <w:proofErr w:type="spellEnd"/>
      <w:r w:rsidRPr="00F34A85">
        <w:rPr>
          <w:rFonts w:ascii="Times New Roman" w:hAnsi="Times New Roman" w:cs="Times New Roman"/>
          <w:sz w:val="24"/>
          <w:szCs w:val="24"/>
          <w:lang w:val="es-ES"/>
        </w:rPr>
        <w:t xml:space="preserve"> de </w:t>
      </w:r>
      <w:proofErr w:type="spellStart"/>
      <w:r w:rsidRPr="00F34A85">
        <w:rPr>
          <w:rFonts w:ascii="Times New Roman" w:hAnsi="Times New Roman" w:cs="Times New Roman"/>
          <w:sz w:val="24"/>
          <w:szCs w:val="24"/>
          <w:lang w:val="es-ES"/>
        </w:rPr>
        <w:t>doenças</w:t>
      </w:r>
      <w:proofErr w:type="spellEnd"/>
      <w:r w:rsidRPr="00F34A85">
        <w:rPr>
          <w:rFonts w:ascii="Times New Roman" w:hAnsi="Times New Roman" w:cs="Times New Roman"/>
          <w:sz w:val="24"/>
          <w:szCs w:val="24"/>
          <w:lang w:val="es-ES"/>
        </w:rPr>
        <w:t xml:space="preserve"> cardiovasculares. </w:t>
      </w:r>
      <w:proofErr w:type="spellStart"/>
      <w:r w:rsidRPr="00F34A85">
        <w:rPr>
          <w:rFonts w:ascii="Times New Roman" w:hAnsi="Times New Roman" w:cs="Times New Roman"/>
          <w:sz w:val="24"/>
          <w:szCs w:val="24"/>
          <w:lang w:val="es-ES"/>
        </w:rPr>
        <w:t>Diretrizes</w:t>
      </w:r>
      <w:proofErr w:type="spellEnd"/>
      <w:r w:rsidRPr="00F34A85">
        <w:rPr>
          <w:rFonts w:ascii="Times New Roman" w:hAnsi="Times New Roman" w:cs="Times New Roman"/>
          <w:sz w:val="24"/>
          <w:szCs w:val="24"/>
          <w:lang w:val="es-ES"/>
        </w:rPr>
        <w:t xml:space="preserve"> clínicas </w:t>
      </w:r>
      <w:proofErr w:type="spellStart"/>
      <w:r w:rsidRPr="00F34A85">
        <w:rPr>
          <w:rFonts w:ascii="Times New Roman" w:hAnsi="Times New Roman" w:cs="Times New Roman"/>
          <w:sz w:val="24"/>
          <w:szCs w:val="24"/>
          <w:lang w:val="es-ES"/>
        </w:rPr>
        <w:t>recomendam</w:t>
      </w:r>
      <w:proofErr w:type="spellEnd"/>
      <w:r w:rsidRPr="00F34A85">
        <w:rPr>
          <w:rFonts w:ascii="Times New Roman" w:hAnsi="Times New Roman" w:cs="Times New Roman"/>
          <w:sz w:val="24"/>
          <w:szCs w:val="24"/>
          <w:lang w:val="es-ES"/>
        </w:rPr>
        <w:t xml:space="preserve"> </w:t>
      </w:r>
      <w:proofErr w:type="spellStart"/>
      <w:r w:rsidRPr="00F34A85">
        <w:rPr>
          <w:rFonts w:ascii="Times New Roman" w:hAnsi="Times New Roman" w:cs="Times New Roman"/>
          <w:sz w:val="24"/>
          <w:szCs w:val="24"/>
          <w:lang w:val="es-ES"/>
        </w:rPr>
        <w:t>restrições</w:t>
      </w:r>
      <w:proofErr w:type="spellEnd"/>
      <w:r w:rsidRPr="00F34A85">
        <w:rPr>
          <w:rFonts w:ascii="Times New Roman" w:hAnsi="Times New Roman" w:cs="Times New Roman"/>
          <w:sz w:val="24"/>
          <w:szCs w:val="24"/>
          <w:lang w:val="es-ES"/>
        </w:rPr>
        <w:t xml:space="preserve"> à </w:t>
      </w:r>
      <w:proofErr w:type="spellStart"/>
      <w:r w:rsidRPr="00F34A85">
        <w:rPr>
          <w:rFonts w:ascii="Times New Roman" w:hAnsi="Times New Roman" w:cs="Times New Roman"/>
          <w:sz w:val="24"/>
          <w:szCs w:val="24"/>
          <w:lang w:val="es-ES"/>
        </w:rPr>
        <w:t>ingestão</w:t>
      </w:r>
      <w:proofErr w:type="spellEnd"/>
      <w:r w:rsidRPr="00F34A85">
        <w:rPr>
          <w:rFonts w:ascii="Times New Roman" w:hAnsi="Times New Roman" w:cs="Times New Roman"/>
          <w:sz w:val="24"/>
          <w:szCs w:val="24"/>
          <w:lang w:val="es-ES"/>
        </w:rPr>
        <w:t xml:space="preserve"> de sal </w:t>
      </w:r>
      <w:proofErr w:type="spellStart"/>
      <w:r w:rsidRPr="00F34A85">
        <w:rPr>
          <w:rFonts w:ascii="Times New Roman" w:hAnsi="Times New Roman" w:cs="Times New Roman"/>
          <w:sz w:val="24"/>
          <w:szCs w:val="24"/>
          <w:lang w:val="es-ES"/>
        </w:rPr>
        <w:t>em</w:t>
      </w:r>
      <w:proofErr w:type="spellEnd"/>
      <w:r w:rsidRPr="00F34A85">
        <w:rPr>
          <w:rFonts w:ascii="Times New Roman" w:hAnsi="Times New Roman" w:cs="Times New Roman"/>
          <w:sz w:val="24"/>
          <w:szCs w:val="24"/>
          <w:lang w:val="es-ES"/>
        </w:rPr>
        <w:t xml:space="preserve"> pacientes </w:t>
      </w:r>
      <w:proofErr w:type="spellStart"/>
      <w:r w:rsidRPr="00F34A85">
        <w:rPr>
          <w:rFonts w:ascii="Times New Roman" w:hAnsi="Times New Roman" w:cs="Times New Roman"/>
          <w:sz w:val="24"/>
          <w:szCs w:val="24"/>
          <w:lang w:val="es-ES"/>
        </w:rPr>
        <w:t>com</w:t>
      </w:r>
      <w:proofErr w:type="spellEnd"/>
      <w:r w:rsidRPr="00F34A85">
        <w:rPr>
          <w:rFonts w:ascii="Times New Roman" w:hAnsi="Times New Roman" w:cs="Times New Roman"/>
          <w:sz w:val="24"/>
          <w:szCs w:val="24"/>
          <w:lang w:val="es-ES"/>
        </w:rPr>
        <w:t xml:space="preserve"> </w:t>
      </w:r>
      <w:proofErr w:type="spellStart"/>
      <w:r w:rsidRPr="00F34A85">
        <w:rPr>
          <w:rFonts w:ascii="Times New Roman" w:hAnsi="Times New Roman" w:cs="Times New Roman"/>
          <w:sz w:val="24"/>
          <w:szCs w:val="24"/>
          <w:lang w:val="es-ES"/>
        </w:rPr>
        <w:t>hipertensão</w:t>
      </w:r>
      <w:proofErr w:type="spellEnd"/>
      <w:r w:rsidRPr="00F34A85">
        <w:rPr>
          <w:rFonts w:ascii="Times New Roman" w:hAnsi="Times New Roman" w:cs="Times New Roman"/>
          <w:sz w:val="24"/>
          <w:szCs w:val="24"/>
          <w:lang w:val="es-ES"/>
        </w:rPr>
        <w:t xml:space="preserve"> e </w:t>
      </w:r>
      <w:proofErr w:type="spellStart"/>
      <w:r w:rsidRPr="00F34A85">
        <w:rPr>
          <w:rFonts w:ascii="Times New Roman" w:hAnsi="Times New Roman" w:cs="Times New Roman"/>
          <w:sz w:val="24"/>
          <w:szCs w:val="24"/>
          <w:lang w:val="es-ES"/>
        </w:rPr>
        <w:t>insuficiência</w:t>
      </w:r>
      <w:proofErr w:type="spellEnd"/>
      <w:r w:rsidRPr="00F34A85">
        <w:rPr>
          <w:rFonts w:ascii="Times New Roman" w:hAnsi="Times New Roman" w:cs="Times New Roman"/>
          <w:sz w:val="24"/>
          <w:szCs w:val="24"/>
          <w:lang w:val="es-ES"/>
        </w:rPr>
        <w:t xml:space="preserve"> cardíaca; No </w:t>
      </w:r>
      <w:proofErr w:type="spellStart"/>
      <w:r w:rsidRPr="00F34A85">
        <w:rPr>
          <w:rFonts w:ascii="Times New Roman" w:hAnsi="Times New Roman" w:cs="Times New Roman"/>
          <w:sz w:val="24"/>
          <w:szCs w:val="24"/>
          <w:lang w:val="es-ES"/>
        </w:rPr>
        <w:t>entanto</w:t>
      </w:r>
      <w:proofErr w:type="spellEnd"/>
      <w:r w:rsidRPr="00F34A85">
        <w:rPr>
          <w:rFonts w:ascii="Times New Roman" w:hAnsi="Times New Roman" w:cs="Times New Roman"/>
          <w:sz w:val="24"/>
          <w:szCs w:val="24"/>
          <w:lang w:val="es-ES"/>
        </w:rPr>
        <w:t xml:space="preserve">, os </w:t>
      </w:r>
      <w:proofErr w:type="spellStart"/>
      <w:r w:rsidRPr="00F34A85">
        <w:rPr>
          <w:rFonts w:ascii="Times New Roman" w:hAnsi="Times New Roman" w:cs="Times New Roman"/>
          <w:sz w:val="24"/>
          <w:szCs w:val="24"/>
          <w:lang w:val="es-ES"/>
        </w:rPr>
        <w:t>ensaios</w:t>
      </w:r>
      <w:proofErr w:type="spellEnd"/>
      <w:r w:rsidRPr="00F34A85">
        <w:rPr>
          <w:rFonts w:ascii="Times New Roman" w:hAnsi="Times New Roman" w:cs="Times New Roman"/>
          <w:sz w:val="24"/>
          <w:szCs w:val="24"/>
          <w:lang w:val="es-ES"/>
        </w:rPr>
        <w:t xml:space="preserve"> clínicos </w:t>
      </w:r>
      <w:proofErr w:type="spellStart"/>
      <w:r w:rsidRPr="00F34A85">
        <w:rPr>
          <w:rFonts w:ascii="Times New Roman" w:hAnsi="Times New Roman" w:cs="Times New Roman"/>
          <w:sz w:val="24"/>
          <w:szCs w:val="24"/>
          <w:lang w:val="es-ES"/>
        </w:rPr>
        <w:t>têm</w:t>
      </w:r>
      <w:proofErr w:type="spellEnd"/>
      <w:r w:rsidRPr="00F34A85">
        <w:rPr>
          <w:rFonts w:ascii="Times New Roman" w:hAnsi="Times New Roman" w:cs="Times New Roman"/>
          <w:sz w:val="24"/>
          <w:szCs w:val="24"/>
          <w:lang w:val="es-ES"/>
        </w:rPr>
        <w:t xml:space="preserve"> relatado resultados </w:t>
      </w:r>
      <w:proofErr w:type="spellStart"/>
      <w:r w:rsidRPr="00F34A85">
        <w:rPr>
          <w:rFonts w:ascii="Times New Roman" w:hAnsi="Times New Roman" w:cs="Times New Roman"/>
          <w:sz w:val="24"/>
          <w:szCs w:val="24"/>
          <w:lang w:val="es-ES"/>
        </w:rPr>
        <w:t>conflitantes</w:t>
      </w:r>
      <w:proofErr w:type="spellEnd"/>
      <w:r w:rsidRPr="00F34A85">
        <w:rPr>
          <w:rFonts w:ascii="Times New Roman" w:hAnsi="Times New Roman" w:cs="Times New Roman"/>
          <w:sz w:val="24"/>
          <w:szCs w:val="24"/>
          <w:lang w:val="es-ES"/>
        </w:rPr>
        <w:t xml:space="preserve">. As dietas </w:t>
      </w:r>
      <w:proofErr w:type="spellStart"/>
      <w:r w:rsidRPr="00F34A85">
        <w:rPr>
          <w:rFonts w:ascii="Times New Roman" w:hAnsi="Times New Roman" w:cs="Times New Roman"/>
          <w:sz w:val="24"/>
          <w:szCs w:val="24"/>
          <w:lang w:val="es-ES"/>
        </w:rPr>
        <w:t>restritas</w:t>
      </w:r>
      <w:proofErr w:type="spellEnd"/>
      <w:r w:rsidRPr="00F34A85">
        <w:rPr>
          <w:rFonts w:ascii="Times New Roman" w:hAnsi="Times New Roman" w:cs="Times New Roman"/>
          <w:sz w:val="24"/>
          <w:szCs w:val="24"/>
          <w:lang w:val="es-ES"/>
        </w:rPr>
        <w:t xml:space="preserve"> </w:t>
      </w:r>
      <w:proofErr w:type="spellStart"/>
      <w:r w:rsidRPr="00F34A85">
        <w:rPr>
          <w:rFonts w:ascii="Times New Roman" w:hAnsi="Times New Roman" w:cs="Times New Roman"/>
          <w:sz w:val="24"/>
          <w:szCs w:val="24"/>
          <w:lang w:val="es-ES"/>
        </w:rPr>
        <w:t>sódio</w:t>
      </w:r>
      <w:proofErr w:type="spellEnd"/>
      <w:r w:rsidRPr="00F34A85">
        <w:rPr>
          <w:rFonts w:ascii="Times New Roman" w:hAnsi="Times New Roman" w:cs="Times New Roman"/>
          <w:sz w:val="24"/>
          <w:szCs w:val="24"/>
          <w:lang w:val="es-ES"/>
        </w:rPr>
        <w:t xml:space="preserve"> </w:t>
      </w:r>
      <w:proofErr w:type="spellStart"/>
      <w:r w:rsidRPr="00F34A85">
        <w:rPr>
          <w:rFonts w:ascii="Times New Roman" w:hAnsi="Times New Roman" w:cs="Times New Roman"/>
          <w:sz w:val="24"/>
          <w:szCs w:val="24"/>
          <w:lang w:val="es-ES"/>
        </w:rPr>
        <w:t>estão</w:t>
      </w:r>
      <w:proofErr w:type="spellEnd"/>
      <w:r w:rsidRPr="00F34A85">
        <w:rPr>
          <w:rFonts w:ascii="Times New Roman" w:hAnsi="Times New Roman" w:cs="Times New Roman"/>
          <w:sz w:val="24"/>
          <w:szCs w:val="24"/>
          <w:lang w:val="es-ES"/>
        </w:rPr>
        <w:t xml:space="preserve"> </w:t>
      </w:r>
      <w:proofErr w:type="spellStart"/>
      <w:r w:rsidRPr="00F34A85">
        <w:rPr>
          <w:rFonts w:ascii="Times New Roman" w:hAnsi="Times New Roman" w:cs="Times New Roman"/>
          <w:sz w:val="24"/>
          <w:szCs w:val="24"/>
          <w:lang w:val="es-ES"/>
        </w:rPr>
        <w:t>associados</w:t>
      </w:r>
      <w:proofErr w:type="spellEnd"/>
      <w:r w:rsidRPr="00F34A85">
        <w:rPr>
          <w:rFonts w:ascii="Times New Roman" w:hAnsi="Times New Roman" w:cs="Times New Roman"/>
          <w:sz w:val="24"/>
          <w:szCs w:val="24"/>
          <w:lang w:val="es-ES"/>
        </w:rPr>
        <w:t xml:space="preserve"> </w:t>
      </w:r>
      <w:proofErr w:type="spellStart"/>
      <w:r w:rsidRPr="00F34A85">
        <w:rPr>
          <w:rFonts w:ascii="Times New Roman" w:hAnsi="Times New Roman" w:cs="Times New Roman"/>
          <w:sz w:val="24"/>
          <w:szCs w:val="24"/>
          <w:lang w:val="es-ES"/>
        </w:rPr>
        <w:t>com</w:t>
      </w:r>
      <w:proofErr w:type="spellEnd"/>
      <w:r w:rsidRPr="00F34A85">
        <w:rPr>
          <w:rFonts w:ascii="Times New Roman" w:hAnsi="Times New Roman" w:cs="Times New Roman"/>
          <w:sz w:val="24"/>
          <w:szCs w:val="24"/>
          <w:lang w:val="es-ES"/>
        </w:rPr>
        <w:t xml:space="preserve"> o aumento do </w:t>
      </w:r>
      <w:proofErr w:type="spellStart"/>
      <w:r w:rsidRPr="00F34A85">
        <w:rPr>
          <w:rFonts w:ascii="Times New Roman" w:hAnsi="Times New Roman" w:cs="Times New Roman"/>
          <w:sz w:val="24"/>
          <w:szCs w:val="24"/>
          <w:lang w:val="es-ES"/>
        </w:rPr>
        <w:t>desenvolvimento</w:t>
      </w:r>
      <w:proofErr w:type="spellEnd"/>
      <w:r w:rsidRPr="00F34A85">
        <w:rPr>
          <w:rFonts w:ascii="Times New Roman" w:hAnsi="Times New Roman" w:cs="Times New Roman"/>
          <w:sz w:val="24"/>
          <w:szCs w:val="24"/>
          <w:lang w:val="es-ES"/>
        </w:rPr>
        <w:t xml:space="preserve"> de </w:t>
      </w:r>
      <w:proofErr w:type="spellStart"/>
      <w:r w:rsidRPr="00F34A85">
        <w:rPr>
          <w:rFonts w:ascii="Times New Roman" w:hAnsi="Times New Roman" w:cs="Times New Roman"/>
          <w:sz w:val="24"/>
          <w:szCs w:val="24"/>
          <w:lang w:val="es-ES"/>
        </w:rPr>
        <w:t>aterosclerose</w:t>
      </w:r>
      <w:proofErr w:type="spellEnd"/>
      <w:r w:rsidRPr="00F34A85">
        <w:rPr>
          <w:rFonts w:ascii="Times New Roman" w:hAnsi="Times New Roman" w:cs="Times New Roman"/>
          <w:sz w:val="24"/>
          <w:szCs w:val="24"/>
          <w:lang w:val="es-ES"/>
        </w:rPr>
        <w:t xml:space="preserve">, que </w:t>
      </w:r>
      <w:proofErr w:type="spellStart"/>
      <w:r w:rsidRPr="00F34A85">
        <w:rPr>
          <w:rFonts w:ascii="Times New Roman" w:hAnsi="Times New Roman" w:cs="Times New Roman"/>
          <w:sz w:val="24"/>
          <w:szCs w:val="24"/>
          <w:lang w:val="es-ES"/>
        </w:rPr>
        <w:t>actua</w:t>
      </w:r>
      <w:proofErr w:type="spellEnd"/>
      <w:r w:rsidRPr="00F34A85">
        <w:rPr>
          <w:rFonts w:ascii="Times New Roman" w:hAnsi="Times New Roman" w:cs="Times New Roman"/>
          <w:sz w:val="24"/>
          <w:szCs w:val="24"/>
          <w:lang w:val="es-ES"/>
        </w:rPr>
        <w:t xml:space="preserve"> </w:t>
      </w:r>
      <w:proofErr w:type="spellStart"/>
      <w:r w:rsidRPr="00F34A85">
        <w:rPr>
          <w:rFonts w:ascii="Times New Roman" w:hAnsi="Times New Roman" w:cs="Times New Roman"/>
          <w:sz w:val="24"/>
          <w:szCs w:val="24"/>
          <w:lang w:val="es-ES"/>
        </w:rPr>
        <w:t>através</w:t>
      </w:r>
      <w:proofErr w:type="spellEnd"/>
      <w:r w:rsidRPr="00F34A85">
        <w:rPr>
          <w:rFonts w:ascii="Times New Roman" w:hAnsi="Times New Roman" w:cs="Times New Roman"/>
          <w:sz w:val="24"/>
          <w:szCs w:val="24"/>
          <w:lang w:val="es-ES"/>
        </w:rPr>
        <w:t xml:space="preserve"> da </w:t>
      </w:r>
      <w:proofErr w:type="spellStart"/>
      <w:r w:rsidRPr="00F34A85">
        <w:rPr>
          <w:rFonts w:ascii="Times New Roman" w:hAnsi="Times New Roman" w:cs="Times New Roman"/>
          <w:sz w:val="24"/>
          <w:szCs w:val="24"/>
          <w:lang w:val="es-ES"/>
        </w:rPr>
        <w:t>activação</w:t>
      </w:r>
      <w:proofErr w:type="spellEnd"/>
      <w:r w:rsidRPr="00F34A85">
        <w:rPr>
          <w:rFonts w:ascii="Times New Roman" w:hAnsi="Times New Roman" w:cs="Times New Roman"/>
          <w:sz w:val="24"/>
          <w:szCs w:val="24"/>
          <w:lang w:val="es-ES"/>
        </w:rPr>
        <w:t xml:space="preserve"> do sistema renina-angiotensina, </w:t>
      </w:r>
      <w:proofErr w:type="spellStart"/>
      <w:r w:rsidRPr="00F34A85">
        <w:rPr>
          <w:rFonts w:ascii="Times New Roman" w:hAnsi="Times New Roman" w:cs="Times New Roman"/>
          <w:sz w:val="24"/>
          <w:szCs w:val="24"/>
          <w:lang w:val="es-ES"/>
        </w:rPr>
        <w:t>conduzindo</w:t>
      </w:r>
      <w:proofErr w:type="spellEnd"/>
      <w:r w:rsidRPr="00F34A85">
        <w:rPr>
          <w:rFonts w:ascii="Times New Roman" w:hAnsi="Times New Roman" w:cs="Times New Roman"/>
          <w:sz w:val="24"/>
          <w:szCs w:val="24"/>
          <w:lang w:val="es-ES"/>
        </w:rPr>
        <w:t xml:space="preserve"> </w:t>
      </w:r>
      <w:proofErr w:type="spellStart"/>
      <w:r w:rsidRPr="00F34A85">
        <w:rPr>
          <w:rFonts w:ascii="Times New Roman" w:hAnsi="Times New Roman" w:cs="Times New Roman"/>
          <w:sz w:val="24"/>
          <w:szCs w:val="24"/>
          <w:lang w:val="es-ES"/>
        </w:rPr>
        <w:t>ao</w:t>
      </w:r>
      <w:proofErr w:type="spellEnd"/>
      <w:r w:rsidRPr="00F34A85">
        <w:rPr>
          <w:rFonts w:ascii="Times New Roman" w:hAnsi="Times New Roman" w:cs="Times New Roman"/>
          <w:sz w:val="24"/>
          <w:szCs w:val="24"/>
          <w:lang w:val="es-ES"/>
        </w:rPr>
        <w:t xml:space="preserve"> </w:t>
      </w:r>
      <w:proofErr w:type="spellStart"/>
      <w:r w:rsidRPr="00F34A85">
        <w:rPr>
          <w:rFonts w:ascii="Times New Roman" w:hAnsi="Times New Roman" w:cs="Times New Roman"/>
          <w:sz w:val="24"/>
          <w:szCs w:val="24"/>
          <w:lang w:val="es-ES"/>
        </w:rPr>
        <w:t>desenvolvimento</w:t>
      </w:r>
      <w:proofErr w:type="spellEnd"/>
      <w:r w:rsidRPr="00F34A85">
        <w:rPr>
          <w:rFonts w:ascii="Times New Roman" w:hAnsi="Times New Roman" w:cs="Times New Roman"/>
          <w:sz w:val="24"/>
          <w:szCs w:val="24"/>
          <w:lang w:val="es-ES"/>
        </w:rPr>
        <w:t xml:space="preserve"> de </w:t>
      </w:r>
      <w:proofErr w:type="spellStart"/>
      <w:r w:rsidRPr="00F34A85">
        <w:rPr>
          <w:rFonts w:ascii="Times New Roman" w:hAnsi="Times New Roman" w:cs="Times New Roman"/>
          <w:sz w:val="24"/>
          <w:szCs w:val="24"/>
          <w:lang w:val="es-ES"/>
        </w:rPr>
        <w:t>doenças</w:t>
      </w:r>
      <w:proofErr w:type="spellEnd"/>
      <w:r w:rsidRPr="00F34A85">
        <w:rPr>
          <w:rFonts w:ascii="Times New Roman" w:hAnsi="Times New Roman" w:cs="Times New Roman"/>
          <w:sz w:val="24"/>
          <w:szCs w:val="24"/>
          <w:lang w:val="es-ES"/>
        </w:rPr>
        <w:t xml:space="preserve"> cardiovasculares.</w:t>
      </w:r>
    </w:p>
    <w:p w:rsidR="00F34A85" w:rsidRPr="00F34A85" w:rsidRDefault="00F34A85" w:rsidP="00F34A85">
      <w:pPr>
        <w:spacing w:line="360" w:lineRule="auto"/>
        <w:jc w:val="both"/>
        <w:rPr>
          <w:rFonts w:ascii="Arial" w:hAnsi="Arial" w:cs="Arial"/>
          <w:sz w:val="24"/>
          <w:szCs w:val="24"/>
          <w:lang w:val="en-US"/>
        </w:rPr>
      </w:pPr>
      <w:r w:rsidRPr="00F34A85">
        <w:rPr>
          <w:rFonts w:ascii="Times New Roman" w:hAnsi="Times New Roman" w:cs="Times New Roman"/>
          <w:sz w:val="24"/>
          <w:szCs w:val="24"/>
          <w:lang w:val="es-ES"/>
        </w:rPr>
        <w:t xml:space="preserve">O objetivo da pesquisa é fornecer </w:t>
      </w:r>
      <w:proofErr w:type="spellStart"/>
      <w:r w:rsidRPr="00F34A85">
        <w:rPr>
          <w:rFonts w:ascii="Times New Roman" w:hAnsi="Times New Roman" w:cs="Times New Roman"/>
          <w:sz w:val="24"/>
          <w:szCs w:val="24"/>
          <w:lang w:val="es-ES"/>
        </w:rPr>
        <w:t>evidências</w:t>
      </w:r>
      <w:proofErr w:type="spellEnd"/>
      <w:r w:rsidRPr="00F34A85">
        <w:rPr>
          <w:rFonts w:ascii="Times New Roman" w:hAnsi="Times New Roman" w:cs="Times New Roman"/>
          <w:sz w:val="24"/>
          <w:szCs w:val="24"/>
          <w:lang w:val="es-ES"/>
        </w:rPr>
        <w:t xml:space="preserve"> científicas relevantes para alertar e capacitar o </w:t>
      </w:r>
      <w:proofErr w:type="spellStart"/>
      <w:r w:rsidRPr="00F34A85">
        <w:rPr>
          <w:rFonts w:ascii="Times New Roman" w:hAnsi="Times New Roman" w:cs="Times New Roman"/>
          <w:sz w:val="24"/>
          <w:szCs w:val="24"/>
          <w:lang w:val="es-ES"/>
        </w:rPr>
        <w:t>profissional</w:t>
      </w:r>
      <w:proofErr w:type="spellEnd"/>
      <w:r w:rsidRPr="00F34A85">
        <w:rPr>
          <w:rFonts w:ascii="Times New Roman" w:hAnsi="Times New Roman" w:cs="Times New Roman"/>
          <w:sz w:val="24"/>
          <w:szCs w:val="24"/>
          <w:lang w:val="es-ES"/>
        </w:rPr>
        <w:t xml:space="preserve"> de </w:t>
      </w:r>
      <w:proofErr w:type="spellStart"/>
      <w:r w:rsidRPr="00F34A85">
        <w:rPr>
          <w:rFonts w:ascii="Times New Roman" w:hAnsi="Times New Roman" w:cs="Times New Roman"/>
          <w:sz w:val="24"/>
          <w:szCs w:val="24"/>
          <w:lang w:val="es-ES"/>
        </w:rPr>
        <w:t>saúde</w:t>
      </w:r>
      <w:proofErr w:type="spellEnd"/>
      <w:r w:rsidRPr="00F34A85">
        <w:rPr>
          <w:rFonts w:ascii="Times New Roman" w:hAnsi="Times New Roman" w:cs="Times New Roman"/>
          <w:sz w:val="24"/>
          <w:szCs w:val="24"/>
          <w:lang w:val="es-ES"/>
        </w:rPr>
        <w:t xml:space="preserve"> na tomada de </w:t>
      </w:r>
      <w:proofErr w:type="spellStart"/>
      <w:r w:rsidRPr="00F34A85">
        <w:rPr>
          <w:rFonts w:ascii="Times New Roman" w:hAnsi="Times New Roman" w:cs="Times New Roman"/>
          <w:sz w:val="24"/>
          <w:szCs w:val="24"/>
          <w:lang w:val="es-ES"/>
        </w:rPr>
        <w:t>decisões</w:t>
      </w:r>
      <w:proofErr w:type="spellEnd"/>
      <w:r w:rsidRPr="00F34A85">
        <w:rPr>
          <w:rFonts w:ascii="Times New Roman" w:hAnsi="Times New Roman" w:cs="Times New Roman"/>
          <w:sz w:val="24"/>
          <w:szCs w:val="24"/>
          <w:lang w:val="es-ES"/>
        </w:rPr>
        <w:t xml:space="preserve"> objetivas sobre o controle da </w:t>
      </w:r>
      <w:proofErr w:type="spellStart"/>
      <w:r w:rsidRPr="00F34A85">
        <w:rPr>
          <w:rFonts w:ascii="Times New Roman" w:hAnsi="Times New Roman" w:cs="Times New Roman"/>
          <w:sz w:val="24"/>
          <w:szCs w:val="24"/>
          <w:lang w:val="es-ES"/>
        </w:rPr>
        <w:t>ingestão</w:t>
      </w:r>
      <w:proofErr w:type="spellEnd"/>
      <w:r w:rsidRPr="00F34A85">
        <w:rPr>
          <w:rFonts w:ascii="Times New Roman" w:hAnsi="Times New Roman" w:cs="Times New Roman"/>
          <w:sz w:val="24"/>
          <w:szCs w:val="24"/>
          <w:lang w:val="es-ES"/>
        </w:rPr>
        <w:t xml:space="preserve"> de sal na dieta, particularmente </w:t>
      </w:r>
      <w:proofErr w:type="spellStart"/>
      <w:r w:rsidRPr="00F34A85">
        <w:rPr>
          <w:rFonts w:ascii="Times New Roman" w:hAnsi="Times New Roman" w:cs="Times New Roman"/>
          <w:sz w:val="24"/>
          <w:szCs w:val="24"/>
          <w:lang w:val="es-ES"/>
        </w:rPr>
        <w:t>em</w:t>
      </w:r>
      <w:proofErr w:type="spellEnd"/>
      <w:r w:rsidRPr="00F34A85">
        <w:rPr>
          <w:rFonts w:ascii="Times New Roman" w:hAnsi="Times New Roman" w:cs="Times New Roman"/>
          <w:sz w:val="24"/>
          <w:szCs w:val="24"/>
          <w:lang w:val="es-ES"/>
        </w:rPr>
        <w:t xml:space="preserve"> pacientes </w:t>
      </w:r>
      <w:proofErr w:type="spellStart"/>
      <w:r w:rsidRPr="00F34A85">
        <w:rPr>
          <w:rFonts w:ascii="Times New Roman" w:hAnsi="Times New Roman" w:cs="Times New Roman"/>
          <w:sz w:val="24"/>
          <w:szCs w:val="24"/>
          <w:lang w:val="es-ES"/>
        </w:rPr>
        <w:t>com</w:t>
      </w:r>
      <w:proofErr w:type="spellEnd"/>
      <w:r w:rsidRPr="00F34A85">
        <w:rPr>
          <w:rFonts w:ascii="Times New Roman" w:hAnsi="Times New Roman" w:cs="Times New Roman"/>
          <w:sz w:val="24"/>
          <w:szCs w:val="24"/>
          <w:lang w:val="es-ES"/>
        </w:rPr>
        <w:t xml:space="preserve"> risco de desenvolver </w:t>
      </w:r>
      <w:proofErr w:type="spellStart"/>
      <w:r w:rsidRPr="00F34A85">
        <w:rPr>
          <w:rFonts w:ascii="Times New Roman" w:hAnsi="Times New Roman" w:cs="Times New Roman"/>
          <w:sz w:val="24"/>
          <w:szCs w:val="24"/>
          <w:lang w:val="es-ES"/>
        </w:rPr>
        <w:t>doença</w:t>
      </w:r>
      <w:proofErr w:type="spellEnd"/>
      <w:r w:rsidRPr="00F34A85">
        <w:rPr>
          <w:rFonts w:ascii="Times New Roman" w:hAnsi="Times New Roman" w:cs="Times New Roman"/>
          <w:sz w:val="24"/>
          <w:szCs w:val="24"/>
          <w:lang w:val="es-ES"/>
        </w:rPr>
        <w:t xml:space="preserve"> cardiovascular.</w:t>
      </w:r>
    </w:p>
    <w:p w:rsidR="00F34A85" w:rsidRDefault="00F34A85" w:rsidP="00F34A85">
      <w:pPr>
        <w:spacing w:line="480" w:lineRule="auto"/>
        <w:jc w:val="both"/>
        <w:rPr>
          <w:rFonts w:ascii="Times New Roman" w:hAnsi="Times New Roman" w:cs="Times New Roman"/>
          <w:sz w:val="24"/>
          <w:szCs w:val="24"/>
          <w:lang w:val="es-ES"/>
        </w:rPr>
      </w:pPr>
      <w:proofErr w:type="spellStart"/>
      <w:r w:rsidRPr="00F34A85">
        <w:rPr>
          <w:rFonts w:ascii="Calibri" w:eastAsia="Times New Roman" w:hAnsi="Calibri" w:cs="Calibri"/>
          <w:color w:val="7030A0"/>
          <w:sz w:val="28"/>
          <w:szCs w:val="28"/>
          <w:lang w:val="es-ES" w:eastAsia="es-ES"/>
        </w:rPr>
        <w:t>Palavras</w:t>
      </w:r>
      <w:proofErr w:type="spellEnd"/>
      <w:r w:rsidRPr="00F34A85">
        <w:rPr>
          <w:rFonts w:ascii="Calibri" w:eastAsia="Times New Roman" w:hAnsi="Calibri" w:cs="Calibri"/>
          <w:color w:val="7030A0"/>
          <w:sz w:val="28"/>
          <w:szCs w:val="28"/>
          <w:lang w:val="es-ES" w:eastAsia="es-ES"/>
        </w:rPr>
        <w:t>-chave:</w:t>
      </w:r>
      <w:r w:rsidRPr="00F34A85">
        <w:rPr>
          <w:rFonts w:ascii="Arial" w:hAnsi="Arial" w:cs="Arial"/>
          <w:sz w:val="24"/>
          <w:szCs w:val="24"/>
          <w:lang w:val="en-US"/>
        </w:rPr>
        <w:t xml:space="preserve"> </w:t>
      </w:r>
      <w:proofErr w:type="spellStart"/>
      <w:r w:rsidRPr="00F34A85">
        <w:rPr>
          <w:rFonts w:ascii="Times New Roman" w:hAnsi="Times New Roman" w:cs="Times New Roman"/>
          <w:sz w:val="24"/>
          <w:szCs w:val="24"/>
          <w:lang w:val="es-ES"/>
        </w:rPr>
        <w:t>sódio</w:t>
      </w:r>
      <w:proofErr w:type="spellEnd"/>
      <w:r w:rsidRPr="00F34A85">
        <w:rPr>
          <w:rFonts w:ascii="Times New Roman" w:hAnsi="Times New Roman" w:cs="Times New Roman"/>
          <w:sz w:val="24"/>
          <w:szCs w:val="24"/>
          <w:lang w:val="es-ES"/>
        </w:rPr>
        <w:t xml:space="preserve">, </w:t>
      </w:r>
      <w:proofErr w:type="spellStart"/>
      <w:r w:rsidRPr="00F34A85">
        <w:rPr>
          <w:rFonts w:ascii="Times New Roman" w:hAnsi="Times New Roman" w:cs="Times New Roman"/>
          <w:sz w:val="24"/>
          <w:szCs w:val="24"/>
          <w:lang w:val="es-ES"/>
        </w:rPr>
        <w:t>doença</w:t>
      </w:r>
      <w:proofErr w:type="spellEnd"/>
      <w:r w:rsidRPr="00F34A85">
        <w:rPr>
          <w:rFonts w:ascii="Times New Roman" w:hAnsi="Times New Roman" w:cs="Times New Roman"/>
          <w:sz w:val="24"/>
          <w:szCs w:val="24"/>
          <w:lang w:val="es-ES"/>
        </w:rPr>
        <w:t xml:space="preserve"> cardiovascular, TEM.</w:t>
      </w:r>
    </w:p>
    <w:p w:rsidR="00E66BDC" w:rsidRPr="003D1CA3" w:rsidRDefault="00E66BDC" w:rsidP="00E66BDC">
      <w:pPr>
        <w:spacing w:line="480" w:lineRule="auto"/>
        <w:jc w:val="both"/>
        <w:rPr>
          <w:rFonts w:ascii="Arial" w:hAnsi="Arial" w:cs="Arial"/>
          <w:sz w:val="24"/>
          <w:szCs w:val="24"/>
          <w:lang w:val="en-US"/>
        </w:rPr>
      </w:pPr>
      <w:r w:rsidRPr="00E66BDC">
        <w:rPr>
          <w:rFonts w:ascii="Times New Roman" w:hAnsi="Times New Roman"/>
          <w:b/>
          <w:color w:val="000000"/>
          <w:sz w:val="24"/>
          <w:lang w:val="es-ES"/>
        </w:rPr>
        <w:t>Fecha recepción:</w:t>
      </w:r>
      <w:r w:rsidRPr="00E66BDC">
        <w:rPr>
          <w:rFonts w:ascii="Times New Roman" w:hAnsi="Times New Roman"/>
          <w:color w:val="000000"/>
          <w:sz w:val="24"/>
          <w:lang w:val="es-ES"/>
        </w:rPr>
        <w:t xml:space="preserve">     </w:t>
      </w:r>
      <w:r w:rsidR="005A7A1B">
        <w:rPr>
          <w:rFonts w:ascii="Times New Roman" w:hAnsi="Times New Roman"/>
          <w:color w:val="000000"/>
          <w:sz w:val="24"/>
          <w:lang w:val="es-ES"/>
        </w:rPr>
        <w:t>Enero</w:t>
      </w:r>
      <w:r w:rsidRPr="00E66BDC">
        <w:rPr>
          <w:rFonts w:ascii="Times New Roman" w:hAnsi="Times New Roman"/>
          <w:color w:val="000000"/>
          <w:sz w:val="24"/>
          <w:lang w:val="es-ES"/>
        </w:rPr>
        <w:t xml:space="preserve"> 2016                                        </w:t>
      </w:r>
      <w:r w:rsidRPr="00E66BDC">
        <w:rPr>
          <w:rFonts w:ascii="Times New Roman" w:hAnsi="Times New Roman"/>
          <w:b/>
          <w:color w:val="000000"/>
          <w:sz w:val="24"/>
          <w:lang w:val="es-ES"/>
        </w:rPr>
        <w:t>Fecha aceptación:</w:t>
      </w:r>
      <w:r>
        <w:rPr>
          <w:rFonts w:ascii="Times New Roman" w:hAnsi="Times New Roman"/>
          <w:color w:val="000000"/>
          <w:sz w:val="24"/>
          <w:lang w:val="es-ES"/>
        </w:rPr>
        <w:t xml:space="preserve"> Junio</w:t>
      </w:r>
      <w:r w:rsidRPr="00E66BDC">
        <w:rPr>
          <w:rFonts w:ascii="Times New Roman" w:hAnsi="Times New Roman"/>
          <w:color w:val="000000"/>
          <w:sz w:val="24"/>
          <w:lang w:val="es-ES"/>
        </w:rPr>
        <w:t xml:space="preserve"> 2016</w:t>
      </w:r>
      <w:r w:rsidR="006A0366">
        <w:rPr>
          <w:rFonts w:cs="Calibri"/>
        </w:rPr>
        <w:pict>
          <v:rect id="_x0000_i1025" style="width:0;height:1.5pt" o:hralign="center" o:hrstd="t" o:hr="t" fillcolor="#a0a0a0" stroked="f"/>
        </w:pict>
      </w:r>
    </w:p>
    <w:p w:rsidR="00F34A85" w:rsidRDefault="00F34A85" w:rsidP="00830031">
      <w:pPr>
        <w:spacing w:line="480" w:lineRule="auto"/>
        <w:jc w:val="both"/>
        <w:rPr>
          <w:rFonts w:ascii="Arial" w:hAnsi="Arial" w:cs="Arial"/>
          <w:sz w:val="24"/>
          <w:szCs w:val="24"/>
        </w:rPr>
      </w:pPr>
    </w:p>
    <w:p w:rsidR="00F34A85" w:rsidRDefault="00E66BDC" w:rsidP="00830031">
      <w:pPr>
        <w:spacing w:line="480" w:lineRule="auto"/>
        <w:jc w:val="both"/>
        <w:rPr>
          <w:rFonts w:ascii="Arial" w:hAnsi="Arial" w:cs="Arial"/>
          <w:sz w:val="24"/>
          <w:szCs w:val="24"/>
        </w:rPr>
      </w:pPr>
      <w:r w:rsidRPr="00D83F4E">
        <w:rPr>
          <w:rFonts w:eastAsia="Times New Roman" w:cs="Calibri"/>
          <w:color w:val="7030A0"/>
          <w:sz w:val="28"/>
          <w:szCs w:val="28"/>
          <w:lang w:val="es-ES" w:eastAsia="es-ES"/>
        </w:rPr>
        <w:t>Introducción</w:t>
      </w:r>
    </w:p>
    <w:p w:rsidR="005B2BB1" w:rsidRPr="00E66BDC" w:rsidRDefault="005B2BB1"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rPr>
        <w:t>Las enfermedades cardiovasculares (ECV)</w:t>
      </w:r>
      <w:r w:rsidR="00346FCF" w:rsidRPr="00E66BDC">
        <w:rPr>
          <w:rFonts w:ascii="Times New Roman" w:hAnsi="Times New Roman" w:cs="Times New Roman"/>
          <w:sz w:val="24"/>
          <w:szCs w:val="24"/>
        </w:rPr>
        <w:t>,</w:t>
      </w:r>
      <w:r w:rsidRPr="00E66BDC">
        <w:rPr>
          <w:rFonts w:ascii="Times New Roman" w:hAnsi="Times New Roman" w:cs="Times New Roman"/>
          <w:sz w:val="24"/>
          <w:szCs w:val="24"/>
        </w:rPr>
        <w:t xml:space="preserve"> que comprenden los trastornos del corazón y los vasos sanguíneos</w:t>
      </w:r>
      <w:r w:rsidR="00FF11CC" w:rsidRPr="00E66BDC">
        <w:rPr>
          <w:rFonts w:ascii="Times New Roman" w:hAnsi="Times New Roman" w:cs="Times New Roman"/>
          <w:sz w:val="24"/>
          <w:szCs w:val="24"/>
        </w:rPr>
        <w:t>,</w:t>
      </w:r>
      <w:r w:rsidRPr="00E66BDC">
        <w:rPr>
          <w:rFonts w:ascii="Times New Roman" w:hAnsi="Times New Roman" w:cs="Times New Roman"/>
          <w:sz w:val="24"/>
          <w:szCs w:val="24"/>
        </w:rPr>
        <w:t xml:space="preserve"> incluyendo la enfermedad coronaria, cerebrovascular, cardíaca</w:t>
      </w:r>
      <w:r w:rsidR="00213CEF" w:rsidRPr="00E66BDC">
        <w:rPr>
          <w:rFonts w:ascii="Times New Roman" w:hAnsi="Times New Roman" w:cs="Times New Roman"/>
          <w:sz w:val="24"/>
          <w:szCs w:val="24"/>
        </w:rPr>
        <w:t xml:space="preserve">, </w:t>
      </w:r>
      <w:r w:rsidRPr="00E66BDC">
        <w:rPr>
          <w:rFonts w:ascii="Times New Roman" w:hAnsi="Times New Roman" w:cs="Times New Roman"/>
          <w:sz w:val="24"/>
          <w:szCs w:val="24"/>
        </w:rPr>
        <w:t>reumática y otras condiciones (</w:t>
      </w:r>
      <w:r w:rsidR="00A34630" w:rsidRPr="00E66BDC">
        <w:rPr>
          <w:rFonts w:ascii="Times New Roman" w:hAnsi="Times New Roman" w:cs="Times New Roman"/>
          <w:sz w:val="24"/>
          <w:szCs w:val="24"/>
        </w:rPr>
        <w:t>OMS</w:t>
      </w:r>
      <w:r w:rsidR="005117B9" w:rsidRPr="00E66BDC">
        <w:rPr>
          <w:rFonts w:ascii="Times New Roman" w:hAnsi="Times New Roman" w:cs="Times New Roman"/>
          <w:sz w:val="24"/>
          <w:szCs w:val="24"/>
        </w:rPr>
        <w:t>, 2016</w:t>
      </w:r>
      <w:r w:rsidRPr="00E66BDC">
        <w:rPr>
          <w:rFonts w:ascii="Times New Roman" w:hAnsi="Times New Roman" w:cs="Times New Roman"/>
          <w:sz w:val="24"/>
          <w:szCs w:val="24"/>
        </w:rPr>
        <w:t>)</w:t>
      </w:r>
      <w:r w:rsidRPr="00E66BDC">
        <w:rPr>
          <w:rFonts w:ascii="Times New Roman" w:hAnsi="Times New Roman" w:cs="Times New Roman"/>
          <w:sz w:val="24"/>
          <w:szCs w:val="24"/>
          <w:lang w:val="es-ES"/>
        </w:rPr>
        <w:t xml:space="preserve">, </w:t>
      </w:r>
      <w:r w:rsidRPr="00E66BDC">
        <w:rPr>
          <w:rFonts w:ascii="Times New Roman" w:hAnsi="Times New Roman" w:cs="Times New Roman"/>
          <w:sz w:val="24"/>
          <w:szCs w:val="24"/>
        </w:rPr>
        <w:t xml:space="preserve">representan la principal causa de muerte en todo el mundo. Se calcula que en </w:t>
      </w:r>
      <w:r w:rsidR="002D41FA" w:rsidRPr="00E66BDC">
        <w:rPr>
          <w:rFonts w:ascii="Times New Roman" w:hAnsi="Times New Roman" w:cs="Times New Roman"/>
          <w:sz w:val="24"/>
          <w:szCs w:val="24"/>
        </w:rPr>
        <w:t>2012 murieron por esta causa 17.</w:t>
      </w:r>
      <w:r w:rsidRPr="00E66BDC">
        <w:rPr>
          <w:rFonts w:ascii="Times New Roman" w:hAnsi="Times New Roman" w:cs="Times New Roman"/>
          <w:sz w:val="24"/>
          <w:szCs w:val="24"/>
        </w:rPr>
        <w:t>5 millones de personas, 31</w:t>
      </w:r>
      <w:r w:rsidR="00FF11CC" w:rsidRPr="00E66BDC">
        <w:rPr>
          <w:rFonts w:ascii="Times New Roman" w:hAnsi="Times New Roman" w:cs="Times New Roman"/>
          <w:sz w:val="24"/>
          <w:szCs w:val="24"/>
        </w:rPr>
        <w:t xml:space="preserve"> </w:t>
      </w:r>
      <w:r w:rsidRPr="00E66BDC">
        <w:rPr>
          <w:rFonts w:ascii="Times New Roman" w:hAnsi="Times New Roman" w:cs="Times New Roman"/>
          <w:sz w:val="24"/>
          <w:szCs w:val="24"/>
        </w:rPr>
        <w:t xml:space="preserve">% de todas las </w:t>
      </w:r>
      <w:r w:rsidRPr="00E66BDC">
        <w:rPr>
          <w:rFonts w:ascii="Times New Roman" w:hAnsi="Times New Roman" w:cs="Times New Roman"/>
          <w:sz w:val="24"/>
          <w:szCs w:val="24"/>
        </w:rPr>
        <w:lastRenderedPageBreak/>
        <w:t>muertes registradas a nivel mundial. Además, más del 75</w:t>
      </w:r>
      <w:r w:rsidR="00FF11CC" w:rsidRPr="00E66BDC">
        <w:rPr>
          <w:rFonts w:ascii="Times New Roman" w:hAnsi="Times New Roman" w:cs="Times New Roman"/>
          <w:sz w:val="24"/>
          <w:szCs w:val="24"/>
        </w:rPr>
        <w:t xml:space="preserve"> </w:t>
      </w:r>
      <w:r w:rsidRPr="00E66BDC">
        <w:rPr>
          <w:rFonts w:ascii="Times New Roman" w:hAnsi="Times New Roman" w:cs="Times New Roman"/>
          <w:sz w:val="24"/>
          <w:szCs w:val="24"/>
        </w:rPr>
        <w:t>% de las defunciones por ECV se producen en los país</w:t>
      </w:r>
      <w:r w:rsidR="00830031" w:rsidRPr="00E66BDC">
        <w:rPr>
          <w:rFonts w:ascii="Times New Roman" w:hAnsi="Times New Roman" w:cs="Times New Roman"/>
          <w:sz w:val="24"/>
          <w:szCs w:val="24"/>
        </w:rPr>
        <w:t>es de ingresos bajos y medios (OMS, 2015</w:t>
      </w:r>
      <w:r w:rsidRPr="00E66BDC">
        <w:rPr>
          <w:rFonts w:ascii="Times New Roman" w:hAnsi="Times New Roman" w:cs="Times New Roman"/>
          <w:sz w:val="24"/>
          <w:szCs w:val="24"/>
        </w:rPr>
        <w:t>)</w:t>
      </w:r>
      <w:r w:rsidR="00346FCF" w:rsidRPr="00E66BDC">
        <w:rPr>
          <w:rFonts w:ascii="Times New Roman" w:hAnsi="Times New Roman" w:cs="Times New Roman"/>
          <w:sz w:val="24"/>
          <w:szCs w:val="24"/>
        </w:rPr>
        <w:t>,</w:t>
      </w:r>
      <w:r w:rsidRPr="00E66BDC">
        <w:rPr>
          <w:rFonts w:ascii="Times New Roman" w:hAnsi="Times New Roman" w:cs="Times New Roman"/>
          <w:sz w:val="24"/>
          <w:szCs w:val="24"/>
        </w:rPr>
        <w:t xml:space="preserve"> incluyendo a México, un país en desarrollo con ingresos medios donde la mortalidad pr</w:t>
      </w:r>
      <w:r w:rsidR="00197368" w:rsidRPr="00E66BDC">
        <w:rPr>
          <w:rFonts w:ascii="Times New Roman" w:hAnsi="Times New Roman" w:cs="Times New Roman"/>
          <w:sz w:val="24"/>
          <w:szCs w:val="24"/>
        </w:rPr>
        <w:t>o</w:t>
      </w:r>
      <w:r w:rsidR="00A34630" w:rsidRPr="00E66BDC">
        <w:rPr>
          <w:rFonts w:ascii="Times New Roman" w:hAnsi="Times New Roman" w:cs="Times New Roman"/>
          <w:sz w:val="24"/>
          <w:szCs w:val="24"/>
        </w:rPr>
        <w:t>porcional por EVC es del 24</w:t>
      </w:r>
      <w:r w:rsidR="00FF11CC" w:rsidRPr="00E66BDC">
        <w:rPr>
          <w:rFonts w:ascii="Times New Roman" w:hAnsi="Times New Roman" w:cs="Times New Roman"/>
          <w:sz w:val="24"/>
          <w:szCs w:val="24"/>
        </w:rPr>
        <w:t xml:space="preserve"> </w:t>
      </w:r>
      <w:r w:rsidR="00A34630" w:rsidRPr="00E66BDC">
        <w:rPr>
          <w:rFonts w:ascii="Times New Roman" w:hAnsi="Times New Roman" w:cs="Times New Roman"/>
          <w:sz w:val="24"/>
          <w:szCs w:val="24"/>
        </w:rPr>
        <w:t>% (</w:t>
      </w:r>
      <w:r w:rsidR="00197368" w:rsidRPr="00E66BDC">
        <w:rPr>
          <w:rFonts w:ascii="Times New Roman" w:hAnsi="Times New Roman" w:cs="Times New Roman"/>
          <w:sz w:val="24"/>
          <w:szCs w:val="24"/>
        </w:rPr>
        <w:t>O</w:t>
      </w:r>
      <w:r w:rsidR="00A34630" w:rsidRPr="00E66BDC">
        <w:rPr>
          <w:rFonts w:ascii="Times New Roman" w:hAnsi="Times New Roman" w:cs="Times New Roman"/>
          <w:sz w:val="24"/>
          <w:szCs w:val="24"/>
        </w:rPr>
        <w:t>MS</w:t>
      </w:r>
      <w:r w:rsidR="00197368" w:rsidRPr="00E66BDC">
        <w:rPr>
          <w:rFonts w:ascii="Times New Roman" w:hAnsi="Times New Roman" w:cs="Times New Roman"/>
          <w:sz w:val="24"/>
          <w:szCs w:val="24"/>
        </w:rPr>
        <w:t>, 2014</w:t>
      </w:r>
      <w:r w:rsidR="002D41FA" w:rsidRPr="00E66BDC">
        <w:rPr>
          <w:rFonts w:ascii="Times New Roman" w:hAnsi="Times New Roman" w:cs="Times New Roman"/>
          <w:sz w:val="24"/>
          <w:szCs w:val="24"/>
        </w:rPr>
        <w:t xml:space="preserve">). </w:t>
      </w:r>
      <w:r w:rsidRPr="00E66BDC">
        <w:rPr>
          <w:rFonts w:ascii="Times New Roman" w:hAnsi="Times New Roman" w:cs="Times New Roman"/>
          <w:sz w:val="24"/>
          <w:szCs w:val="24"/>
        </w:rPr>
        <w:t>En 2011</w:t>
      </w:r>
      <w:r w:rsidR="00FF11CC" w:rsidRPr="00E66BDC">
        <w:rPr>
          <w:rFonts w:ascii="Times New Roman" w:hAnsi="Times New Roman" w:cs="Times New Roman"/>
          <w:sz w:val="24"/>
          <w:szCs w:val="24"/>
        </w:rPr>
        <w:t>,</w:t>
      </w:r>
      <w:r w:rsidRPr="00E66BDC">
        <w:rPr>
          <w:rFonts w:ascii="Times New Roman" w:hAnsi="Times New Roman" w:cs="Times New Roman"/>
          <w:sz w:val="24"/>
          <w:szCs w:val="24"/>
        </w:rPr>
        <w:t xml:space="preserve"> la tasa de mortalidad por enfermedades del corazón fue 96.8 por 100 000 habitantes, con 783</w:t>
      </w:r>
      <w:r w:rsidR="00FF11CC" w:rsidRPr="00E66BDC">
        <w:rPr>
          <w:rFonts w:ascii="Times New Roman" w:hAnsi="Times New Roman" w:cs="Times New Roman"/>
          <w:sz w:val="24"/>
          <w:szCs w:val="24"/>
        </w:rPr>
        <w:t xml:space="preserve"> </w:t>
      </w:r>
      <w:r w:rsidRPr="00E66BDC">
        <w:rPr>
          <w:rFonts w:ascii="Times New Roman" w:hAnsi="Times New Roman" w:cs="Times New Roman"/>
          <w:sz w:val="24"/>
          <w:szCs w:val="24"/>
        </w:rPr>
        <w:t>720 años de vida potencialmente perdidos; en tanto que la tasa de mortalidad por enfermedad cerebrovascular fue de 28.6 por 100 000 habitantes (</w:t>
      </w:r>
      <w:r w:rsidR="00F1456D" w:rsidRPr="00E66BDC">
        <w:rPr>
          <w:rFonts w:ascii="Times New Roman" w:hAnsi="Times New Roman" w:cs="Times New Roman"/>
          <w:sz w:val="24"/>
          <w:szCs w:val="24"/>
        </w:rPr>
        <w:t>Secretaría de Salud, 2015</w:t>
      </w:r>
      <w:r w:rsidRPr="00E66BDC">
        <w:rPr>
          <w:rFonts w:ascii="Times New Roman" w:hAnsi="Times New Roman" w:cs="Times New Roman"/>
          <w:sz w:val="24"/>
          <w:szCs w:val="24"/>
        </w:rPr>
        <w:t>)</w:t>
      </w:r>
      <w:r w:rsidR="002338BD" w:rsidRPr="00E66BDC">
        <w:rPr>
          <w:rFonts w:ascii="Times New Roman" w:hAnsi="Times New Roman" w:cs="Times New Roman"/>
          <w:sz w:val="24"/>
          <w:szCs w:val="24"/>
        </w:rPr>
        <w:t>.</w:t>
      </w:r>
    </w:p>
    <w:p w:rsidR="005B2BB1" w:rsidRPr="00E66BDC" w:rsidRDefault="005B2BB1" w:rsidP="00E66BDC">
      <w:pPr>
        <w:spacing w:line="360" w:lineRule="auto"/>
        <w:jc w:val="both"/>
        <w:rPr>
          <w:rFonts w:ascii="Times New Roman" w:hAnsi="Times New Roman" w:cs="Times New Roman"/>
          <w:i/>
          <w:sz w:val="24"/>
          <w:szCs w:val="24"/>
        </w:rPr>
      </w:pPr>
      <w:r w:rsidRPr="00E66BDC">
        <w:rPr>
          <w:rFonts w:ascii="Times New Roman" w:hAnsi="Times New Roman" w:cs="Times New Roman"/>
          <w:sz w:val="24"/>
          <w:szCs w:val="24"/>
        </w:rPr>
        <w:t>Entre los factores de riesgo cardiovascular</w:t>
      </w:r>
      <w:r w:rsidR="002D6C68" w:rsidRPr="00E66BDC">
        <w:rPr>
          <w:rFonts w:ascii="Times New Roman" w:hAnsi="Times New Roman" w:cs="Times New Roman"/>
          <w:sz w:val="24"/>
          <w:szCs w:val="24"/>
        </w:rPr>
        <w:t>,</w:t>
      </w:r>
      <w:r w:rsidRPr="00E66BDC">
        <w:rPr>
          <w:rFonts w:ascii="Times New Roman" w:hAnsi="Times New Roman" w:cs="Times New Roman"/>
          <w:sz w:val="24"/>
          <w:szCs w:val="24"/>
        </w:rPr>
        <w:t xml:space="preserve"> como</w:t>
      </w:r>
      <w:r w:rsidR="00DF1594" w:rsidRPr="00E66BDC">
        <w:rPr>
          <w:rFonts w:ascii="Times New Roman" w:hAnsi="Times New Roman" w:cs="Times New Roman"/>
          <w:sz w:val="24"/>
          <w:szCs w:val="24"/>
        </w:rPr>
        <w:t xml:space="preserve"> </w:t>
      </w:r>
      <w:r w:rsidR="002D41FA" w:rsidRPr="00E66BDC">
        <w:rPr>
          <w:rFonts w:ascii="Times New Roman" w:hAnsi="Times New Roman" w:cs="Times New Roman"/>
          <w:sz w:val="24"/>
          <w:szCs w:val="24"/>
        </w:rPr>
        <w:t xml:space="preserve">tabaquismo, </w:t>
      </w:r>
      <w:proofErr w:type="spellStart"/>
      <w:r w:rsidR="00DF1594" w:rsidRPr="00E66BDC">
        <w:rPr>
          <w:rFonts w:ascii="Times New Roman" w:hAnsi="Times New Roman" w:cs="Times New Roman"/>
          <w:sz w:val="24"/>
          <w:szCs w:val="24"/>
        </w:rPr>
        <w:t>dislipidemia</w:t>
      </w:r>
      <w:proofErr w:type="spellEnd"/>
      <w:r w:rsidR="00DF1594" w:rsidRPr="00E66BDC">
        <w:rPr>
          <w:rFonts w:ascii="Times New Roman" w:hAnsi="Times New Roman" w:cs="Times New Roman"/>
          <w:sz w:val="24"/>
          <w:szCs w:val="24"/>
        </w:rPr>
        <w:t>, obesidad, d</w:t>
      </w:r>
      <w:r w:rsidRPr="00E66BDC">
        <w:rPr>
          <w:rFonts w:ascii="Times New Roman" w:hAnsi="Times New Roman" w:cs="Times New Roman"/>
          <w:sz w:val="24"/>
          <w:szCs w:val="24"/>
        </w:rPr>
        <w:t>iabetes, sedentarismo, edad y género (</w:t>
      </w:r>
      <w:r w:rsidR="00DF1594" w:rsidRPr="00E66BDC">
        <w:rPr>
          <w:rFonts w:ascii="Times New Roman" w:hAnsi="Times New Roman" w:cs="Times New Roman"/>
          <w:sz w:val="24"/>
          <w:szCs w:val="24"/>
        </w:rPr>
        <w:t>Secretaría de Salud, 2010</w:t>
      </w:r>
      <w:r w:rsidRPr="00E66BDC">
        <w:rPr>
          <w:rFonts w:ascii="Times New Roman" w:hAnsi="Times New Roman" w:cs="Times New Roman"/>
          <w:sz w:val="24"/>
          <w:szCs w:val="24"/>
        </w:rPr>
        <w:t>)</w:t>
      </w:r>
      <w:r w:rsidR="00FF11CC" w:rsidRPr="00E66BDC">
        <w:rPr>
          <w:rFonts w:ascii="Times New Roman" w:hAnsi="Times New Roman" w:cs="Times New Roman"/>
          <w:sz w:val="24"/>
          <w:szCs w:val="24"/>
        </w:rPr>
        <w:t>,</w:t>
      </w:r>
      <w:r w:rsidR="00DF1594" w:rsidRPr="00E66BDC">
        <w:rPr>
          <w:rFonts w:ascii="Times New Roman" w:hAnsi="Times New Roman" w:cs="Times New Roman"/>
          <w:i/>
          <w:sz w:val="24"/>
          <w:szCs w:val="24"/>
        </w:rPr>
        <w:t xml:space="preserve"> </w:t>
      </w:r>
      <w:r w:rsidR="00A02140" w:rsidRPr="00E66BDC">
        <w:rPr>
          <w:rFonts w:ascii="Times New Roman" w:hAnsi="Times New Roman" w:cs="Times New Roman"/>
          <w:sz w:val="24"/>
          <w:szCs w:val="24"/>
        </w:rPr>
        <w:t>destaca la Hipertensión A</w:t>
      </w:r>
      <w:r w:rsidRPr="00E66BDC">
        <w:rPr>
          <w:rFonts w:ascii="Times New Roman" w:hAnsi="Times New Roman" w:cs="Times New Roman"/>
          <w:sz w:val="24"/>
          <w:szCs w:val="24"/>
        </w:rPr>
        <w:t xml:space="preserve">rterial </w:t>
      </w:r>
      <w:r w:rsidR="00A02140" w:rsidRPr="00E66BDC">
        <w:rPr>
          <w:rFonts w:ascii="Times New Roman" w:hAnsi="Times New Roman" w:cs="Times New Roman"/>
          <w:sz w:val="24"/>
          <w:szCs w:val="24"/>
        </w:rPr>
        <w:t>(HAS)</w:t>
      </w:r>
      <w:r w:rsidR="00346FCF" w:rsidRPr="00E66BDC">
        <w:rPr>
          <w:rFonts w:ascii="Times New Roman" w:hAnsi="Times New Roman" w:cs="Times New Roman"/>
          <w:sz w:val="24"/>
          <w:szCs w:val="24"/>
        </w:rPr>
        <w:t>,</w:t>
      </w:r>
      <w:r w:rsidR="00A02140" w:rsidRPr="00E66BDC">
        <w:rPr>
          <w:rFonts w:ascii="Times New Roman" w:hAnsi="Times New Roman" w:cs="Times New Roman"/>
          <w:sz w:val="24"/>
          <w:szCs w:val="24"/>
        </w:rPr>
        <w:t xml:space="preserve"> </w:t>
      </w:r>
      <w:r w:rsidRPr="00E66BDC">
        <w:rPr>
          <w:rFonts w:ascii="Times New Roman" w:hAnsi="Times New Roman" w:cs="Times New Roman"/>
          <w:sz w:val="24"/>
          <w:szCs w:val="24"/>
        </w:rPr>
        <w:t>la cual contribuye con al menos 40</w:t>
      </w:r>
      <w:r w:rsidR="00FF11CC" w:rsidRPr="00E66BDC">
        <w:rPr>
          <w:rFonts w:ascii="Times New Roman" w:hAnsi="Times New Roman" w:cs="Times New Roman"/>
          <w:sz w:val="24"/>
          <w:szCs w:val="24"/>
        </w:rPr>
        <w:t xml:space="preserve"> </w:t>
      </w:r>
      <w:r w:rsidRPr="00E66BDC">
        <w:rPr>
          <w:rFonts w:ascii="Times New Roman" w:hAnsi="Times New Roman" w:cs="Times New Roman"/>
          <w:sz w:val="24"/>
          <w:szCs w:val="24"/>
        </w:rPr>
        <w:t>% de todas las enfermedades del corazón y accidentes cerebro vasculares</w:t>
      </w:r>
      <w:r w:rsidR="00DF1594" w:rsidRPr="00E66BDC">
        <w:rPr>
          <w:rFonts w:ascii="Times New Roman" w:hAnsi="Times New Roman" w:cs="Times New Roman"/>
          <w:sz w:val="24"/>
          <w:szCs w:val="24"/>
        </w:rPr>
        <w:t xml:space="preserve"> (ACV)</w:t>
      </w:r>
      <w:r w:rsidR="000473AB" w:rsidRPr="00E66BDC">
        <w:rPr>
          <w:rFonts w:ascii="Times New Roman" w:hAnsi="Times New Roman" w:cs="Times New Roman"/>
          <w:sz w:val="24"/>
          <w:szCs w:val="24"/>
        </w:rPr>
        <w:t xml:space="preserve"> (</w:t>
      </w:r>
      <w:r w:rsidR="00A27434" w:rsidRPr="00E66BDC">
        <w:rPr>
          <w:rFonts w:ascii="Times New Roman" w:hAnsi="Times New Roman" w:cs="Times New Roman"/>
          <w:sz w:val="24"/>
          <w:szCs w:val="24"/>
        </w:rPr>
        <w:t>O</w:t>
      </w:r>
      <w:r w:rsidR="000473AB" w:rsidRPr="00E66BDC">
        <w:rPr>
          <w:rFonts w:ascii="Times New Roman" w:hAnsi="Times New Roman" w:cs="Times New Roman"/>
          <w:sz w:val="24"/>
          <w:szCs w:val="24"/>
        </w:rPr>
        <w:t>PS</w:t>
      </w:r>
      <w:r w:rsidR="00A27434" w:rsidRPr="00E66BDC">
        <w:rPr>
          <w:rFonts w:ascii="Times New Roman" w:hAnsi="Times New Roman" w:cs="Times New Roman"/>
          <w:sz w:val="24"/>
          <w:szCs w:val="24"/>
        </w:rPr>
        <w:t>, s. f.</w:t>
      </w:r>
      <w:r w:rsidRPr="00E66BDC">
        <w:rPr>
          <w:rFonts w:ascii="Times New Roman" w:hAnsi="Times New Roman" w:cs="Times New Roman"/>
          <w:sz w:val="24"/>
          <w:szCs w:val="24"/>
        </w:rPr>
        <w:t>)</w:t>
      </w:r>
      <w:r w:rsidR="00195E64" w:rsidRPr="00E66BDC">
        <w:rPr>
          <w:rFonts w:ascii="Times New Roman" w:hAnsi="Times New Roman" w:cs="Times New Roman"/>
          <w:sz w:val="24"/>
          <w:szCs w:val="24"/>
        </w:rPr>
        <w:t>,</w:t>
      </w:r>
      <w:r w:rsidRPr="00E66BDC">
        <w:rPr>
          <w:rFonts w:ascii="Times New Roman" w:hAnsi="Times New Roman" w:cs="Times New Roman"/>
          <w:sz w:val="24"/>
          <w:szCs w:val="24"/>
        </w:rPr>
        <w:t xml:space="preserve"> por lo que se considera </w:t>
      </w:r>
      <w:r w:rsidRPr="00E66BDC">
        <w:rPr>
          <w:rFonts w:ascii="Times New Roman" w:hAnsi="Times New Roman" w:cs="Times New Roman"/>
          <w:sz w:val="24"/>
          <w:szCs w:val="24"/>
          <w:lang w:val="es-ES"/>
        </w:rPr>
        <w:t>el principal factor de riesgo para ECV (</w:t>
      </w:r>
      <w:r w:rsidR="00950705" w:rsidRPr="00E66BDC">
        <w:rPr>
          <w:rFonts w:ascii="Times New Roman" w:hAnsi="Times New Roman" w:cs="Times New Roman"/>
          <w:sz w:val="24"/>
          <w:szCs w:val="24"/>
          <w:lang w:val="es-ES"/>
        </w:rPr>
        <w:t>OPS, 2013</w:t>
      </w:r>
      <w:r w:rsidRPr="00E66BDC">
        <w:rPr>
          <w:rFonts w:ascii="Times New Roman" w:hAnsi="Times New Roman" w:cs="Times New Roman"/>
          <w:sz w:val="24"/>
          <w:szCs w:val="24"/>
          <w:lang w:val="es-ES"/>
        </w:rPr>
        <w:t>)</w:t>
      </w:r>
      <w:r w:rsidR="002338BD" w:rsidRPr="00E66BDC">
        <w:rPr>
          <w:rFonts w:ascii="Times New Roman" w:hAnsi="Times New Roman" w:cs="Times New Roman"/>
          <w:sz w:val="24"/>
          <w:szCs w:val="24"/>
          <w:lang w:val="es-ES"/>
        </w:rPr>
        <w:t>.</w:t>
      </w:r>
      <w:r w:rsidRPr="00E66BDC">
        <w:rPr>
          <w:rFonts w:ascii="Times New Roman" w:hAnsi="Times New Roman" w:cs="Times New Roman"/>
          <w:sz w:val="24"/>
          <w:szCs w:val="24"/>
          <w:lang w:val="es-ES"/>
        </w:rPr>
        <w:t xml:space="preserve"> </w:t>
      </w:r>
    </w:p>
    <w:p w:rsidR="009F63DD" w:rsidRPr="00E66BDC" w:rsidRDefault="003675DE"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rPr>
        <w:t>A</w:t>
      </w:r>
      <w:r w:rsidR="005E6B32" w:rsidRPr="00E66BDC">
        <w:rPr>
          <w:rFonts w:ascii="Times New Roman" w:hAnsi="Times New Roman" w:cs="Times New Roman"/>
          <w:sz w:val="24"/>
          <w:szCs w:val="24"/>
        </w:rPr>
        <w:t>s</w:t>
      </w:r>
      <w:r w:rsidR="00FF11CC" w:rsidRPr="00E66BDC">
        <w:rPr>
          <w:rFonts w:ascii="Times New Roman" w:hAnsi="Times New Roman" w:cs="Times New Roman"/>
          <w:sz w:val="24"/>
          <w:szCs w:val="24"/>
        </w:rPr>
        <w:t>i</w:t>
      </w:r>
      <w:r w:rsidRPr="00E66BDC">
        <w:rPr>
          <w:rFonts w:ascii="Times New Roman" w:hAnsi="Times New Roman" w:cs="Times New Roman"/>
          <w:sz w:val="24"/>
          <w:szCs w:val="24"/>
        </w:rPr>
        <w:t>mismo</w:t>
      </w:r>
      <w:r w:rsidR="00D24621" w:rsidRPr="00E66BDC">
        <w:rPr>
          <w:rFonts w:ascii="Times New Roman" w:hAnsi="Times New Roman" w:cs="Times New Roman"/>
          <w:sz w:val="24"/>
          <w:szCs w:val="24"/>
        </w:rPr>
        <w:t xml:space="preserve">, una </w:t>
      </w:r>
      <w:r w:rsidR="00D11B14" w:rsidRPr="00E66BDC">
        <w:rPr>
          <w:rFonts w:ascii="Times New Roman" w:hAnsi="Times New Roman" w:cs="Times New Roman"/>
          <w:sz w:val="24"/>
          <w:szCs w:val="24"/>
        </w:rPr>
        <w:t xml:space="preserve">elevada </w:t>
      </w:r>
      <w:r w:rsidR="00D24621" w:rsidRPr="00E66BDC">
        <w:rPr>
          <w:rFonts w:ascii="Times New Roman" w:hAnsi="Times New Roman" w:cs="Times New Roman"/>
          <w:sz w:val="24"/>
          <w:szCs w:val="24"/>
        </w:rPr>
        <w:t xml:space="preserve">ingesta </w:t>
      </w:r>
      <w:r w:rsidR="00D11B14" w:rsidRPr="00E66BDC">
        <w:rPr>
          <w:rFonts w:ascii="Times New Roman" w:hAnsi="Times New Roman" w:cs="Times New Roman"/>
          <w:sz w:val="24"/>
          <w:szCs w:val="24"/>
        </w:rPr>
        <w:t>de sodio dietético</w:t>
      </w:r>
      <w:r w:rsidR="00D24621" w:rsidRPr="00E66BDC">
        <w:rPr>
          <w:rFonts w:ascii="Times New Roman" w:hAnsi="Times New Roman" w:cs="Times New Roman"/>
          <w:sz w:val="24"/>
          <w:szCs w:val="24"/>
        </w:rPr>
        <w:t xml:space="preserve"> </w:t>
      </w:r>
      <w:r w:rsidR="005E6B32" w:rsidRPr="00E66BDC">
        <w:rPr>
          <w:rFonts w:ascii="Times New Roman" w:hAnsi="Times New Roman" w:cs="Times New Roman"/>
          <w:sz w:val="24"/>
          <w:szCs w:val="24"/>
        </w:rPr>
        <w:t xml:space="preserve">se </w:t>
      </w:r>
      <w:r w:rsidR="00D11B14" w:rsidRPr="00E66BDC">
        <w:rPr>
          <w:rFonts w:ascii="Times New Roman" w:hAnsi="Times New Roman" w:cs="Times New Roman"/>
          <w:sz w:val="24"/>
          <w:szCs w:val="24"/>
        </w:rPr>
        <w:t xml:space="preserve">ha </w:t>
      </w:r>
      <w:r w:rsidR="00D24621" w:rsidRPr="00E66BDC">
        <w:rPr>
          <w:rFonts w:ascii="Times New Roman" w:hAnsi="Times New Roman" w:cs="Times New Roman"/>
          <w:sz w:val="24"/>
          <w:szCs w:val="24"/>
        </w:rPr>
        <w:t>considera</w:t>
      </w:r>
      <w:r w:rsidR="00D11B14" w:rsidRPr="00E66BDC">
        <w:rPr>
          <w:rFonts w:ascii="Times New Roman" w:hAnsi="Times New Roman" w:cs="Times New Roman"/>
          <w:sz w:val="24"/>
          <w:szCs w:val="24"/>
        </w:rPr>
        <w:t>d</w:t>
      </w:r>
      <w:r w:rsidR="005E6B32" w:rsidRPr="00E66BDC">
        <w:rPr>
          <w:rFonts w:ascii="Times New Roman" w:hAnsi="Times New Roman" w:cs="Times New Roman"/>
          <w:sz w:val="24"/>
          <w:szCs w:val="24"/>
        </w:rPr>
        <w:t>o</w:t>
      </w:r>
      <w:r w:rsidR="00D24621" w:rsidRPr="00E66BDC">
        <w:rPr>
          <w:rFonts w:ascii="Times New Roman" w:hAnsi="Times New Roman" w:cs="Times New Roman"/>
          <w:sz w:val="24"/>
          <w:szCs w:val="24"/>
        </w:rPr>
        <w:t xml:space="preserve"> como un factor de riesgo independiente para el desarrollo de </w:t>
      </w:r>
      <w:r w:rsidR="00D11B14" w:rsidRPr="00E66BDC">
        <w:rPr>
          <w:rFonts w:ascii="Times New Roman" w:hAnsi="Times New Roman" w:cs="Times New Roman"/>
          <w:sz w:val="24"/>
          <w:szCs w:val="24"/>
        </w:rPr>
        <w:t xml:space="preserve">las </w:t>
      </w:r>
      <w:r w:rsidR="00D24621" w:rsidRPr="00E66BDC">
        <w:rPr>
          <w:rFonts w:ascii="Times New Roman" w:hAnsi="Times New Roman" w:cs="Times New Roman"/>
          <w:sz w:val="24"/>
          <w:szCs w:val="24"/>
        </w:rPr>
        <w:t>ECV</w:t>
      </w:r>
      <w:r w:rsidR="00D11B14" w:rsidRPr="00E66BDC">
        <w:rPr>
          <w:rFonts w:ascii="Times New Roman" w:hAnsi="Times New Roman" w:cs="Times New Roman"/>
          <w:sz w:val="24"/>
          <w:szCs w:val="24"/>
        </w:rPr>
        <w:t xml:space="preserve"> (</w:t>
      </w:r>
      <w:r w:rsidR="005F7671" w:rsidRPr="00E66BDC">
        <w:rPr>
          <w:rFonts w:ascii="Times New Roman" w:hAnsi="Times New Roman" w:cs="Times New Roman"/>
          <w:sz w:val="24"/>
          <w:szCs w:val="24"/>
        </w:rPr>
        <w:t>He F</w:t>
      </w:r>
      <w:r w:rsidR="00FF11CC" w:rsidRPr="00E66BDC">
        <w:rPr>
          <w:rFonts w:ascii="Times New Roman" w:hAnsi="Times New Roman" w:cs="Times New Roman"/>
          <w:sz w:val="24"/>
          <w:szCs w:val="24"/>
        </w:rPr>
        <w:t>.</w:t>
      </w:r>
      <w:r w:rsidR="005F7671" w:rsidRPr="00E66BDC">
        <w:rPr>
          <w:rFonts w:ascii="Times New Roman" w:hAnsi="Times New Roman" w:cs="Times New Roman"/>
          <w:sz w:val="24"/>
          <w:szCs w:val="24"/>
        </w:rPr>
        <w:t>J</w:t>
      </w:r>
      <w:r w:rsidR="00FF11CC" w:rsidRPr="00E66BDC">
        <w:rPr>
          <w:rFonts w:ascii="Times New Roman" w:hAnsi="Times New Roman" w:cs="Times New Roman"/>
          <w:sz w:val="24"/>
          <w:szCs w:val="24"/>
        </w:rPr>
        <w:t>.</w:t>
      </w:r>
      <w:r w:rsidR="005F7671" w:rsidRPr="00E66BDC">
        <w:rPr>
          <w:rFonts w:ascii="Times New Roman" w:hAnsi="Times New Roman" w:cs="Times New Roman"/>
          <w:sz w:val="24"/>
          <w:szCs w:val="24"/>
        </w:rPr>
        <w:t xml:space="preserve"> </w:t>
      </w:r>
      <w:r w:rsidR="00FF11CC" w:rsidRPr="00E66BDC">
        <w:rPr>
          <w:rFonts w:ascii="Times New Roman" w:hAnsi="Times New Roman" w:cs="Times New Roman"/>
          <w:sz w:val="24"/>
          <w:szCs w:val="24"/>
        </w:rPr>
        <w:t>y</w:t>
      </w:r>
      <w:r w:rsidR="00D11B14" w:rsidRPr="00E66BDC">
        <w:rPr>
          <w:rFonts w:ascii="Times New Roman" w:hAnsi="Times New Roman" w:cs="Times New Roman"/>
          <w:sz w:val="24"/>
          <w:szCs w:val="24"/>
        </w:rPr>
        <w:t xml:space="preserve"> </w:t>
      </w:r>
      <w:proofErr w:type="spellStart"/>
      <w:r w:rsidR="00D11B14" w:rsidRPr="00E66BDC">
        <w:rPr>
          <w:rFonts w:ascii="Times New Roman" w:hAnsi="Times New Roman" w:cs="Times New Roman"/>
          <w:sz w:val="24"/>
          <w:szCs w:val="24"/>
        </w:rPr>
        <w:t>MacGregor</w:t>
      </w:r>
      <w:proofErr w:type="spellEnd"/>
      <w:r w:rsidR="002F3687" w:rsidRPr="00E66BDC">
        <w:rPr>
          <w:rFonts w:ascii="Times New Roman" w:hAnsi="Times New Roman" w:cs="Times New Roman"/>
          <w:sz w:val="24"/>
          <w:szCs w:val="24"/>
        </w:rPr>
        <w:t>,</w:t>
      </w:r>
      <w:r w:rsidR="00D11B14" w:rsidRPr="00E66BDC">
        <w:rPr>
          <w:rFonts w:ascii="Times New Roman" w:hAnsi="Times New Roman" w:cs="Times New Roman"/>
          <w:sz w:val="24"/>
          <w:szCs w:val="24"/>
        </w:rPr>
        <w:t xml:space="preserve"> G</w:t>
      </w:r>
      <w:r w:rsidR="002F3687" w:rsidRPr="00E66BDC">
        <w:rPr>
          <w:rFonts w:ascii="Times New Roman" w:hAnsi="Times New Roman" w:cs="Times New Roman"/>
          <w:sz w:val="24"/>
          <w:szCs w:val="24"/>
        </w:rPr>
        <w:t>.</w:t>
      </w:r>
      <w:r w:rsidR="00D11B14" w:rsidRPr="00E66BDC">
        <w:rPr>
          <w:rFonts w:ascii="Times New Roman" w:hAnsi="Times New Roman" w:cs="Times New Roman"/>
          <w:sz w:val="24"/>
          <w:szCs w:val="24"/>
        </w:rPr>
        <w:t>A</w:t>
      </w:r>
      <w:r w:rsidR="00346FCF" w:rsidRPr="00E66BDC">
        <w:rPr>
          <w:rFonts w:ascii="Times New Roman" w:hAnsi="Times New Roman" w:cs="Times New Roman"/>
          <w:sz w:val="24"/>
          <w:szCs w:val="24"/>
        </w:rPr>
        <w:t>.</w:t>
      </w:r>
      <w:r w:rsidR="005F7671" w:rsidRPr="00E66BDC">
        <w:rPr>
          <w:rFonts w:ascii="Times New Roman" w:hAnsi="Times New Roman" w:cs="Times New Roman"/>
          <w:sz w:val="24"/>
          <w:szCs w:val="24"/>
        </w:rPr>
        <w:t>,</w:t>
      </w:r>
      <w:r w:rsidR="00D11B14" w:rsidRPr="00E66BDC">
        <w:rPr>
          <w:rFonts w:ascii="Times New Roman" w:hAnsi="Times New Roman" w:cs="Times New Roman"/>
          <w:sz w:val="24"/>
          <w:szCs w:val="24"/>
        </w:rPr>
        <w:t xml:space="preserve"> 2002</w:t>
      </w:r>
      <w:r w:rsidR="005F7671" w:rsidRPr="00E66BDC">
        <w:rPr>
          <w:rFonts w:ascii="Times New Roman" w:hAnsi="Times New Roman" w:cs="Times New Roman"/>
          <w:sz w:val="24"/>
          <w:szCs w:val="24"/>
        </w:rPr>
        <w:t>) (</w:t>
      </w:r>
      <w:proofErr w:type="spellStart"/>
      <w:r w:rsidR="00D11B14" w:rsidRPr="00E66BDC">
        <w:rPr>
          <w:rFonts w:ascii="Times New Roman" w:hAnsi="Times New Roman" w:cs="Times New Roman"/>
          <w:sz w:val="24"/>
          <w:szCs w:val="24"/>
        </w:rPr>
        <w:t>Strazzullo</w:t>
      </w:r>
      <w:proofErr w:type="spellEnd"/>
      <w:r w:rsidR="00D11B14" w:rsidRPr="00E66BDC">
        <w:rPr>
          <w:rFonts w:ascii="Times New Roman" w:hAnsi="Times New Roman" w:cs="Times New Roman"/>
          <w:sz w:val="24"/>
          <w:szCs w:val="24"/>
        </w:rPr>
        <w:t xml:space="preserve"> P</w:t>
      </w:r>
      <w:r w:rsidR="00346FCF" w:rsidRPr="00E66BDC">
        <w:rPr>
          <w:rFonts w:ascii="Times New Roman" w:hAnsi="Times New Roman" w:cs="Times New Roman"/>
          <w:sz w:val="24"/>
          <w:szCs w:val="24"/>
        </w:rPr>
        <w:t>.</w:t>
      </w:r>
      <w:r w:rsidR="00D11B14" w:rsidRPr="00E66BDC">
        <w:rPr>
          <w:rFonts w:ascii="Times New Roman" w:hAnsi="Times New Roman" w:cs="Times New Roman"/>
          <w:sz w:val="24"/>
          <w:szCs w:val="24"/>
        </w:rPr>
        <w:t xml:space="preserve">, </w:t>
      </w:r>
      <w:proofErr w:type="spellStart"/>
      <w:r w:rsidR="00D11B14" w:rsidRPr="00E66BDC">
        <w:rPr>
          <w:rFonts w:ascii="Times New Roman" w:hAnsi="Times New Roman" w:cs="Times New Roman"/>
          <w:sz w:val="24"/>
          <w:szCs w:val="24"/>
        </w:rPr>
        <w:t>D'Elia</w:t>
      </w:r>
      <w:proofErr w:type="spellEnd"/>
      <w:r w:rsidR="00D11B14" w:rsidRPr="00E66BDC">
        <w:rPr>
          <w:rFonts w:ascii="Times New Roman" w:hAnsi="Times New Roman" w:cs="Times New Roman"/>
          <w:sz w:val="24"/>
          <w:szCs w:val="24"/>
        </w:rPr>
        <w:t xml:space="preserve"> L</w:t>
      </w:r>
      <w:r w:rsidR="00346FCF" w:rsidRPr="00E66BDC">
        <w:rPr>
          <w:rFonts w:ascii="Times New Roman" w:hAnsi="Times New Roman" w:cs="Times New Roman"/>
          <w:sz w:val="24"/>
          <w:szCs w:val="24"/>
        </w:rPr>
        <w:t>.</w:t>
      </w:r>
      <w:r w:rsidR="00D11B14" w:rsidRPr="00E66BDC">
        <w:rPr>
          <w:rFonts w:ascii="Times New Roman" w:hAnsi="Times New Roman" w:cs="Times New Roman"/>
          <w:sz w:val="24"/>
          <w:szCs w:val="24"/>
        </w:rPr>
        <w:t xml:space="preserve">, </w:t>
      </w:r>
      <w:proofErr w:type="spellStart"/>
      <w:r w:rsidR="00D11B14" w:rsidRPr="00E66BDC">
        <w:rPr>
          <w:rFonts w:ascii="Times New Roman" w:hAnsi="Times New Roman" w:cs="Times New Roman"/>
          <w:sz w:val="24"/>
          <w:szCs w:val="24"/>
        </w:rPr>
        <w:t>Kandala</w:t>
      </w:r>
      <w:proofErr w:type="spellEnd"/>
      <w:r w:rsidR="00D11B14" w:rsidRPr="00E66BDC">
        <w:rPr>
          <w:rFonts w:ascii="Times New Roman" w:hAnsi="Times New Roman" w:cs="Times New Roman"/>
          <w:sz w:val="24"/>
          <w:szCs w:val="24"/>
        </w:rPr>
        <w:t xml:space="preserve"> </w:t>
      </w:r>
      <w:r w:rsidR="005F7671" w:rsidRPr="00E66BDC">
        <w:rPr>
          <w:rFonts w:ascii="Times New Roman" w:hAnsi="Times New Roman" w:cs="Times New Roman"/>
          <w:sz w:val="24"/>
          <w:szCs w:val="24"/>
        </w:rPr>
        <w:t>N</w:t>
      </w:r>
      <w:r w:rsidR="00FF11CC" w:rsidRPr="00E66BDC">
        <w:rPr>
          <w:rFonts w:ascii="Times New Roman" w:hAnsi="Times New Roman" w:cs="Times New Roman"/>
          <w:sz w:val="24"/>
          <w:szCs w:val="24"/>
        </w:rPr>
        <w:t>.</w:t>
      </w:r>
      <w:r w:rsidR="005F7671" w:rsidRPr="00E66BDC">
        <w:rPr>
          <w:rFonts w:ascii="Times New Roman" w:hAnsi="Times New Roman" w:cs="Times New Roman"/>
          <w:sz w:val="24"/>
          <w:szCs w:val="24"/>
        </w:rPr>
        <w:t>B</w:t>
      </w:r>
      <w:r w:rsidR="00FF11CC" w:rsidRPr="00E66BDC">
        <w:rPr>
          <w:rFonts w:ascii="Times New Roman" w:hAnsi="Times New Roman" w:cs="Times New Roman"/>
          <w:sz w:val="24"/>
          <w:szCs w:val="24"/>
        </w:rPr>
        <w:t>.</w:t>
      </w:r>
      <w:r w:rsidR="005F7671" w:rsidRPr="00E66BDC">
        <w:rPr>
          <w:rFonts w:ascii="Times New Roman" w:hAnsi="Times New Roman" w:cs="Times New Roman"/>
          <w:sz w:val="24"/>
          <w:szCs w:val="24"/>
        </w:rPr>
        <w:t xml:space="preserve"> </w:t>
      </w:r>
      <w:r w:rsidR="00FF11CC" w:rsidRPr="00E66BDC">
        <w:rPr>
          <w:rFonts w:ascii="Times New Roman" w:hAnsi="Times New Roman" w:cs="Times New Roman"/>
          <w:sz w:val="24"/>
          <w:szCs w:val="24"/>
        </w:rPr>
        <w:t>y</w:t>
      </w:r>
      <w:r w:rsidR="00DE2203" w:rsidRPr="00E66BDC">
        <w:rPr>
          <w:rFonts w:ascii="Times New Roman" w:hAnsi="Times New Roman" w:cs="Times New Roman"/>
          <w:sz w:val="24"/>
          <w:szCs w:val="24"/>
        </w:rPr>
        <w:t xml:space="preserve"> </w:t>
      </w:r>
      <w:proofErr w:type="spellStart"/>
      <w:r w:rsidR="00DE2203" w:rsidRPr="00E66BDC">
        <w:rPr>
          <w:rFonts w:ascii="Times New Roman" w:hAnsi="Times New Roman" w:cs="Times New Roman"/>
          <w:sz w:val="24"/>
          <w:szCs w:val="24"/>
        </w:rPr>
        <w:t>Cappuccio</w:t>
      </w:r>
      <w:proofErr w:type="spellEnd"/>
      <w:r w:rsidR="00DE2203" w:rsidRPr="00E66BDC">
        <w:rPr>
          <w:rFonts w:ascii="Times New Roman" w:hAnsi="Times New Roman" w:cs="Times New Roman"/>
          <w:sz w:val="24"/>
          <w:szCs w:val="24"/>
        </w:rPr>
        <w:t xml:space="preserve"> F</w:t>
      </w:r>
      <w:r w:rsidR="00EC0571" w:rsidRPr="00E66BDC">
        <w:rPr>
          <w:rFonts w:ascii="Times New Roman" w:hAnsi="Times New Roman" w:cs="Times New Roman"/>
          <w:sz w:val="24"/>
          <w:szCs w:val="24"/>
        </w:rPr>
        <w:t>.</w:t>
      </w:r>
      <w:r w:rsidR="00DE2203" w:rsidRPr="00E66BDC">
        <w:rPr>
          <w:rFonts w:ascii="Times New Roman" w:hAnsi="Times New Roman" w:cs="Times New Roman"/>
          <w:sz w:val="24"/>
          <w:szCs w:val="24"/>
        </w:rPr>
        <w:t>P</w:t>
      </w:r>
      <w:r w:rsidR="00EC0571" w:rsidRPr="00E66BDC">
        <w:rPr>
          <w:rFonts w:ascii="Times New Roman" w:hAnsi="Times New Roman" w:cs="Times New Roman"/>
          <w:sz w:val="24"/>
          <w:szCs w:val="24"/>
        </w:rPr>
        <w:t>.</w:t>
      </w:r>
      <w:r w:rsidR="00DE2203" w:rsidRPr="00E66BDC">
        <w:rPr>
          <w:rFonts w:ascii="Times New Roman" w:hAnsi="Times New Roman" w:cs="Times New Roman"/>
          <w:sz w:val="24"/>
          <w:szCs w:val="24"/>
        </w:rPr>
        <w:t>,</w:t>
      </w:r>
      <w:r w:rsidR="00D11B14" w:rsidRPr="00E66BDC">
        <w:rPr>
          <w:rFonts w:ascii="Times New Roman" w:hAnsi="Times New Roman" w:cs="Times New Roman"/>
          <w:sz w:val="24"/>
          <w:szCs w:val="24"/>
        </w:rPr>
        <w:t xml:space="preserve"> </w:t>
      </w:r>
      <w:r w:rsidR="00DE2203" w:rsidRPr="00E66BDC">
        <w:rPr>
          <w:rFonts w:ascii="Times New Roman" w:hAnsi="Times New Roman" w:cs="Times New Roman"/>
          <w:sz w:val="24"/>
          <w:szCs w:val="24"/>
        </w:rPr>
        <w:t>2009)</w:t>
      </w:r>
      <w:r w:rsidR="00D11B14" w:rsidRPr="00E66BDC">
        <w:rPr>
          <w:rFonts w:ascii="Times New Roman" w:hAnsi="Times New Roman" w:cs="Times New Roman"/>
          <w:sz w:val="24"/>
          <w:szCs w:val="24"/>
        </w:rPr>
        <w:t xml:space="preserve"> </w:t>
      </w:r>
      <w:r w:rsidR="00DE2203" w:rsidRPr="00E66BDC">
        <w:rPr>
          <w:rFonts w:ascii="Times New Roman" w:hAnsi="Times New Roman" w:cs="Times New Roman"/>
          <w:sz w:val="24"/>
          <w:szCs w:val="24"/>
        </w:rPr>
        <w:t>(</w:t>
      </w:r>
      <w:r w:rsidR="00D11B14" w:rsidRPr="00E66BDC">
        <w:rPr>
          <w:rFonts w:ascii="Times New Roman" w:hAnsi="Times New Roman" w:cs="Times New Roman"/>
          <w:sz w:val="24"/>
          <w:szCs w:val="24"/>
        </w:rPr>
        <w:t>Aburto N</w:t>
      </w:r>
      <w:r w:rsidR="00346FCF" w:rsidRPr="00E66BDC">
        <w:rPr>
          <w:rFonts w:ascii="Times New Roman" w:hAnsi="Times New Roman" w:cs="Times New Roman"/>
          <w:sz w:val="24"/>
          <w:szCs w:val="24"/>
        </w:rPr>
        <w:t>.</w:t>
      </w:r>
      <w:r w:rsidR="00D11B14" w:rsidRPr="00E66BDC">
        <w:rPr>
          <w:rFonts w:ascii="Times New Roman" w:hAnsi="Times New Roman" w:cs="Times New Roman"/>
          <w:sz w:val="24"/>
          <w:szCs w:val="24"/>
        </w:rPr>
        <w:t>J</w:t>
      </w:r>
      <w:r w:rsidR="00346FCF" w:rsidRPr="00E66BDC">
        <w:rPr>
          <w:rFonts w:ascii="Times New Roman" w:hAnsi="Times New Roman" w:cs="Times New Roman"/>
          <w:sz w:val="24"/>
          <w:szCs w:val="24"/>
        </w:rPr>
        <w:t>.</w:t>
      </w:r>
      <w:r w:rsidR="00D11B14" w:rsidRPr="00E66BDC">
        <w:rPr>
          <w:rFonts w:ascii="Times New Roman" w:hAnsi="Times New Roman" w:cs="Times New Roman"/>
          <w:sz w:val="24"/>
          <w:szCs w:val="24"/>
        </w:rPr>
        <w:t xml:space="preserve">, </w:t>
      </w:r>
      <w:proofErr w:type="spellStart"/>
      <w:r w:rsidR="00D11B14" w:rsidRPr="00E66BDC">
        <w:rPr>
          <w:rFonts w:ascii="Times New Roman" w:hAnsi="Times New Roman" w:cs="Times New Roman"/>
          <w:sz w:val="24"/>
          <w:szCs w:val="24"/>
        </w:rPr>
        <w:t>Ziolkovska</w:t>
      </w:r>
      <w:proofErr w:type="spellEnd"/>
      <w:r w:rsidR="00D11B14" w:rsidRPr="00E66BDC">
        <w:rPr>
          <w:rFonts w:ascii="Times New Roman" w:hAnsi="Times New Roman" w:cs="Times New Roman"/>
          <w:sz w:val="24"/>
          <w:szCs w:val="24"/>
        </w:rPr>
        <w:t xml:space="preserve"> A, </w:t>
      </w:r>
      <w:proofErr w:type="spellStart"/>
      <w:r w:rsidR="00D11B14" w:rsidRPr="00E66BDC">
        <w:rPr>
          <w:rFonts w:ascii="Times New Roman" w:hAnsi="Times New Roman" w:cs="Times New Roman"/>
          <w:sz w:val="24"/>
          <w:szCs w:val="24"/>
        </w:rPr>
        <w:t>Hooper</w:t>
      </w:r>
      <w:proofErr w:type="spellEnd"/>
      <w:r w:rsidR="00D11B14" w:rsidRPr="00E66BDC">
        <w:rPr>
          <w:rFonts w:ascii="Times New Roman" w:hAnsi="Times New Roman" w:cs="Times New Roman"/>
          <w:sz w:val="24"/>
          <w:szCs w:val="24"/>
        </w:rPr>
        <w:t xml:space="preserve"> L, </w:t>
      </w:r>
      <w:proofErr w:type="spellStart"/>
      <w:r w:rsidR="00D11B14" w:rsidRPr="00E66BDC">
        <w:rPr>
          <w:rFonts w:ascii="Times New Roman" w:hAnsi="Times New Roman" w:cs="Times New Roman"/>
          <w:sz w:val="24"/>
          <w:szCs w:val="24"/>
        </w:rPr>
        <w:t>Elliott</w:t>
      </w:r>
      <w:proofErr w:type="spellEnd"/>
      <w:r w:rsidR="00D11B14" w:rsidRPr="00E66BDC">
        <w:rPr>
          <w:rFonts w:ascii="Times New Roman" w:hAnsi="Times New Roman" w:cs="Times New Roman"/>
          <w:sz w:val="24"/>
          <w:szCs w:val="24"/>
        </w:rPr>
        <w:t xml:space="preserve"> P</w:t>
      </w:r>
      <w:r w:rsidR="00346FCF" w:rsidRPr="00E66BDC">
        <w:rPr>
          <w:rFonts w:ascii="Times New Roman" w:hAnsi="Times New Roman" w:cs="Times New Roman"/>
          <w:sz w:val="24"/>
          <w:szCs w:val="24"/>
        </w:rPr>
        <w:t>.</w:t>
      </w:r>
      <w:r w:rsidR="00D11B14" w:rsidRPr="00E66BDC">
        <w:rPr>
          <w:rFonts w:ascii="Times New Roman" w:hAnsi="Times New Roman" w:cs="Times New Roman"/>
          <w:sz w:val="24"/>
          <w:szCs w:val="24"/>
        </w:rPr>
        <w:t xml:space="preserve">, </w:t>
      </w:r>
      <w:proofErr w:type="spellStart"/>
      <w:r w:rsidR="00D11B14" w:rsidRPr="00E66BDC">
        <w:rPr>
          <w:rFonts w:ascii="Times New Roman" w:hAnsi="Times New Roman" w:cs="Times New Roman"/>
          <w:sz w:val="24"/>
          <w:szCs w:val="24"/>
        </w:rPr>
        <w:t>Cappuccio</w:t>
      </w:r>
      <w:proofErr w:type="spellEnd"/>
      <w:r w:rsidR="00D11B14" w:rsidRPr="00E66BDC">
        <w:rPr>
          <w:rFonts w:ascii="Times New Roman" w:hAnsi="Times New Roman" w:cs="Times New Roman"/>
          <w:sz w:val="24"/>
          <w:szCs w:val="24"/>
        </w:rPr>
        <w:t xml:space="preserve"> F</w:t>
      </w:r>
      <w:r w:rsidR="00FF11CC" w:rsidRPr="00E66BDC">
        <w:rPr>
          <w:rFonts w:ascii="Times New Roman" w:hAnsi="Times New Roman" w:cs="Times New Roman"/>
          <w:sz w:val="24"/>
          <w:szCs w:val="24"/>
        </w:rPr>
        <w:t>.</w:t>
      </w:r>
      <w:r w:rsidR="00D11B14" w:rsidRPr="00E66BDC">
        <w:rPr>
          <w:rFonts w:ascii="Times New Roman" w:hAnsi="Times New Roman" w:cs="Times New Roman"/>
          <w:sz w:val="24"/>
          <w:szCs w:val="24"/>
        </w:rPr>
        <w:t>P</w:t>
      </w:r>
      <w:r w:rsidR="00FF11CC" w:rsidRPr="00E66BDC">
        <w:rPr>
          <w:rFonts w:ascii="Times New Roman" w:hAnsi="Times New Roman" w:cs="Times New Roman"/>
          <w:sz w:val="24"/>
          <w:szCs w:val="24"/>
        </w:rPr>
        <w:t>.</w:t>
      </w:r>
      <w:r w:rsidR="00DE2203" w:rsidRPr="00E66BDC">
        <w:rPr>
          <w:rFonts w:ascii="Times New Roman" w:hAnsi="Times New Roman" w:cs="Times New Roman"/>
          <w:sz w:val="24"/>
          <w:szCs w:val="24"/>
        </w:rPr>
        <w:t xml:space="preserve"> </w:t>
      </w:r>
      <w:r w:rsidR="00FF11CC" w:rsidRPr="00E66BDC">
        <w:rPr>
          <w:rFonts w:ascii="Times New Roman" w:hAnsi="Times New Roman" w:cs="Times New Roman"/>
          <w:sz w:val="24"/>
          <w:szCs w:val="24"/>
        </w:rPr>
        <w:t>y</w:t>
      </w:r>
      <w:r w:rsidR="00D11B14" w:rsidRPr="00E66BDC">
        <w:rPr>
          <w:rFonts w:ascii="Times New Roman" w:hAnsi="Times New Roman" w:cs="Times New Roman"/>
          <w:sz w:val="24"/>
          <w:szCs w:val="24"/>
        </w:rPr>
        <w:t xml:space="preserve"> </w:t>
      </w:r>
      <w:proofErr w:type="spellStart"/>
      <w:r w:rsidR="00D11B14" w:rsidRPr="00E66BDC">
        <w:rPr>
          <w:rFonts w:ascii="Times New Roman" w:hAnsi="Times New Roman" w:cs="Times New Roman"/>
          <w:sz w:val="24"/>
          <w:szCs w:val="24"/>
        </w:rPr>
        <w:t>Meerpohl</w:t>
      </w:r>
      <w:proofErr w:type="spellEnd"/>
      <w:r w:rsidR="00D11B14" w:rsidRPr="00E66BDC">
        <w:rPr>
          <w:rFonts w:ascii="Times New Roman" w:hAnsi="Times New Roman" w:cs="Times New Roman"/>
          <w:sz w:val="24"/>
          <w:szCs w:val="24"/>
        </w:rPr>
        <w:t xml:space="preserve"> J</w:t>
      </w:r>
      <w:r w:rsidR="00FF11CC" w:rsidRPr="00E66BDC">
        <w:rPr>
          <w:rFonts w:ascii="Times New Roman" w:hAnsi="Times New Roman" w:cs="Times New Roman"/>
          <w:sz w:val="24"/>
          <w:szCs w:val="24"/>
        </w:rPr>
        <w:t>.</w:t>
      </w:r>
      <w:r w:rsidR="00D11B14" w:rsidRPr="00E66BDC">
        <w:rPr>
          <w:rFonts w:ascii="Times New Roman" w:hAnsi="Times New Roman" w:cs="Times New Roman"/>
          <w:sz w:val="24"/>
          <w:szCs w:val="24"/>
        </w:rPr>
        <w:t>J.</w:t>
      </w:r>
      <w:r w:rsidR="00FF11CC" w:rsidRPr="00E66BDC">
        <w:rPr>
          <w:rFonts w:ascii="Times New Roman" w:hAnsi="Times New Roman" w:cs="Times New Roman"/>
          <w:sz w:val="24"/>
          <w:szCs w:val="24"/>
        </w:rPr>
        <w:t>,</w:t>
      </w:r>
      <w:r w:rsidR="00D11B14" w:rsidRPr="00E66BDC">
        <w:rPr>
          <w:rFonts w:ascii="Times New Roman" w:hAnsi="Times New Roman" w:cs="Times New Roman"/>
          <w:sz w:val="24"/>
          <w:szCs w:val="24"/>
        </w:rPr>
        <w:t xml:space="preserve"> 2013.)</w:t>
      </w:r>
    </w:p>
    <w:p w:rsidR="00E375A1" w:rsidRPr="00E66BDC" w:rsidRDefault="00A97E8C"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rPr>
        <w:t xml:space="preserve">De acuerdo con </w:t>
      </w:r>
      <w:r w:rsidR="00DE2203" w:rsidRPr="00E66BDC">
        <w:rPr>
          <w:rFonts w:ascii="Times New Roman" w:hAnsi="Times New Roman" w:cs="Times New Roman"/>
          <w:sz w:val="24"/>
          <w:szCs w:val="24"/>
        </w:rPr>
        <w:t>He</w:t>
      </w:r>
      <w:r w:rsidR="00A02140" w:rsidRPr="00E66BDC">
        <w:rPr>
          <w:rFonts w:ascii="Times New Roman" w:hAnsi="Times New Roman" w:cs="Times New Roman"/>
          <w:sz w:val="24"/>
          <w:szCs w:val="24"/>
        </w:rPr>
        <w:t>, Li J</w:t>
      </w:r>
      <w:r w:rsidR="00EC0571" w:rsidRPr="00E66BDC">
        <w:rPr>
          <w:rFonts w:ascii="Times New Roman" w:hAnsi="Times New Roman" w:cs="Times New Roman"/>
          <w:sz w:val="24"/>
          <w:szCs w:val="24"/>
        </w:rPr>
        <w:t>.</w:t>
      </w:r>
      <w:r w:rsidR="00A02140" w:rsidRPr="00E66BDC">
        <w:rPr>
          <w:rFonts w:ascii="Times New Roman" w:hAnsi="Times New Roman" w:cs="Times New Roman"/>
          <w:sz w:val="24"/>
          <w:szCs w:val="24"/>
        </w:rPr>
        <w:t xml:space="preserve"> </w:t>
      </w:r>
      <w:r w:rsidR="00EC0571" w:rsidRPr="00E66BDC">
        <w:rPr>
          <w:rFonts w:ascii="Times New Roman" w:hAnsi="Times New Roman" w:cs="Times New Roman"/>
          <w:sz w:val="24"/>
          <w:szCs w:val="24"/>
        </w:rPr>
        <w:t>y</w:t>
      </w:r>
      <w:r w:rsidR="005571B0" w:rsidRPr="00E66BDC">
        <w:rPr>
          <w:rFonts w:ascii="Times New Roman" w:hAnsi="Times New Roman" w:cs="Times New Roman"/>
          <w:sz w:val="24"/>
          <w:szCs w:val="24"/>
        </w:rPr>
        <w:t xml:space="preserve"> </w:t>
      </w:r>
      <w:proofErr w:type="spellStart"/>
      <w:r w:rsidR="005571B0" w:rsidRPr="00E66BDC">
        <w:rPr>
          <w:rFonts w:ascii="Times New Roman" w:hAnsi="Times New Roman" w:cs="Times New Roman"/>
          <w:sz w:val="24"/>
          <w:szCs w:val="24"/>
        </w:rPr>
        <w:t>MacGregor</w:t>
      </w:r>
      <w:proofErr w:type="spellEnd"/>
      <w:r w:rsidR="00DE2203" w:rsidRPr="00E66BDC">
        <w:rPr>
          <w:rFonts w:ascii="Times New Roman" w:hAnsi="Times New Roman" w:cs="Times New Roman"/>
          <w:sz w:val="24"/>
          <w:szCs w:val="24"/>
        </w:rPr>
        <w:t xml:space="preserve"> (2009)</w:t>
      </w:r>
      <w:r w:rsidR="005571B0" w:rsidRPr="00E66BDC">
        <w:rPr>
          <w:rFonts w:ascii="Times New Roman" w:hAnsi="Times New Roman" w:cs="Times New Roman"/>
          <w:sz w:val="24"/>
          <w:szCs w:val="24"/>
        </w:rPr>
        <w:t>, estudios</w:t>
      </w:r>
      <w:r w:rsidRPr="00E66BDC">
        <w:rPr>
          <w:rFonts w:ascii="Times New Roman" w:hAnsi="Times New Roman" w:cs="Times New Roman"/>
          <w:sz w:val="24"/>
          <w:szCs w:val="24"/>
        </w:rPr>
        <w:t xml:space="preserve"> en modelos experimentales efectuados en </w:t>
      </w:r>
      <w:r w:rsidR="005571B0" w:rsidRPr="00E66BDC">
        <w:rPr>
          <w:rFonts w:ascii="Times New Roman" w:hAnsi="Times New Roman" w:cs="Times New Roman"/>
          <w:sz w:val="24"/>
          <w:szCs w:val="24"/>
        </w:rPr>
        <w:t>rata</w:t>
      </w:r>
      <w:r w:rsidRPr="00E66BDC">
        <w:rPr>
          <w:rFonts w:ascii="Times New Roman" w:hAnsi="Times New Roman" w:cs="Times New Roman"/>
          <w:sz w:val="24"/>
          <w:szCs w:val="24"/>
        </w:rPr>
        <w:t>s</w:t>
      </w:r>
      <w:r w:rsidR="005571B0" w:rsidRPr="00E66BDC">
        <w:rPr>
          <w:rFonts w:ascii="Times New Roman" w:hAnsi="Times New Roman" w:cs="Times New Roman"/>
          <w:sz w:val="24"/>
          <w:szCs w:val="24"/>
        </w:rPr>
        <w:t>, perro</w:t>
      </w:r>
      <w:r w:rsidRPr="00E66BDC">
        <w:rPr>
          <w:rFonts w:ascii="Times New Roman" w:hAnsi="Times New Roman" w:cs="Times New Roman"/>
          <w:sz w:val="24"/>
          <w:szCs w:val="24"/>
        </w:rPr>
        <w:t>s</w:t>
      </w:r>
      <w:r w:rsidR="005571B0" w:rsidRPr="00E66BDC">
        <w:rPr>
          <w:rFonts w:ascii="Times New Roman" w:hAnsi="Times New Roman" w:cs="Times New Roman"/>
          <w:sz w:val="24"/>
          <w:szCs w:val="24"/>
        </w:rPr>
        <w:t>, pollo</w:t>
      </w:r>
      <w:r w:rsidRPr="00E66BDC">
        <w:rPr>
          <w:rFonts w:ascii="Times New Roman" w:hAnsi="Times New Roman" w:cs="Times New Roman"/>
          <w:sz w:val="24"/>
          <w:szCs w:val="24"/>
        </w:rPr>
        <w:t>s</w:t>
      </w:r>
      <w:r w:rsidR="005571B0" w:rsidRPr="00E66BDC">
        <w:rPr>
          <w:rFonts w:ascii="Times New Roman" w:hAnsi="Times New Roman" w:cs="Times New Roman"/>
          <w:sz w:val="24"/>
          <w:szCs w:val="24"/>
        </w:rPr>
        <w:t>, conejo</w:t>
      </w:r>
      <w:r w:rsidRPr="00E66BDC">
        <w:rPr>
          <w:rFonts w:ascii="Times New Roman" w:hAnsi="Times New Roman" w:cs="Times New Roman"/>
          <w:sz w:val="24"/>
          <w:szCs w:val="24"/>
        </w:rPr>
        <w:t>s</w:t>
      </w:r>
      <w:r w:rsidR="005571B0" w:rsidRPr="00E66BDC">
        <w:rPr>
          <w:rFonts w:ascii="Times New Roman" w:hAnsi="Times New Roman" w:cs="Times New Roman"/>
          <w:sz w:val="24"/>
          <w:szCs w:val="24"/>
        </w:rPr>
        <w:t>, babuino</w:t>
      </w:r>
      <w:r w:rsidRPr="00E66BDC">
        <w:rPr>
          <w:rFonts w:ascii="Times New Roman" w:hAnsi="Times New Roman" w:cs="Times New Roman"/>
          <w:sz w:val="24"/>
          <w:szCs w:val="24"/>
        </w:rPr>
        <w:t>s</w:t>
      </w:r>
      <w:r w:rsidR="005571B0" w:rsidRPr="00E66BDC">
        <w:rPr>
          <w:rFonts w:ascii="Times New Roman" w:hAnsi="Times New Roman" w:cs="Times New Roman"/>
          <w:sz w:val="24"/>
          <w:szCs w:val="24"/>
        </w:rPr>
        <w:t xml:space="preserve"> y chimpancés han </w:t>
      </w:r>
      <w:r w:rsidR="00A10E80" w:rsidRPr="00E66BDC">
        <w:rPr>
          <w:rFonts w:ascii="Times New Roman" w:hAnsi="Times New Roman" w:cs="Times New Roman"/>
          <w:sz w:val="24"/>
          <w:szCs w:val="24"/>
        </w:rPr>
        <w:t xml:space="preserve">demostrado que </w:t>
      </w:r>
      <w:r w:rsidRPr="00E66BDC">
        <w:rPr>
          <w:rFonts w:ascii="Times New Roman" w:hAnsi="Times New Roman" w:cs="Times New Roman"/>
          <w:sz w:val="24"/>
          <w:szCs w:val="24"/>
        </w:rPr>
        <w:t xml:space="preserve">el </w:t>
      </w:r>
      <w:r w:rsidR="00A10E80" w:rsidRPr="00E66BDC">
        <w:rPr>
          <w:rFonts w:ascii="Times New Roman" w:hAnsi="Times New Roman" w:cs="Times New Roman"/>
          <w:sz w:val="24"/>
          <w:szCs w:val="24"/>
        </w:rPr>
        <w:t>sodio</w:t>
      </w:r>
      <w:r w:rsidR="005571B0" w:rsidRPr="00E66BDC">
        <w:rPr>
          <w:rFonts w:ascii="Times New Roman" w:hAnsi="Times New Roman" w:cs="Times New Roman"/>
          <w:sz w:val="24"/>
          <w:szCs w:val="24"/>
        </w:rPr>
        <w:t xml:space="preserve"> juega un papel importante en la regulación de la</w:t>
      </w:r>
      <w:r w:rsidR="00DE2203" w:rsidRPr="00E66BDC">
        <w:rPr>
          <w:rFonts w:ascii="Times New Roman" w:hAnsi="Times New Roman" w:cs="Times New Roman"/>
          <w:sz w:val="24"/>
          <w:szCs w:val="24"/>
        </w:rPr>
        <w:t xml:space="preserve"> presión arterial</w:t>
      </w:r>
      <w:r w:rsidR="005571B0" w:rsidRPr="00E66BDC">
        <w:rPr>
          <w:rFonts w:ascii="Times New Roman" w:hAnsi="Times New Roman" w:cs="Times New Roman"/>
          <w:sz w:val="24"/>
          <w:szCs w:val="24"/>
        </w:rPr>
        <w:t xml:space="preserve"> </w:t>
      </w:r>
      <w:r w:rsidR="00DE2203" w:rsidRPr="00E66BDC">
        <w:rPr>
          <w:rFonts w:ascii="Times New Roman" w:hAnsi="Times New Roman" w:cs="Times New Roman"/>
          <w:sz w:val="24"/>
          <w:szCs w:val="24"/>
        </w:rPr>
        <w:t>(</w:t>
      </w:r>
      <w:r w:rsidR="005571B0" w:rsidRPr="00E66BDC">
        <w:rPr>
          <w:rFonts w:ascii="Times New Roman" w:hAnsi="Times New Roman" w:cs="Times New Roman"/>
          <w:sz w:val="24"/>
          <w:szCs w:val="24"/>
        </w:rPr>
        <w:t>PA</w:t>
      </w:r>
      <w:r w:rsidR="00DE2203" w:rsidRPr="00E66BDC">
        <w:rPr>
          <w:rFonts w:ascii="Times New Roman" w:hAnsi="Times New Roman" w:cs="Times New Roman"/>
          <w:sz w:val="24"/>
          <w:szCs w:val="24"/>
        </w:rPr>
        <w:t>)</w:t>
      </w:r>
      <w:r w:rsidR="00EC0571" w:rsidRPr="00E66BDC">
        <w:rPr>
          <w:rFonts w:ascii="Times New Roman" w:hAnsi="Times New Roman" w:cs="Times New Roman"/>
          <w:sz w:val="24"/>
          <w:szCs w:val="24"/>
        </w:rPr>
        <w:t>,</w:t>
      </w:r>
      <w:r w:rsidR="005571B0" w:rsidRPr="00E66BDC">
        <w:rPr>
          <w:rFonts w:ascii="Times New Roman" w:hAnsi="Times New Roman" w:cs="Times New Roman"/>
          <w:sz w:val="24"/>
          <w:szCs w:val="24"/>
        </w:rPr>
        <w:t xml:space="preserve"> y en todas las formas de hipertensión experimental, independientemente del mode</w:t>
      </w:r>
      <w:r w:rsidR="00A10E80" w:rsidRPr="00E66BDC">
        <w:rPr>
          <w:rFonts w:ascii="Times New Roman" w:hAnsi="Times New Roman" w:cs="Times New Roman"/>
          <w:sz w:val="24"/>
          <w:szCs w:val="24"/>
        </w:rPr>
        <w:t xml:space="preserve">lo animal, </w:t>
      </w:r>
      <w:r w:rsidRPr="00E66BDC">
        <w:rPr>
          <w:rFonts w:ascii="Times New Roman" w:hAnsi="Times New Roman" w:cs="Times New Roman"/>
          <w:sz w:val="24"/>
          <w:szCs w:val="24"/>
        </w:rPr>
        <w:t xml:space="preserve">demostrando que </w:t>
      </w:r>
      <w:r w:rsidR="00A10E80" w:rsidRPr="00E66BDC">
        <w:rPr>
          <w:rFonts w:ascii="Times New Roman" w:hAnsi="Times New Roman" w:cs="Times New Roman"/>
          <w:sz w:val="24"/>
          <w:szCs w:val="24"/>
        </w:rPr>
        <w:t xml:space="preserve">un alto consumo de </w:t>
      </w:r>
      <w:r w:rsidR="00EC0571" w:rsidRPr="00E66BDC">
        <w:rPr>
          <w:rFonts w:ascii="Times New Roman" w:hAnsi="Times New Roman" w:cs="Times New Roman"/>
          <w:sz w:val="24"/>
          <w:szCs w:val="24"/>
        </w:rPr>
        <w:t>e</w:t>
      </w:r>
      <w:r w:rsidR="00A10E80" w:rsidRPr="00E66BDC">
        <w:rPr>
          <w:rFonts w:ascii="Times New Roman" w:hAnsi="Times New Roman" w:cs="Times New Roman"/>
          <w:sz w:val="24"/>
          <w:szCs w:val="24"/>
        </w:rPr>
        <w:t>ste mineral</w:t>
      </w:r>
      <w:r w:rsidR="005571B0" w:rsidRPr="00E66BDC">
        <w:rPr>
          <w:rFonts w:ascii="Times New Roman" w:hAnsi="Times New Roman" w:cs="Times New Roman"/>
          <w:sz w:val="24"/>
          <w:szCs w:val="24"/>
        </w:rPr>
        <w:t xml:space="preserve"> es esencial </w:t>
      </w:r>
      <w:r w:rsidRPr="00E66BDC">
        <w:rPr>
          <w:rFonts w:ascii="Times New Roman" w:hAnsi="Times New Roman" w:cs="Times New Roman"/>
          <w:sz w:val="24"/>
          <w:szCs w:val="24"/>
        </w:rPr>
        <w:t>en el incremento de la PA</w:t>
      </w:r>
      <w:r w:rsidR="005571B0" w:rsidRPr="00E66BDC">
        <w:rPr>
          <w:rFonts w:ascii="Times New Roman" w:hAnsi="Times New Roman" w:cs="Times New Roman"/>
          <w:sz w:val="24"/>
          <w:szCs w:val="24"/>
        </w:rPr>
        <w:t>.</w:t>
      </w:r>
      <w:r w:rsidR="006B471D" w:rsidRPr="00E66BDC">
        <w:rPr>
          <w:rFonts w:ascii="Times New Roman" w:hAnsi="Times New Roman" w:cs="Times New Roman"/>
          <w:sz w:val="24"/>
          <w:szCs w:val="24"/>
        </w:rPr>
        <w:t xml:space="preserve"> </w:t>
      </w:r>
    </w:p>
    <w:p w:rsidR="00A10E80" w:rsidRPr="00E66BDC" w:rsidRDefault="00A10E80"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rPr>
        <w:t xml:space="preserve">La principal fuente de sodio </w:t>
      </w:r>
      <w:r w:rsidRPr="00E66BDC">
        <w:rPr>
          <w:rFonts w:ascii="Times New Roman" w:hAnsi="Times New Roman" w:cs="Times New Roman"/>
          <w:sz w:val="24"/>
          <w:szCs w:val="24"/>
          <w:lang w:val="es-ES"/>
        </w:rPr>
        <w:t xml:space="preserve">en la dieta habitual </w:t>
      </w:r>
      <w:r w:rsidRPr="00E66BDC">
        <w:rPr>
          <w:rFonts w:ascii="Times New Roman" w:hAnsi="Times New Roman" w:cs="Times New Roman"/>
          <w:sz w:val="24"/>
          <w:szCs w:val="24"/>
        </w:rPr>
        <w:t xml:space="preserve">es la sal (Gaitán, D., Chamorro, R., </w:t>
      </w:r>
      <w:proofErr w:type="spellStart"/>
      <w:r w:rsidRPr="00E66BDC">
        <w:rPr>
          <w:rFonts w:ascii="Times New Roman" w:hAnsi="Times New Roman" w:cs="Times New Roman"/>
          <w:sz w:val="24"/>
          <w:szCs w:val="24"/>
        </w:rPr>
        <w:t>Cediel</w:t>
      </w:r>
      <w:proofErr w:type="spellEnd"/>
      <w:r w:rsidRPr="00E66BDC">
        <w:rPr>
          <w:rFonts w:ascii="Times New Roman" w:hAnsi="Times New Roman" w:cs="Times New Roman"/>
          <w:sz w:val="24"/>
          <w:szCs w:val="24"/>
        </w:rPr>
        <w:t xml:space="preserve">, G., Lozano, G. </w:t>
      </w:r>
      <w:r w:rsidR="00DE55D7" w:rsidRPr="00E66BDC">
        <w:rPr>
          <w:rFonts w:ascii="Times New Roman" w:hAnsi="Times New Roman" w:cs="Times New Roman"/>
          <w:sz w:val="24"/>
          <w:szCs w:val="24"/>
        </w:rPr>
        <w:t>y</w:t>
      </w:r>
      <w:r w:rsidRPr="00E66BDC">
        <w:rPr>
          <w:rFonts w:ascii="Times New Roman" w:hAnsi="Times New Roman" w:cs="Times New Roman"/>
          <w:sz w:val="24"/>
          <w:szCs w:val="24"/>
        </w:rPr>
        <w:t xml:space="preserve"> Da Silva-Gomes, F. (2015</w:t>
      </w:r>
      <w:r w:rsidR="00887D97" w:rsidRPr="00E66BDC">
        <w:rPr>
          <w:rFonts w:ascii="Times New Roman" w:hAnsi="Times New Roman" w:cs="Times New Roman"/>
          <w:sz w:val="24"/>
          <w:szCs w:val="24"/>
        </w:rPr>
        <w:t>)</w:t>
      </w:r>
      <w:r w:rsidR="00DE55D7" w:rsidRPr="00E66BDC">
        <w:rPr>
          <w:rFonts w:ascii="Times New Roman" w:hAnsi="Times New Roman" w:cs="Times New Roman"/>
          <w:sz w:val="24"/>
          <w:szCs w:val="24"/>
        </w:rPr>
        <w:t>;</w:t>
      </w:r>
      <w:r w:rsidRPr="00E66BDC">
        <w:rPr>
          <w:rFonts w:ascii="Times New Roman" w:hAnsi="Times New Roman" w:cs="Times New Roman"/>
          <w:sz w:val="24"/>
          <w:szCs w:val="24"/>
        </w:rPr>
        <w:t xml:space="preserve"> l</w:t>
      </w:r>
      <w:r w:rsidR="003A0F6D" w:rsidRPr="00E66BDC">
        <w:rPr>
          <w:rFonts w:ascii="Times New Roman" w:hAnsi="Times New Roman" w:cs="Times New Roman"/>
          <w:sz w:val="24"/>
          <w:szCs w:val="24"/>
          <w:lang w:val="es-ES"/>
        </w:rPr>
        <w:t xml:space="preserve">a relación entre el consumo de sal </w:t>
      </w:r>
      <w:r w:rsidR="00887D97" w:rsidRPr="00E66BDC">
        <w:rPr>
          <w:rFonts w:ascii="Times New Roman" w:hAnsi="Times New Roman" w:cs="Times New Roman"/>
          <w:sz w:val="24"/>
          <w:szCs w:val="24"/>
          <w:lang w:val="es-ES"/>
        </w:rPr>
        <w:t>con</w:t>
      </w:r>
      <w:r w:rsidR="003A0F6D" w:rsidRPr="00E66BDC">
        <w:rPr>
          <w:rFonts w:ascii="Times New Roman" w:hAnsi="Times New Roman" w:cs="Times New Roman"/>
          <w:sz w:val="24"/>
          <w:szCs w:val="24"/>
          <w:lang w:val="es-ES"/>
        </w:rPr>
        <w:t xml:space="preserve"> la PA se ha establecido a través de estudios </w:t>
      </w:r>
      <w:r w:rsidR="00A97E8C" w:rsidRPr="00E66BDC">
        <w:rPr>
          <w:rFonts w:ascii="Times New Roman" w:hAnsi="Times New Roman" w:cs="Times New Roman"/>
          <w:sz w:val="24"/>
          <w:szCs w:val="24"/>
          <w:lang w:val="es-ES"/>
        </w:rPr>
        <w:t xml:space="preserve">poblacionales, </w:t>
      </w:r>
      <w:r w:rsidR="003A0F6D" w:rsidRPr="00E66BDC">
        <w:rPr>
          <w:rFonts w:ascii="Times New Roman" w:hAnsi="Times New Roman" w:cs="Times New Roman"/>
          <w:sz w:val="24"/>
          <w:szCs w:val="24"/>
          <w:lang w:val="es-ES"/>
        </w:rPr>
        <w:t>epidemiológico</w:t>
      </w:r>
      <w:r w:rsidR="00195E64" w:rsidRPr="00E66BDC">
        <w:rPr>
          <w:rFonts w:ascii="Times New Roman" w:hAnsi="Times New Roman" w:cs="Times New Roman"/>
          <w:sz w:val="24"/>
          <w:szCs w:val="24"/>
          <w:lang w:val="es-ES"/>
        </w:rPr>
        <w:t>s</w:t>
      </w:r>
      <w:r w:rsidR="003A0F6D" w:rsidRPr="00E66BDC">
        <w:rPr>
          <w:rFonts w:ascii="Times New Roman" w:hAnsi="Times New Roman" w:cs="Times New Roman"/>
          <w:sz w:val="24"/>
          <w:szCs w:val="24"/>
          <w:lang w:val="es-ES"/>
        </w:rPr>
        <w:t xml:space="preserve">, de migración y </w:t>
      </w:r>
      <w:r w:rsidR="00A97E8C" w:rsidRPr="00E66BDC">
        <w:rPr>
          <w:rFonts w:ascii="Times New Roman" w:hAnsi="Times New Roman" w:cs="Times New Roman"/>
          <w:sz w:val="24"/>
          <w:szCs w:val="24"/>
          <w:lang w:val="es-ES"/>
        </w:rPr>
        <w:t>en estudios de</w:t>
      </w:r>
      <w:r w:rsidR="003A0F6D" w:rsidRPr="00E66BDC">
        <w:rPr>
          <w:rFonts w:ascii="Times New Roman" w:hAnsi="Times New Roman" w:cs="Times New Roman"/>
          <w:sz w:val="24"/>
          <w:szCs w:val="24"/>
          <w:lang w:val="es-ES"/>
        </w:rPr>
        <w:t xml:space="preserve"> intervención experimental</w:t>
      </w:r>
      <w:r w:rsidRPr="00E66BDC">
        <w:rPr>
          <w:rFonts w:ascii="Times New Roman" w:hAnsi="Times New Roman" w:cs="Times New Roman"/>
          <w:sz w:val="24"/>
          <w:szCs w:val="24"/>
          <w:lang w:val="es-ES"/>
        </w:rPr>
        <w:t xml:space="preserve"> (</w:t>
      </w:r>
      <w:proofErr w:type="spellStart"/>
      <w:r w:rsidRPr="00E66BDC">
        <w:rPr>
          <w:rFonts w:ascii="Times New Roman" w:hAnsi="Times New Roman" w:cs="Times New Roman"/>
          <w:sz w:val="24"/>
          <w:szCs w:val="24"/>
          <w:lang w:val="es-ES"/>
        </w:rPr>
        <w:t>Strazzulo</w:t>
      </w:r>
      <w:proofErr w:type="spellEnd"/>
      <w:r w:rsidRPr="00E66BDC">
        <w:rPr>
          <w:rFonts w:ascii="Times New Roman" w:hAnsi="Times New Roman" w:cs="Times New Roman"/>
          <w:sz w:val="24"/>
          <w:szCs w:val="24"/>
          <w:lang w:val="es-ES"/>
        </w:rPr>
        <w:t xml:space="preserve"> et al., 20</w:t>
      </w:r>
      <w:r w:rsidR="000473AB" w:rsidRPr="00E66BDC">
        <w:rPr>
          <w:rFonts w:ascii="Times New Roman" w:hAnsi="Times New Roman" w:cs="Times New Roman"/>
          <w:sz w:val="24"/>
          <w:szCs w:val="24"/>
          <w:lang w:val="es-ES"/>
        </w:rPr>
        <w:t>09</w:t>
      </w:r>
      <w:r w:rsidRPr="00E66BDC">
        <w:rPr>
          <w:rFonts w:ascii="Times New Roman" w:hAnsi="Times New Roman" w:cs="Times New Roman"/>
          <w:sz w:val="24"/>
          <w:szCs w:val="24"/>
          <w:lang w:val="es-ES"/>
        </w:rPr>
        <w:t>)</w:t>
      </w:r>
      <w:r w:rsidR="00DE55D7" w:rsidRPr="00E66BDC">
        <w:rPr>
          <w:rFonts w:ascii="Times New Roman" w:hAnsi="Times New Roman" w:cs="Times New Roman"/>
          <w:sz w:val="24"/>
          <w:szCs w:val="24"/>
          <w:lang w:val="es-ES"/>
        </w:rPr>
        <w:t>.</w:t>
      </w:r>
      <w:r w:rsidRPr="00E66BDC">
        <w:rPr>
          <w:rFonts w:ascii="Times New Roman" w:hAnsi="Times New Roman" w:cs="Times New Roman"/>
          <w:sz w:val="24"/>
          <w:szCs w:val="24"/>
          <w:lang w:val="es-ES"/>
        </w:rPr>
        <w:t xml:space="preserve"> </w:t>
      </w:r>
      <w:r w:rsidRPr="00E66BDC">
        <w:rPr>
          <w:rFonts w:ascii="Times New Roman" w:hAnsi="Times New Roman" w:cs="Times New Roman"/>
          <w:sz w:val="24"/>
          <w:szCs w:val="24"/>
        </w:rPr>
        <w:t xml:space="preserve">Ver </w:t>
      </w:r>
      <w:r w:rsidR="00195E64" w:rsidRPr="00E66BDC">
        <w:rPr>
          <w:rFonts w:ascii="Times New Roman" w:hAnsi="Times New Roman" w:cs="Times New Roman"/>
          <w:sz w:val="24"/>
          <w:szCs w:val="24"/>
        </w:rPr>
        <w:t>tabla</w:t>
      </w:r>
      <w:r w:rsidRPr="00E66BDC">
        <w:rPr>
          <w:rFonts w:ascii="Times New Roman" w:hAnsi="Times New Roman" w:cs="Times New Roman"/>
          <w:sz w:val="24"/>
          <w:szCs w:val="24"/>
        </w:rPr>
        <w:t xml:space="preserve"> 1.</w:t>
      </w:r>
    </w:p>
    <w:p w:rsidR="003A0F6D" w:rsidRPr="00E66BDC" w:rsidRDefault="00A97E8C"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rPr>
        <w:t>Por lo tanto</w:t>
      </w:r>
      <w:r w:rsidR="00A02140" w:rsidRPr="00E66BDC">
        <w:rPr>
          <w:rFonts w:ascii="Times New Roman" w:hAnsi="Times New Roman" w:cs="Times New Roman"/>
          <w:sz w:val="24"/>
          <w:szCs w:val="24"/>
        </w:rPr>
        <w:t>,</w:t>
      </w:r>
      <w:r w:rsidR="003A0F6D" w:rsidRPr="00E66BDC">
        <w:rPr>
          <w:rFonts w:ascii="Times New Roman" w:hAnsi="Times New Roman" w:cs="Times New Roman"/>
          <w:sz w:val="24"/>
          <w:szCs w:val="24"/>
        </w:rPr>
        <w:t xml:space="preserve"> s</w:t>
      </w:r>
      <w:r w:rsidR="005A27C7" w:rsidRPr="00E66BDC">
        <w:rPr>
          <w:rFonts w:ascii="Times New Roman" w:hAnsi="Times New Roman" w:cs="Times New Roman"/>
          <w:sz w:val="24"/>
          <w:szCs w:val="24"/>
        </w:rPr>
        <w:t xml:space="preserve">e ha propuesto que una reducción moderada en la ingesta de sal de la población </w:t>
      </w:r>
      <w:r w:rsidRPr="00E66BDC">
        <w:rPr>
          <w:rFonts w:ascii="Times New Roman" w:hAnsi="Times New Roman" w:cs="Times New Roman"/>
          <w:sz w:val="24"/>
          <w:szCs w:val="24"/>
        </w:rPr>
        <w:t xml:space="preserve">podría contribuir </w:t>
      </w:r>
      <w:r w:rsidR="00DE55D7" w:rsidRPr="00E66BDC">
        <w:rPr>
          <w:rFonts w:ascii="Times New Roman" w:hAnsi="Times New Roman" w:cs="Times New Roman"/>
          <w:sz w:val="24"/>
          <w:szCs w:val="24"/>
        </w:rPr>
        <w:t>a</w:t>
      </w:r>
      <w:r w:rsidRPr="00E66BDC">
        <w:rPr>
          <w:rFonts w:ascii="Times New Roman" w:hAnsi="Times New Roman" w:cs="Times New Roman"/>
          <w:sz w:val="24"/>
          <w:szCs w:val="24"/>
        </w:rPr>
        <w:t xml:space="preserve"> </w:t>
      </w:r>
      <w:r w:rsidR="005A27C7" w:rsidRPr="00E66BDC">
        <w:rPr>
          <w:rFonts w:ascii="Times New Roman" w:hAnsi="Times New Roman" w:cs="Times New Roman"/>
          <w:sz w:val="24"/>
          <w:szCs w:val="24"/>
        </w:rPr>
        <w:t xml:space="preserve">una </w:t>
      </w:r>
      <w:r w:rsidRPr="00E66BDC">
        <w:rPr>
          <w:rFonts w:ascii="Times New Roman" w:hAnsi="Times New Roman" w:cs="Times New Roman"/>
          <w:sz w:val="24"/>
          <w:szCs w:val="24"/>
        </w:rPr>
        <w:t xml:space="preserve">mejora </w:t>
      </w:r>
      <w:r w:rsidR="005A27C7" w:rsidRPr="00E66BDC">
        <w:rPr>
          <w:rFonts w:ascii="Times New Roman" w:hAnsi="Times New Roman" w:cs="Times New Roman"/>
          <w:sz w:val="24"/>
          <w:szCs w:val="24"/>
        </w:rPr>
        <w:t>importante en la</w:t>
      </w:r>
      <w:r w:rsidR="00A02140" w:rsidRPr="00E66BDC">
        <w:rPr>
          <w:rFonts w:ascii="Times New Roman" w:hAnsi="Times New Roman" w:cs="Times New Roman"/>
          <w:sz w:val="24"/>
          <w:szCs w:val="24"/>
        </w:rPr>
        <w:t xml:space="preserve"> salud pública a nivel mundial (He F</w:t>
      </w:r>
      <w:r w:rsidR="00DE55D7" w:rsidRPr="00E66BDC">
        <w:rPr>
          <w:rFonts w:ascii="Times New Roman" w:hAnsi="Times New Roman" w:cs="Times New Roman"/>
          <w:sz w:val="24"/>
          <w:szCs w:val="24"/>
        </w:rPr>
        <w:t>.</w:t>
      </w:r>
      <w:r w:rsidR="00A02140" w:rsidRPr="00E66BDC">
        <w:rPr>
          <w:rFonts w:ascii="Times New Roman" w:hAnsi="Times New Roman" w:cs="Times New Roman"/>
          <w:sz w:val="24"/>
          <w:szCs w:val="24"/>
        </w:rPr>
        <w:t>J</w:t>
      </w:r>
      <w:r w:rsidR="00DE55D7" w:rsidRPr="00E66BDC">
        <w:rPr>
          <w:rFonts w:ascii="Times New Roman" w:hAnsi="Times New Roman" w:cs="Times New Roman"/>
          <w:sz w:val="24"/>
          <w:szCs w:val="24"/>
        </w:rPr>
        <w:t>.</w:t>
      </w:r>
      <w:r w:rsidR="00A02140" w:rsidRPr="00E66BDC">
        <w:rPr>
          <w:rFonts w:ascii="Times New Roman" w:hAnsi="Times New Roman" w:cs="Times New Roman"/>
          <w:sz w:val="24"/>
          <w:szCs w:val="24"/>
        </w:rPr>
        <w:t xml:space="preserve"> et. al., </w:t>
      </w:r>
      <w:r w:rsidR="00151782" w:rsidRPr="00E66BDC">
        <w:rPr>
          <w:rFonts w:ascii="Times New Roman" w:hAnsi="Times New Roman" w:cs="Times New Roman"/>
          <w:sz w:val="24"/>
          <w:szCs w:val="24"/>
        </w:rPr>
        <w:t>2009</w:t>
      </w:r>
      <w:r w:rsidR="00A02140" w:rsidRPr="00E66BDC">
        <w:rPr>
          <w:rFonts w:ascii="Times New Roman" w:hAnsi="Times New Roman" w:cs="Times New Roman"/>
          <w:sz w:val="24"/>
          <w:szCs w:val="24"/>
        </w:rPr>
        <w:t>)</w:t>
      </w:r>
      <w:r w:rsidR="00DE55D7" w:rsidRPr="00E66BDC">
        <w:rPr>
          <w:rFonts w:ascii="Times New Roman" w:hAnsi="Times New Roman" w:cs="Times New Roman"/>
          <w:sz w:val="24"/>
          <w:szCs w:val="24"/>
        </w:rPr>
        <w:t>.</w:t>
      </w:r>
    </w:p>
    <w:p w:rsidR="00253F30" w:rsidRPr="00E66BDC" w:rsidRDefault="00A02140"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rPr>
        <w:lastRenderedPageBreak/>
        <w:t xml:space="preserve">De hecho, en la actualidad la restricción en el consumo de sodio </w:t>
      </w:r>
      <w:r w:rsidR="00A97E8C" w:rsidRPr="00E66BDC">
        <w:rPr>
          <w:rFonts w:ascii="Times New Roman" w:hAnsi="Times New Roman" w:cs="Times New Roman"/>
          <w:sz w:val="24"/>
          <w:szCs w:val="24"/>
        </w:rPr>
        <w:t xml:space="preserve">es la recomendación de autocuidado en la dieta más frecuente </w:t>
      </w:r>
      <w:r w:rsidRPr="00E66BDC">
        <w:rPr>
          <w:rFonts w:ascii="Times New Roman" w:hAnsi="Times New Roman" w:cs="Times New Roman"/>
          <w:sz w:val="24"/>
          <w:szCs w:val="24"/>
        </w:rPr>
        <w:t>e</w:t>
      </w:r>
      <w:r w:rsidR="005A27C7" w:rsidRPr="00E66BDC">
        <w:rPr>
          <w:rFonts w:ascii="Times New Roman" w:hAnsi="Times New Roman" w:cs="Times New Roman"/>
          <w:sz w:val="24"/>
          <w:szCs w:val="24"/>
        </w:rPr>
        <w:t>n pacientes con HAS e insuficiencia cardíaca</w:t>
      </w:r>
      <w:r w:rsidRPr="00E66BDC">
        <w:rPr>
          <w:rFonts w:ascii="Times New Roman" w:hAnsi="Times New Roman" w:cs="Times New Roman"/>
          <w:sz w:val="24"/>
          <w:szCs w:val="24"/>
        </w:rPr>
        <w:t xml:space="preserve"> (IC)</w:t>
      </w:r>
      <w:r w:rsidR="005A27C7" w:rsidRPr="00E66BDC">
        <w:rPr>
          <w:rFonts w:ascii="Times New Roman" w:hAnsi="Times New Roman" w:cs="Times New Roman"/>
          <w:sz w:val="24"/>
          <w:szCs w:val="24"/>
        </w:rPr>
        <w:t xml:space="preserve"> (</w:t>
      </w:r>
      <w:r w:rsidR="00253F30" w:rsidRPr="00E66BDC">
        <w:rPr>
          <w:rFonts w:ascii="Times New Roman" w:hAnsi="Times New Roman" w:cs="Times New Roman"/>
          <w:sz w:val="24"/>
          <w:szCs w:val="24"/>
        </w:rPr>
        <w:t>He F</w:t>
      </w:r>
      <w:r w:rsidR="00D01FFE" w:rsidRPr="00E66BDC">
        <w:rPr>
          <w:rFonts w:ascii="Times New Roman" w:hAnsi="Times New Roman" w:cs="Times New Roman"/>
          <w:sz w:val="24"/>
          <w:szCs w:val="24"/>
        </w:rPr>
        <w:t>.</w:t>
      </w:r>
      <w:r w:rsidR="00253F30" w:rsidRPr="00E66BDC">
        <w:rPr>
          <w:rFonts w:ascii="Times New Roman" w:hAnsi="Times New Roman" w:cs="Times New Roman"/>
          <w:sz w:val="24"/>
          <w:szCs w:val="24"/>
        </w:rPr>
        <w:t>J</w:t>
      </w:r>
      <w:r w:rsidR="00D01FFE" w:rsidRPr="00E66BDC">
        <w:rPr>
          <w:rFonts w:ascii="Times New Roman" w:hAnsi="Times New Roman" w:cs="Times New Roman"/>
          <w:sz w:val="24"/>
          <w:szCs w:val="24"/>
        </w:rPr>
        <w:t>.</w:t>
      </w:r>
      <w:r w:rsidR="00253F30" w:rsidRPr="00E66BDC">
        <w:rPr>
          <w:rFonts w:ascii="Times New Roman" w:hAnsi="Times New Roman" w:cs="Times New Roman"/>
          <w:sz w:val="24"/>
          <w:szCs w:val="24"/>
        </w:rPr>
        <w:t xml:space="preserve"> et al.,</w:t>
      </w:r>
      <w:r w:rsidR="003D1CA3" w:rsidRPr="00E66BDC">
        <w:rPr>
          <w:rFonts w:ascii="Times New Roman" w:hAnsi="Times New Roman" w:cs="Times New Roman"/>
          <w:sz w:val="24"/>
          <w:szCs w:val="24"/>
        </w:rPr>
        <w:t xml:space="preserve"> </w:t>
      </w:r>
      <w:r w:rsidR="00253F30" w:rsidRPr="00E66BDC">
        <w:rPr>
          <w:rFonts w:ascii="Times New Roman" w:hAnsi="Times New Roman" w:cs="Times New Roman"/>
          <w:sz w:val="24"/>
          <w:szCs w:val="24"/>
        </w:rPr>
        <w:t>2013)</w:t>
      </w:r>
      <w:r w:rsidR="005A27C7" w:rsidRPr="00E66BDC">
        <w:rPr>
          <w:rFonts w:ascii="Times New Roman" w:hAnsi="Times New Roman" w:cs="Times New Roman"/>
          <w:sz w:val="24"/>
          <w:szCs w:val="24"/>
        </w:rPr>
        <w:t xml:space="preserve">, </w:t>
      </w:r>
      <w:r w:rsidR="00253F30" w:rsidRPr="00E66BDC">
        <w:rPr>
          <w:rFonts w:ascii="Times New Roman" w:hAnsi="Times New Roman" w:cs="Times New Roman"/>
          <w:sz w:val="24"/>
          <w:szCs w:val="24"/>
        </w:rPr>
        <w:t>(</w:t>
      </w:r>
      <w:proofErr w:type="spellStart"/>
      <w:r w:rsidR="00253F30" w:rsidRPr="00E66BDC">
        <w:rPr>
          <w:rFonts w:ascii="Times New Roman" w:hAnsi="Times New Roman" w:cs="Times New Roman"/>
          <w:sz w:val="24"/>
          <w:szCs w:val="24"/>
        </w:rPr>
        <w:t>Gupta</w:t>
      </w:r>
      <w:proofErr w:type="spellEnd"/>
      <w:r w:rsidR="00253F30" w:rsidRPr="00E66BDC">
        <w:rPr>
          <w:rFonts w:ascii="Times New Roman" w:hAnsi="Times New Roman" w:cs="Times New Roman"/>
          <w:sz w:val="24"/>
          <w:szCs w:val="24"/>
        </w:rPr>
        <w:t>, D</w:t>
      </w:r>
      <w:r w:rsidR="00D01FFE" w:rsidRPr="00E66BDC">
        <w:rPr>
          <w:rFonts w:ascii="Times New Roman" w:hAnsi="Times New Roman" w:cs="Times New Roman"/>
          <w:sz w:val="24"/>
          <w:szCs w:val="24"/>
        </w:rPr>
        <w:t>.</w:t>
      </w:r>
      <w:r w:rsidR="00253F30" w:rsidRPr="00E66BDC">
        <w:rPr>
          <w:rFonts w:ascii="Times New Roman" w:hAnsi="Times New Roman" w:cs="Times New Roman"/>
          <w:sz w:val="24"/>
          <w:szCs w:val="24"/>
        </w:rPr>
        <w:t xml:space="preserve">, </w:t>
      </w:r>
      <w:proofErr w:type="spellStart"/>
      <w:r w:rsidR="00253F30" w:rsidRPr="00E66BDC">
        <w:rPr>
          <w:rFonts w:ascii="Times New Roman" w:hAnsi="Times New Roman" w:cs="Times New Roman"/>
          <w:sz w:val="24"/>
          <w:szCs w:val="24"/>
        </w:rPr>
        <w:t>Georgiopoulou</w:t>
      </w:r>
      <w:proofErr w:type="spellEnd"/>
      <w:r w:rsidR="00253F30" w:rsidRPr="00E66BDC">
        <w:rPr>
          <w:rFonts w:ascii="Times New Roman" w:hAnsi="Times New Roman" w:cs="Times New Roman"/>
          <w:sz w:val="24"/>
          <w:szCs w:val="24"/>
        </w:rPr>
        <w:t xml:space="preserve">, V. V., </w:t>
      </w:r>
      <w:proofErr w:type="spellStart"/>
      <w:r w:rsidR="00253F30" w:rsidRPr="00E66BDC">
        <w:rPr>
          <w:rFonts w:ascii="Times New Roman" w:hAnsi="Times New Roman" w:cs="Times New Roman"/>
          <w:sz w:val="24"/>
          <w:szCs w:val="24"/>
        </w:rPr>
        <w:t>Kalogeropoulos</w:t>
      </w:r>
      <w:proofErr w:type="spellEnd"/>
      <w:r w:rsidR="00253F30" w:rsidRPr="00E66BDC">
        <w:rPr>
          <w:rFonts w:ascii="Times New Roman" w:hAnsi="Times New Roman" w:cs="Times New Roman"/>
          <w:sz w:val="24"/>
          <w:szCs w:val="24"/>
        </w:rPr>
        <w:t xml:space="preserve">, A. P., </w:t>
      </w:r>
      <w:proofErr w:type="spellStart"/>
      <w:r w:rsidR="00253F30" w:rsidRPr="00E66BDC">
        <w:rPr>
          <w:rFonts w:ascii="Times New Roman" w:hAnsi="Times New Roman" w:cs="Times New Roman"/>
          <w:sz w:val="24"/>
          <w:szCs w:val="24"/>
        </w:rPr>
        <w:t>Dunbar</w:t>
      </w:r>
      <w:proofErr w:type="spellEnd"/>
      <w:r w:rsidR="00253F30" w:rsidRPr="00E66BDC">
        <w:rPr>
          <w:rFonts w:ascii="Times New Roman" w:hAnsi="Times New Roman" w:cs="Times New Roman"/>
          <w:sz w:val="24"/>
          <w:szCs w:val="24"/>
        </w:rPr>
        <w:t xml:space="preserve">, S. B., </w:t>
      </w:r>
      <w:proofErr w:type="spellStart"/>
      <w:r w:rsidR="00253F30" w:rsidRPr="00E66BDC">
        <w:rPr>
          <w:rFonts w:ascii="Times New Roman" w:hAnsi="Times New Roman" w:cs="Times New Roman"/>
          <w:sz w:val="24"/>
          <w:szCs w:val="24"/>
        </w:rPr>
        <w:t>Reilly</w:t>
      </w:r>
      <w:proofErr w:type="spellEnd"/>
      <w:r w:rsidR="00253F30" w:rsidRPr="00E66BDC">
        <w:rPr>
          <w:rFonts w:ascii="Times New Roman" w:hAnsi="Times New Roman" w:cs="Times New Roman"/>
          <w:sz w:val="24"/>
          <w:szCs w:val="24"/>
        </w:rPr>
        <w:t xml:space="preserve">, C. M. </w:t>
      </w:r>
      <w:r w:rsidR="00D01FFE" w:rsidRPr="00E66BDC">
        <w:rPr>
          <w:rFonts w:ascii="Times New Roman" w:hAnsi="Times New Roman" w:cs="Times New Roman"/>
          <w:sz w:val="24"/>
          <w:szCs w:val="24"/>
        </w:rPr>
        <w:t>y</w:t>
      </w:r>
      <w:r w:rsidR="00253F30" w:rsidRPr="00E66BDC">
        <w:rPr>
          <w:rFonts w:ascii="Times New Roman" w:hAnsi="Times New Roman" w:cs="Times New Roman"/>
          <w:sz w:val="24"/>
          <w:szCs w:val="24"/>
        </w:rPr>
        <w:t xml:space="preserve"> </w:t>
      </w:r>
      <w:proofErr w:type="spellStart"/>
      <w:r w:rsidR="00253F30" w:rsidRPr="00E66BDC">
        <w:rPr>
          <w:rFonts w:ascii="Times New Roman" w:hAnsi="Times New Roman" w:cs="Times New Roman"/>
          <w:sz w:val="24"/>
          <w:szCs w:val="24"/>
        </w:rPr>
        <w:t>Sands</w:t>
      </w:r>
      <w:proofErr w:type="spellEnd"/>
      <w:r w:rsidR="00253F30" w:rsidRPr="00E66BDC">
        <w:rPr>
          <w:rFonts w:ascii="Times New Roman" w:hAnsi="Times New Roman" w:cs="Times New Roman"/>
          <w:sz w:val="24"/>
          <w:szCs w:val="24"/>
        </w:rPr>
        <w:t xml:space="preserve">, J. M. et. al. </w:t>
      </w:r>
      <w:r w:rsidR="000473AB" w:rsidRPr="00E66BDC">
        <w:rPr>
          <w:rFonts w:ascii="Times New Roman" w:hAnsi="Times New Roman" w:cs="Times New Roman"/>
          <w:sz w:val="24"/>
          <w:szCs w:val="24"/>
        </w:rPr>
        <w:t>2012)</w:t>
      </w:r>
    </w:p>
    <w:p w:rsidR="00E375A1" w:rsidRPr="00E66BDC" w:rsidRDefault="00A02140"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rPr>
        <w:t>Dicha</w:t>
      </w:r>
      <w:r w:rsidR="005A27C7" w:rsidRPr="00E66BDC">
        <w:rPr>
          <w:rFonts w:ascii="Times New Roman" w:hAnsi="Times New Roman" w:cs="Times New Roman"/>
          <w:sz w:val="24"/>
          <w:szCs w:val="24"/>
        </w:rPr>
        <w:t xml:space="preserve"> recomendación está basada en </w:t>
      </w:r>
      <w:r w:rsidR="00A97E8C" w:rsidRPr="00E66BDC">
        <w:rPr>
          <w:rFonts w:ascii="Times New Roman" w:hAnsi="Times New Roman" w:cs="Times New Roman"/>
          <w:sz w:val="24"/>
          <w:szCs w:val="24"/>
        </w:rPr>
        <w:t xml:space="preserve">la premisa de </w:t>
      </w:r>
      <w:r w:rsidR="005A27C7" w:rsidRPr="00E66BDC">
        <w:rPr>
          <w:rFonts w:ascii="Times New Roman" w:hAnsi="Times New Roman" w:cs="Times New Roman"/>
          <w:sz w:val="24"/>
          <w:szCs w:val="24"/>
        </w:rPr>
        <w:t xml:space="preserve">que la </w:t>
      </w:r>
      <w:r w:rsidRPr="00E66BDC">
        <w:rPr>
          <w:rFonts w:ascii="Times New Roman" w:hAnsi="Times New Roman" w:cs="Times New Roman"/>
          <w:sz w:val="24"/>
          <w:szCs w:val="24"/>
        </w:rPr>
        <w:t xml:space="preserve">reducción en la ingesta de sal se ha asociado </w:t>
      </w:r>
      <w:r w:rsidR="00D01FFE" w:rsidRPr="00E66BDC">
        <w:rPr>
          <w:rFonts w:ascii="Times New Roman" w:hAnsi="Times New Roman" w:cs="Times New Roman"/>
          <w:sz w:val="24"/>
          <w:szCs w:val="24"/>
        </w:rPr>
        <w:t>a</w:t>
      </w:r>
      <w:r w:rsidRPr="00E66BDC">
        <w:rPr>
          <w:rFonts w:ascii="Times New Roman" w:hAnsi="Times New Roman" w:cs="Times New Roman"/>
          <w:sz w:val="24"/>
          <w:szCs w:val="24"/>
        </w:rPr>
        <w:t xml:space="preserve"> la disminución de la PA</w:t>
      </w:r>
      <w:r w:rsidR="00E22A34" w:rsidRPr="00E66BDC">
        <w:rPr>
          <w:rFonts w:ascii="Times New Roman" w:hAnsi="Times New Roman" w:cs="Times New Roman"/>
          <w:sz w:val="24"/>
          <w:szCs w:val="24"/>
        </w:rPr>
        <w:t>,</w:t>
      </w:r>
      <w:r w:rsidR="00253F30" w:rsidRPr="00E66BDC">
        <w:rPr>
          <w:rFonts w:ascii="Times New Roman" w:hAnsi="Times New Roman" w:cs="Times New Roman"/>
          <w:sz w:val="24"/>
          <w:szCs w:val="24"/>
        </w:rPr>
        <w:t xml:space="preserve"> y </w:t>
      </w:r>
      <w:r w:rsidR="00E22A34" w:rsidRPr="00E66BDC">
        <w:rPr>
          <w:rFonts w:ascii="Times New Roman" w:hAnsi="Times New Roman" w:cs="Times New Roman"/>
          <w:sz w:val="24"/>
          <w:szCs w:val="24"/>
        </w:rPr>
        <w:t xml:space="preserve">al </w:t>
      </w:r>
      <w:r w:rsidR="00253F30" w:rsidRPr="00E66BDC">
        <w:rPr>
          <w:rFonts w:ascii="Times New Roman" w:hAnsi="Times New Roman" w:cs="Times New Roman"/>
          <w:sz w:val="24"/>
          <w:szCs w:val="24"/>
        </w:rPr>
        <w:t>mantenerla controlada se</w:t>
      </w:r>
      <w:r w:rsidR="005A27C7" w:rsidRPr="00E66BDC">
        <w:rPr>
          <w:rFonts w:ascii="Times New Roman" w:hAnsi="Times New Roman" w:cs="Times New Roman"/>
          <w:sz w:val="24"/>
          <w:szCs w:val="24"/>
        </w:rPr>
        <w:t xml:space="preserve"> reduciría el riesgo cardiovascular</w:t>
      </w:r>
      <w:r w:rsidR="00146C48" w:rsidRPr="00E66BDC">
        <w:rPr>
          <w:rFonts w:ascii="Times New Roman" w:hAnsi="Times New Roman" w:cs="Times New Roman"/>
          <w:sz w:val="24"/>
          <w:szCs w:val="24"/>
        </w:rPr>
        <w:t xml:space="preserve"> (RCV)</w:t>
      </w:r>
      <w:r w:rsidR="005A27C7" w:rsidRPr="00E66BDC">
        <w:rPr>
          <w:rFonts w:ascii="Times New Roman" w:hAnsi="Times New Roman" w:cs="Times New Roman"/>
          <w:sz w:val="24"/>
          <w:szCs w:val="24"/>
        </w:rPr>
        <w:t xml:space="preserve"> (</w:t>
      </w:r>
      <w:r w:rsidR="00253F30" w:rsidRPr="00E66BDC">
        <w:rPr>
          <w:rFonts w:ascii="Times New Roman" w:hAnsi="Times New Roman" w:cs="Times New Roman"/>
          <w:sz w:val="24"/>
          <w:szCs w:val="24"/>
        </w:rPr>
        <w:t>He F</w:t>
      </w:r>
      <w:r w:rsidR="00D01FFE" w:rsidRPr="00E66BDC">
        <w:rPr>
          <w:rFonts w:ascii="Times New Roman" w:hAnsi="Times New Roman" w:cs="Times New Roman"/>
          <w:sz w:val="24"/>
          <w:szCs w:val="24"/>
        </w:rPr>
        <w:t>.</w:t>
      </w:r>
      <w:r w:rsidR="00253F30" w:rsidRPr="00E66BDC">
        <w:rPr>
          <w:rFonts w:ascii="Times New Roman" w:hAnsi="Times New Roman" w:cs="Times New Roman"/>
          <w:sz w:val="24"/>
          <w:szCs w:val="24"/>
        </w:rPr>
        <w:t>J</w:t>
      </w:r>
      <w:r w:rsidR="00D01FFE" w:rsidRPr="00E66BDC">
        <w:rPr>
          <w:rFonts w:ascii="Times New Roman" w:hAnsi="Times New Roman" w:cs="Times New Roman"/>
          <w:sz w:val="24"/>
          <w:szCs w:val="24"/>
        </w:rPr>
        <w:t>.</w:t>
      </w:r>
      <w:r w:rsidR="00253F30" w:rsidRPr="00E66BDC">
        <w:rPr>
          <w:rFonts w:ascii="Times New Roman" w:hAnsi="Times New Roman" w:cs="Times New Roman"/>
          <w:sz w:val="24"/>
          <w:szCs w:val="24"/>
        </w:rPr>
        <w:t xml:space="preserve"> et al., 2013</w:t>
      </w:r>
      <w:r w:rsidR="005A27C7" w:rsidRPr="00E66BDC">
        <w:rPr>
          <w:rFonts w:ascii="Times New Roman" w:hAnsi="Times New Roman" w:cs="Times New Roman"/>
          <w:sz w:val="24"/>
          <w:szCs w:val="24"/>
        </w:rPr>
        <w:t>)</w:t>
      </w:r>
      <w:r w:rsidR="00D01FFE" w:rsidRPr="00E66BDC">
        <w:rPr>
          <w:rFonts w:ascii="Times New Roman" w:hAnsi="Times New Roman" w:cs="Times New Roman"/>
          <w:sz w:val="24"/>
          <w:szCs w:val="24"/>
        </w:rPr>
        <w:t>.</w:t>
      </w:r>
    </w:p>
    <w:p w:rsidR="006B471D" w:rsidRPr="00E66BDC" w:rsidRDefault="008971D0"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rPr>
        <w:t>A</w:t>
      </w:r>
      <w:r w:rsidR="00D01FFE" w:rsidRPr="00E66BDC">
        <w:rPr>
          <w:rFonts w:ascii="Times New Roman" w:hAnsi="Times New Roman" w:cs="Times New Roman"/>
          <w:sz w:val="24"/>
          <w:szCs w:val="24"/>
        </w:rPr>
        <w:t>simismo</w:t>
      </w:r>
      <w:r w:rsidRPr="00E66BDC">
        <w:rPr>
          <w:rFonts w:ascii="Times New Roman" w:hAnsi="Times New Roman" w:cs="Times New Roman"/>
          <w:sz w:val="24"/>
          <w:szCs w:val="24"/>
        </w:rPr>
        <w:t xml:space="preserve"> s</w:t>
      </w:r>
      <w:proofErr w:type="spellStart"/>
      <w:r w:rsidR="00685058" w:rsidRPr="00E66BDC">
        <w:rPr>
          <w:rFonts w:ascii="Times New Roman" w:hAnsi="Times New Roman" w:cs="Times New Roman"/>
          <w:sz w:val="24"/>
          <w:szCs w:val="24"/>
          <w:lang w:val="es-ES"/>
        </w:rPr>
        <w:t>e</w:t>
      </w:r>
      <w:proofErr w:type="spellEnd"/>
      <w:r w:rsidR="00685058" w:rsidRPr="00E66BDC">
        <w:rPr>
          <w:rFonts w:ascii="Times New Roman" w:hAnsi="Times New Roman" w:cs="Times New Roman"/>
          <w:sz w:val="24"/>
          <w:szCs w:val="24"/>
          <w:lang w:val="es-ES"/>
        </w:rPr>
        <w:t xml:space="preserve"> ha planteado</w:t>
      </w:r>
      <w:r w:rsidRPr="00E66BDC">
        <w:rPr>
          <w:rFonts w:ascii="Times New Roman" w:hAnsi="Times New Roman" w:cs="Times New Roman"/>
          <w:sz w:val="24"/>
          <w:szCs w:val="24"/>
          <w:lang w:val="es-ES"/>
        </w:rPr>
        <w:t xml:space="preserve"> que</w:t>
      </w:r>
      <w:r w:rsidR="00A97E8C" w:rsidRPr="00E66BDC">
        <w:rPr>
          <w:rFonts w:ascii="Times New Roman" w:hAnsi="Times New Roman" w:cs="Times New Roman"/>
          <w:sz w:val="24"/>
          <w:szCs w:val="24"/>
          <w:lang w:val="es-ES"/>
        </w:rPr>
        <w:t xml:space="preserve"> </w:t>
      </w:r>
      <w:r w:rsidR="00685058" w:rsidRPr="00E66BDC">
        <w:rPr>
          <w:rFonts w:ascii="Times New Roman" w:hAnsi="Times New Roman" w:cs="Times New Roman"/>
          <w:sz w:val="24"/>
          <w:szCs w:val="24"/>
          <w:lang w:val="es-ES"/>
        </w:rPr>
        <w:t xml:space="preserve">la reducción de la ingesta de sal </w:t>
      </w:r>
      <w:r w:rsidRPr="00E66BDC">
        <w:rPr>
          <w:rFonts w:ascii="Times New Roman" w:hAnsi="Times New Roman" w:cs="Times New Roman"/>
          <w:sz w:val="24"/>
          <w:szCs w:val="24"/>
          <w:lang w:val="es-ES"/>
        </w:rPr>
        <w:t>es</w:t>
      </w:r>
      <w:r w:rsidR="00685058" w:rsidRPr="00E66BDC">
        <w:rPr>
          <w:rFonts w:ascii="Times New Roman" w:hAnsi="Times New Roman" w:cs="Times New Roman"/>
          <w:sz w:val="24"/>
          <w:szCs w:val="24"/>
          <w:lang w:val="es-ES"/>
        </w:rPr>
        <w:t xml:space="preserve"> una estrategia costo-efectiva </w:t>
      </w:r>
      <w:r w:rsidR="002C4C37" w:rsidRPr="00E66BDC">
        <w:rPr>
          <w:rFonts w:ascii="Times New Roman" w:hAnsi="Times New Roman" w:cs="Times New Roman"/>
          <w:sz w:val="24"/>
          <w:szCs w:val="24"/>
          <w:lang w:val="es-ES"/>
        </w:rPr>
        <w:t xml:space="preserve">sobre </w:t>
      </w:r>
      <w:r w:rsidR="00685058" w:rsidRPr="00E66BDC">
        <w:rPr>
          <w:rFonts w:ascii="Times New Roman" w:hAnsi="Times New Roman" w:cs="Times New Roman"/>
          <w:sz w:val="24"/>
          <w:szCs w:val="24"/>
          <w:lang w:val="es-ES"/>
        </w:rPr>
        <w:t xml:space="preserve">la carga de </w:t>
      </w:r>
      <w:r w:rsidR="00A97E8C" w:rsidRPr="00E66BDC">
        <w:rPr>
          <w:rFonts w:ascii="Times New Roman" w:hAnsi="Times New Roman" w:cs="Times New Roman"/>
          <w:sz w:val="24"/>
          <w:szCs w:val="24"/>
          <w:lang w:val="es-ES"/>
        </w:rPr>
        <w:t xml:space="preserve">la </w:t>
      </w:r>
      <w:r w:rsidRPr="00E66BDC">
        <w:rPr>
          <w:rFonts w:ascii="Times New Roman" w:hAnsi="Times New Roman" w:cs="Times New Roman"/>
          <w:sz w:val="24"/>
          <w:szCs w:val="24"/>
          <w:lang w:val="es-ES"/>
        </w:rPr>
        <w:t>enfermedad</w:t>
      </w:r>
      <w:r w:rsidR="00685058" w:rsidRPr="00E66BDC">
        <w:rPr>
          <w:rFonts w:ascii="Times New Roman" w:hAnsi="Times New Roman" w:cs="Times New Roman"/>
          <w:sz w:val="24"/>
          <w:szCs w:val="24"/>
          <w:lang w:val="es-ES"/>
        </w:rPr>
        <w:t xml:space="preserve"> coronaria</w:t>
      </w:r>
      <w:r w:rsidR="002C4C37" w:rsidRPr="00E66BDC">
        <w:rPr>
          <w:rFonts w:ascii="Times New Roman" w:hAnsi="Times New Roman" w:cs="Times New Roman"/>
          <w:sz w:val="24"/>
          <w:szCs w:val="24"/>
          <w:lang w:val="es-ES"/>
        </w:rPr>
        <w:t xml:space="preserve"> a largo plazo</w:t>
      </w:r>
      <w:r w:rsidR="00685058" w:rsidRPr="00E66BDC">
        <w:rPr>
          <w:rFonts w:ascii="Times New Roman" w:hAnsi="Times New Roman" w:cs="Times New Roman"/>
          <w:sz w:val="24"/>
          <w:szCs w:val="24"/>
          <w:lang w:val="es-ES"/>
        </w:rPr>
        <w:t xml:space="preserve"> </w:t>
      </w:r>
      <w:r w:rsidR="00685058" w:rsidRPr="00E66BDC">
        <w:rPr>
          <w:rFonts w:ascii="Times New Roman" w:hAnsi="Times New Roman" w:cs="Times New Roman"/>
          <w:sz w:val="24"/>
          <w:szCs w:val="24"/>
        </w:rPr>
        <w:t>(</w:t>
      </w:r>
      <w:proofErr w:type="spellStart"/>
      <w:r w:rsidR="00685058" w:rsidRPr="00E66BDC">
        <w:rPr>
          <w:rFonts w:ascii="Times New Roman" w:hAnsi="Times New Roman" w:cs="Times New Roman"/>
          <w:sz w:val="24"/>
          <w:szCs w:val="24"/>
        </w:rPr>
        <w:t>Shoaibi</w:t>
      </w:r>
      <w:proofErr w:type="spellEnd"/>
      <w:r w:rsidR="00146C48" w:rsidRPr="00E66BDC">
        <w:rPr>
          <w:rFonts w:ascii="Times New Roman" w:hAnsi="Times New Roman" w:cs="Times New Roman"/>
          <w:sz w:val="24"/>
          <w:szCs w:val="24"/>
        </w:rPr>
        <w:t>,</w:t>
      </w:r>
      <w:r w:rsidR="00685058" w:rsidRPr="00E66BDC">
        <w:rPr>
          <w:rFonts w:ascii="Times New Roman" w:hAnsi="Times New Roman" w:cs="Times New Roman"/>
          <w:sz w:val="24"/>
          <w:szCs w:val="24"/>
        </w:rPr>
        <w:t xml:space="preserve"> A</w:t>
      </w:r>
      <w:r w:rsidR="00146C48" w:rsidRPr="00E66BDC">
        <w:rPr>
          <w:rFonts w:ascii="Times New Roman" w:hAnsi="Times New Roman" w:cs="Times New Roman"/>
          <w:sz w:val="24"/>
          <w:szCs w:val="24"/>
        </w:rPr>
        <w:t>.</w:t>
      </w:r>
      <w:r w:rsidR="00685058" w:rsidRPr="00E66BDC">
        <w:rPr>
          <w:rFonts w:ascii="Times New Roman" w:hAnsi="Times New Roman" w:cs="Times New Roman"/>
          <w:sz w:val="24"/>
          <w:szCs w:val="24"/>
        </w:rPr>
        <w:t xml:space="preserve">, </w:t>
      </w:r>
      <w:proofErr w:type="spellStart"/>
      <w:r w:rsidR="00685058" w:rsidRPr="00E66BDC">
        <w:rPr>
          <w:rFonts w:ascii="Times New Roman" w:hAnsi="Times New Roman" w:cs="Times New Roman"/>
          <w:sz w:val="24"/>
          <w:szCs w:val="24"/>
        </w:rPr>
        <w:t>Ghandour</w:t>
      </w:r>
      <w:proofErr w:type="spellEnd"/>
      <w:r w:rsidR="00146C48" w:rsidRPr="00E66BDC">
        <w:rPr>
          <w:rFonts w:ascii="Times New Roman" w:hAnsi="Times New Roman" w:cs="Times New Roman"/>
          <w:sz w:val="24"/>
          <w:szCs w:val="24"/>
        </w:rPr>
        <w:t>,</w:t>
      </w:r>
      <w:r w:rsidR="00685058" w:rsidRPr="00E66BDC">
        <w:rPr>
          <w:rFonts w:ascii="Times New Roman" w:hAnsi="Times New Roman" w:cs="Times New Roman"/>
          <w:sz w:val="24"/>
          <w:szCs w:val="24"/>
        </w:rPr>
        <w:t xml:space="preserve"> R</w:t>
      </w:r>
      <w:r w:rsidR="00146C48" w:rsidRPr="00E66BDC">
        <w:rPr>
          <w:rFonts w:ascii="Times New Roman" w:hAnsi="Times New Roman" w:cs="Times New Roman"/>
          <w:sz w:val="24"/>
          <w:szCs w:val="24"/>
        </w:rPr>
        <w:t>.</w:t>
      </w:r>
      <w:r w:rsidR="00685058" w:rsidRPr="00E66BDC">
        <w:rPr>
          <w:rFonts w:ascii="Times New Roman" w:hAnsi="Times New Roman" w:cs="Times New Roman"/>
          <w:sz w:val="24"/>
          <w:szCs w:val="24"/>
        </w:rPr>
        <w:t xml:space="preserve">, </w:t>
      </w:r>
      <w:proofErr w:type="spellStart"/>
      <w:r w:rsidR="00685058" w:rsidRPr="00E66BDC">
        <w:rPr>
          <w:rFonts w:ascii="Times New Roman" w:hAnsi="Times New Roman" w:cs="Times New Roman"/>
          <w:sz w:val="24"/>
          <w:szCs w:val="24"/>
        </w:rPr>
        <w:t>Khatib</w:t>
      </w:r>
      <w:proofErr w:type="spellEnd"/>
      <w:r w:rsidR="00146C48" w:rsidRPr="00E66BDC">
        <w:rPr>
          <w:rFonts w:ascii="Times New Roman" w:hAnsi="Times New Roman" w:cs="Times New Roman"/>
          <w:sz w:val="24"/>
          <w:szCs w:val="24"/>
        </w:rPr>
        <w:t>,</w:t>
      </w:r>
      <w:r w:rsidR="00685058" w:rsidRPr="00E66BDC">
        <w:rPr>
          <w:rFonts w:ascii="Times New Roman" w:hAnsi="Times New Roman" w:cs="Times New Roman"/>
          <w:sz w:val="24"/>
          <w:szCs w:val="24"/>
        </w:rPr>
        <w:t xml:space="preserve"> R</w:t>
      </w:r>
      <w:r w:rsidR="00146C48" w:rsidRPr="00E66BDC">
        <w:rPr>
          <w:rFonts w:ascii="Times New Roman" w:hAnsi="Times New Roman" w:cs="Times New Roman"/>
          <w:sz w:val="24"/>
          <w:szCs w:val="24"/>
        </w:rPr>
        <w:t>.</w:t>
      </w:r>
      <w:r w:rsidR="00685058" w:rsidRPr="00E66BDC">
        <w:rPr>
          <w:rFonts w:ascii="Times New Roman" w:hAnsi="Times New Roman" w:cs="Times New Roman"/>
          <w:sz w:val="24"/>
          <w:szCs w:val="24"/>
        </w:rPr>
        <w:t xml:space="preserve"> et</w:t>
      </w:r>
      <w:r w:rsidR="00146C48" w:rsidRPr="00E66BDC">
        <w:rPr>
          <w:rFonts w:ascii="Times New Roman" w:hAnsi="Times New Roman" w:cs="Times New Roman"/>
          <w:sz w:val="24"/>
          <w:szCs w:val="24"/>
        </w:rPr>
        <w:t>.</w:t>
      </w:r>
      <w:r w:rsidR="00685058" w:rsidRPr="00E66BDC">
        <w:rPr>
          <w:rFonts w:ascii="Times New Roman" w:hAnsi="Times New Roman" w:cs="Times New Roman"/>
          <w:sz w:val="24"/>
          <w:szCs w:val="24"/>
        </w:rPr>
        <w:t xml:space="preserve"> al.</w:t>
      </w:r>
      <w:r w:rsidR="00146C48" w:rsidRPr="00E66BDC">
        <w:rPr>
          <w:rFonts w:ascii="Times New Roman" w:hAnsi="Times New Roman" w:cs="Times New Roman"/>
          <w:sz w:val="24"/>
          <w:szCs w:val="24"/>
        </w:rPr>
        <w:t xml:space="preserve">, </w:t>
      </w:r>
      <w:r w:rsidR="00685058" w:rsidRPr="00E66BDC">
        <w:rPr>
          <w:rFonts w:ascii="Times New Roman" w:hAnsi="Times New Roman" w:cs="Times New Roman"/>
          <w:sz w:val="24"/>
          <w:szCs w:val="24"/>
        </w:rPr>
        <w:t>2013</w:t>
      </w:r>
      <w:r w:rsidR="00A97E8C" w:rsidRPr="00E66BDC">
        <w:rPr>
          <w:rFonts w:ascii="Times New Roman" w:hAnsi="Times New Roman" w:cs="Times New Roman"/>
          <w:sz w:val="24"/>
          <w:szCs w:val="24"/>
        </w:rPr>
        <w:t>)</w:t>
      </w:r>
      <w:r w:rsidR="00E22A34" w:rsidRPr="00E66BDC">
        <w:rPr>
          <w:rFonts w:ascii="Times New Roman" w:hAnsi="Times New Roman" w:cs="Times New Roman"/>
          <w:sz w:val="24"/>
          <w:szCs w:val="24"/>
        </w:rPr>
        <w:t>, disminuyendo</w:t>
      </w:r>
      <w:r w:rsidR="00A97E8C" w:rsidRPr="00E66BDC">
        <w:rPr>
          <w:rFonts w:ascii="Times New Roman" w:hAnsi="Times New Roman" w:cs="Times New Roman"/>
          <w:sz w:val="24"/>
          <w:szCs w:val="24"/>
        </w:rPr>
        <w:t xml:space="preserve"> </w:t>
      </w:r>
      <w:r w:rsidR="0073640D" w:rsidRPr="00E66BDC">
        <w:rPr>
          <w:rFonts w:ascii="Times New Roman" w:hAnsi="Times New Roman" w:cs="Times New Roman"/>
          <w:sz w:val="24"/>
          <w:szCs w:val="24"/>
        </w:rPr>
        <w:t xml:space="preserve">los </w:t>
      </w:r>
      <w:r w:rsidR="00A97E8C" w:rsidRPr="00E66BDC">
        <w:rPr>
          <w:rFonts w:ascii="Times New Roman" w:hAnsi="Times New Roman" w:cs="Times New Roman"/>
          <w:sz w:val="24"/>
          <w:szCs w:val="24"/>
        </w:rPr>
        <w:t xml:space="preserve">altos </w:t>
      </w:r>
      <w:r w:rsidR="0073640D" w:rsidRPr="00E66BDC">
        <w:rPr>
          <w:rFonts w:ascii="Times New Roman" w:hAnsi="Times New Roman" w:cs="Times New Roman"/>
          <w:sz w:val="24"/>
          <w:szCs w:val="24"/>
        </w:rPr>
        <w:t xml:space="preserve">costos de atención, </w:t>
      </w:r>
      <w:r w:rsidR="002C4C37" w:rsidRPr="00E66BDC">
        <w:rPr>
          <w:rFonts w:ascii="Times New Roman" w:hAnsi="Times New Roman" w:cs="Times New Roman"/>
          <w:sz w:val="24"/>
          <w:szCs w:val="24"/>
        </w:rPr>
        <w:t xml:space="preserve">por lo que se </w:t>
      </w:r>
      <w:r w:rsidR="0073640D" w:rsidRPr="00E66BDC">
        <w:rPr>
          <w:rFonts w:ascii="Times New Roman" w:hAnsi="Times New Roman" w:cs="Times New Roman"/>
          <w:sz w:val="24"/>
          <w:szCs w:val="24"/>
        </w:rPr>
        <w:t xml:space="preserve">considera una de las mejores inversiones en materia de salud pública (Wang G. </w:t>
      </w:r>
      <w:r w:rsidR="00D01FFE" w:rsidRPr="00E66BDC">
        <w:rPr>
          <w:rFonts w:ascii="Times New Roman" w:hAnsi="Times New Roman" w:cs="Times New Roman"/>
          <w:sz w:val="24"/>
          <w:szCs w:val="24"/>
        </w:rPr>
        <w:t>y</w:t>
      </w:r>
      <w:r w:rsidR="0073640D" w:rsidRPr="00E66BDC">
        <w:rPr>
          <w:rFonts w:ascii="Times New Roman" w:hAnsi="Times New Roman" w:cs="Times New Roman"/>
          <w:sz w:val="24"/>
          <w:szCs w:val="24"/>
        </w:rPr>
        <w:t xml:space="preserve"> </w:t>
      </w:r>
      <w:proofErr w:type="spellStart"/>
      <w:r w:rsidR="0073640D" w:rsidRPr="00E66BDC">
        <w:rPr>
          <w:rFonts w:ascii="Times New Roman" w:hAnsi="Times New Roman" w:cs="Times New Roman"/>
          <w:sz w:val="24"/>
          <w:szCs w:val="24"/>
        </w:rPr>
        <w:t>Labarthe</w:t>
      </w:r>
      <w:proofErr w:type="spellEnd"/>
      <w:r w:rsidR="0073640D" w:rsidRPr="00E66BDC">
        <w:rPr>
          <w:rFonts w:ascii="Times New Roman" w:hAnsi="Times New Roman" w:cs="Times New Roman"/>
          <w:sz w:val="24"/>
          <w:szCs w:val="24"/>
        </w:rPr>
        <w:t xml:space="preserve"> D.</w:t>
      </w:r>
      <w:r w:rsidR="00146C48" w:rsidRPr="00E66BDC">
        <w:rPr>
          <w:rFonts w:ascii="Times New Roman" w:hAnsi="Times New Roman" w:cs="Times New Roman"/>
          <w:sz w:val="24"/>
          <w:szCs w:val="24"/>
        </w:rPr>
        <w:t>,</w:t>
      </w:r>
      <w:r w:rsidR="0073640D" w:rsidRPr="00E66BDC">
        <w:rPr>
          <w:rFonts w:ascii="Times New Roman" w:hAnsi="Times New Roman" w:cs="Times New Roman"/>
          <w:sz w:val="24"/>
          <w:szCs w:val="24"/>
        </w:rPr>
        <w:t xml:space="preserve"> 2011)</w:t>
      </w:r>
      <w:r w:rsidR="00D01FFE" w:rsidRPr="00E66BDC">
        <w:rPr>
          <w:rFonts w:ascii="Times New Roman" w:hAnsi="Times New Roman" w:cs="Times New Roman"/>
          <w:sz w:val="24"/>
          <w:szCs w:val="24"/>
        </w:rPr>
        <w:t>.</w:t>
      </w:r>
      <w:r w:rsidR="0073640D" w:rsidRPr="00E66BDC">
        <w:rPr>
          <w:rFonts w:ascii="Times New Roman" w:hAnsi="Times New Roman" w:cs="Times New Roman"/>
          <w:sz w:val="24"/>
          <w:szCs w:val="24"/>
        </w:rPr>
        <w:t xml:space="preserve"> </w:t>
      </w:r>
    </w:p>
    <w:p w:rsidR="00146C48" w:rsidRPr="00E66BDC" w:rsidRDefault="00146C48"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lang w:val="es-ES"/>
        </w:rPr>
        <w:t xml:space="preserve">La OMS recomienda una ingesta menor a 2 </w:t>
      </w:r>
      <w:r w:rsidR="00195E64" w:rsidRPr="00E66BDC">
        <w:rPr>
          <w:rFonts w:ascii="Times New Roman" w:hAnsi="Times New Roman" w:cs="Times New Roman"/>
          <w:sz w:val="24"/>
          <w:szCs w:val="24"/>
          <w:lang w:val="es-ES"/>
        </w:rPr>
        <w:t>gramos por día (</w:t>
      </w:r>
      <w:r w:rsidRPr="00E66BDC">
        <w:rPr>
          <w:rFonts w:ascii="Times New Roman" w:hAnsi="Times New Roman" w:cs="Times New Roman"/>
          <w:sz w:val="24"/>
          <w:szCs w:val="24"/>
          <w:lang w:val="es-ES"/>
        </w:rPr>
        <w:t>g/ d</w:t>
      </w:r>
      <w:r w:rsidR="00195E64" w:rsidRPr="00E66BDC">
        <w:rPr>
          <w:rFonts w:ascii="Times New Roman" w:hAnsi="Times New Roman" w:cs="Times New Roman"/>
          <w:sz w:val="24"/>
          <w:szCs w:val="24"/>
          <w:lang w:val="es-ES"/>
        </w:rPr>
        <w:t>)</w:t>
      </w:r>
      <w:r w:rsidRPr="00E66BDC">
        <w:rPr>
          <w:rFonts w:ascii="Times New Roman" w:hAnsi="Times New Roman" w:cs="Times New Roman"/>
          <w:sz w:val="24"/>
          <w:szCs w:val="24"/>
          <w:lang w:val="es-ES"/>
        </w:rPr>
        <w:t xml:space="preserve"> de sodio (5 g/ d</w:t>
      </w:r>
      <w:r w:rsidR="00195E64" w:rsidRPr="00E66BDC">
        <w:rPr>
          <w:rFonts w:ascii="Times New Roman" w:hAnsi="Times New Roman" w:cs="Times New Roman"/>
          <w:sz w:val="24"/>
          <w:szCs w:val="24"/>
          <w:lang w:val="es-ES"/>
        </w:rPr>
        <w:t xml:space="preserve"> de sal</w:t>
      </w:r>
      <w:r w:rsidRPr="00E66BDC">
        <w:rPr>
          <w:rFonts w:ascii="Times New Roman" w:hAnsi="Times New Roman" w:cs="Times New Roman"/>
          <w:sz w:val="24"/>
          <w:szCs w:val="24"/>
          <w:lang w:val="es-ES"/>
        </w:rPr>
        <w:t>) en adultos</w:t>
      </w:r>
      <w:r w:rsidR="002C4C37" w:rsidRPr="00E66BDC">
        <w:rPr>
          <w:rFonts w:ascii="Times New Roman" w:hAnsi="Times New Roman" w:cs="Times New Roman"/>
          <w:sz w:val="24"/>
          <w:szCs w:val="24"/>
          <w:lang w:val="es-ES"/>
        </w:rPr>
        <w:t>,</w:t>
      </w:r>
      <w:r w:rsidRPr="00E66BDC">
        <w:rPr>
          <w:rFonts w:ascii="Times New Roman" w:hAnsi="Times New Roman" w:cs="Times New Roman"/>
          <w:sz w:val="24"/>
          <w:szCs w:val="24"/>
          <w:lang w:val="es-ES"/>
        </w:rPr>
        <w:t xml:space="preserve"> como medida para reducir la PA, el RCV, los ACV y la cardiopatía coronaria </w:t>
      </w:r>
      <w:r w:rsidR="00EA5C5F" w:rsidRPr="00E66BDC">
        <w:rPr>
          <w:rFonts w:ascii="Times New Roman" w:hAnsi="Times New Roman" w:cs="Times New Roman"/>
          <w:sz w:val="24"/>
          <w:szCs w:val="24"/>
        </w:rPr>
        <w:t>(</w:t>
      </w:r>
      <w:r w:rsidR="000966CF" w:rsidRPr="00E66BDC">
        <w:rPr>
          <w:rFonts w:ascii="Times New Roman" w:hAnsi="Times New Roman" w:cs="Times New Roman"/>
          <w:sz w:val="24"/>
          <w:szCs w:val="24"/>
        </w:rPr>
        <w:t>O</w:t>
      </w:r>
      <w:r w:rsidR="00EA5C5F" w:rsidRPr="00E66BDC">
        <w:rPr>
          <w:rFonts w:ascii="Times New Roman" w:hAnsi="Times New Roman" w:cs="Times New Roman"/>
          <w:sz w:val="24"/>
          <w:szCs w:val="24"/>
        </w:rPr>
        <w:t>MS</w:t>
      </w:r>
      <w:r w:rsidR="000966CF" w:rsidRPr="00E66BDC">
        <w:rPr>
          <w:rFonts w:ascii="Times New Roman" w:hAnsi="Times New Roman" w:cs="Times New Roman"/>
          <w:sz w:val="24"/>
          <w:szCs w:val="24"/>
        </w:rPr>
        <w:t>,</w:t>
      </w:r>
      <w:r w:rsidRPr="00E66BDC">
        <w:rPr>
          <w:rFonts w:ascii="Times New Roman" w:hAnsi="Times New Roman" w:cs="Times New Roman"/>
          <w:sz w:val="24"/>
          <w:szCs w:val="24"/>
        </w:rPr>
        <w:t xml:space="preserve"> </w:t>
      </w:r>
      <w:r w:rsidR="000966CF" w:rsidRPr="00E66BDC">
        <w:rPr>
          <w:rFonts w:ascii="Times New Roman" w:hAnsi="Times New Roman" w:cs="Times New Roman"/>
          <w:sz w:val="24"/>
          <w:szCs w:val="24"/>
        </w:rPr>
        <w:t>2012</w:t>
      </w:r>
      <w:r w:rsidR="00FF11BD" w:rsidRPr="00E66BDC">
        <w:rPr>
          <w:rFonts w:ascii="Times New Roman" w:hAnsi="Times New Roman" w:cs="Times New Roman"/>
          <w:sz w:val="24"/>
          <w:szCs w:val="24"/>
        </w:rPr>
        <w:t xml:space="preserve"> </w:t>
      </w:r>
      <w:r w:rsidR="00D01FFE" w:rsidRPr="00E66BDC">
        <w:rPr>
          <w:rFonts w:ascii="Times New Roman" w:hAnsi="Times New Roman" w:cs="Times New Roman"/>
          <w:sz w:val="24"/>
          <w:szCs w:val="24"/>
        </w:rPr>
        <w:t>y</w:t>
      </w:r>
      <w:r w:rsidR="00FF11BD" w:rsidRPr="00E66BDC">
        <w:rPr>
          <w:rFonts w:ascii="Times New Roman" w:hAnsi="Times New Roman" w:cs="Times New Roman"/>
          <w:sz w:val="24"/>
          <w:szCs w:val="24"/>
        </w:rPr>
        <w:t xml:space="preserve"> 2013</w:t>
      </w:r>
      <w:r w:rsidRPr="00E66BDC">
        <w:rPr>
          <w:rFonts w:ascii="Times New Roman" w:hAnsi="Times New Roman" w:cs="Times New Roman"/>
          <w:sz w:val="24"/>
          <w:szCs w:val="24"/>
        </w:rPr>
        <w:t>).</w:t>
      </w:r>
    </w:p>
    <w:p w:rsidR="00A55B10" w:rsidRPr="00A55B10" w:rsidRDefault="00A55B10" w:rsidP="00E66BDC">
      <w:pPr>
        <w:spacing w:line="360" w:lineRule="auto"/>
        <w:jc w:val="both"/>
        <w:rPr>
          <w:rFonts w:ascii="Arial" w:hAnsi="Arial" w:cs="Arial"/>
          <w:sz w:val="24"/>
          <w:szCs w:val="24"/>
          <w:lang w:val="en-US"/>
        </w:rPr>
      </w:pPr>
      <w:r w:rsidRPr="00E66BDC">
        <w:rPr>
          <w:rFonts w:ascii="Times New Roman" w:hAnsi="Times New Roman" w:cs="Times New Roman"/>
          <w:sz w:val="24"/>
          <w:szCs w:val="24"/>
        </w:rPr>
        <w:t xml:space="preserve">La participación del sodio en la regulación de la PA ha facultado la política de salud que recomienda </w:t>
      </w:r>
      <w:r w:rsidR="00E22A34" w:rsidRPr="00E66BDC">
        <w:rPr>
          <w:rFonts w:ascii="Times New Roman" w:hAnsi="Times New Roman" w:cs="Times New Roman"/>
          <w:sz w:val="24"/>
          <w:szCs w:val="24"/>
        </w:rPr>
        <w:t>su</w:t>
      </w:r>
      <w:r w:rsidRPr="00E66BDC">
        <w:rPr>
          <w:rFonts w:ascii="Times New Roman" w:hAnsi="Times New Roman" w:cs="Times New Roman"/>
          <w:sz w:val="24"/>
          <w:szCs w:val="24"/>
        </w:rPr>
        <w:t xml:space="preserve"> restricción en la dieta, basad</w:t>
      </w:r>
      <w:r w:rsidR="00D01FFE" w:rsidRPr="00E66BDC">
        <w:rPr>
          <w:rFonts w:ascii="Times New Roman" w:hAnsi="Times New Roman" w:cs="Times New Roman"/>
          <w:sz w:val="24"/>
          <w:szCs w:val="24"/>
        </w:rPr>
        <w:t>a</w:t>
      </w:r>
      <w:r w:rsidRPr="00E66BDC">
        <w:rPr>
          <w:rFonts w:ascii="Times New Roman" w:hAnsi="Times New Roman" w:cs="Times New Roman"/>
          <w:sz w:val="24"/>
          <w:szCs w:val="24"/>
        </w:rPr>
        <w:t xml:space="preserve"> en la premisa de que con la disminución, o bien, el control de la PA, se reduciría el riesgo cardiovascular (RCV) (He, F</w:t>
      </w:r>
      <w:r w:rsidR="00D01FFE" w:rsidRPr="00E66BDC">
        <w:rPr>
          <w:rFonts w:ascii="Times New Roman" w:hAnsi="Times New Roman" w:cs="Times New Roman"/>
          <w:sz w:val="24"/>
          <w:szCs w:val="24"/>
        </w:rPr>
        <w:t>.</w:t>
      </w:r>
      <w:r w:rsidRPr="00E66BDC">
        <w:rPr>
          <w:rFonts w:ascii="Times New Roman" w:hAnsi="Times New Roman" w:cs="Times New Roman"/>
          <w:sz w:val="24"/>
          <w:szCs w:val="24"/>
        </w:rPr>
        <w:t>J</w:t>
      </w:r>
      <w:r w:rsidR="00D01FFE" w:rsidRPr="00E66BDC">
        <w:rPr>
          <w:rFonts w:ascii="Times New Roman" w:hAnsi="Times New Roman" w:cs="Times New Roman"/>
          <w:sz w:val="24"/>
          <w:szCs w:val="24"/>
        </w:rPr>
        <w:t>.</w:t>
      </w:r>
      <w:r w:rsidRPr="00E66BDC">
        <w:rPr>
          <w:rFonts w:ascii="Times New Roman" w:hAnsi="Times New Roman" w:cs="Times New Roman"/>
          <w:sz w:val="24"/>
          <w:szCs w:val="24"/>
        </w:rPr>
        <w:t xml:space="preserve"> et al., 2013)</w:t>
      </w:r>
      <w:r w:rsidR="00E22A34" w:rsidRPr="00E66BDC">
        <w:rPr>
          <w:rFonts w:ascii="Times New Roman" w:hAnsi="Times New Roman" w:cs="Times New Roman"/>
          <w:sz w:val="24"/>
          <w:szCs w:val="24"/>
        </w:rPr>
        <w:t>. Ver</w:t>
      </w:r>
      <w:r w:rsidRPr="00E66BDC">
        <w:rPr>
          <w:rFonts w:ascii="Times New Roman" w:hAnsi="Times New Roman" w:cs="Times New Roman"/>
          <w:sz w:val="24"/>
          <w:szCs w:val="24"/>
        </w:rPr>
        <w:t xml:space="preserve"> </w:t>
      </w:r>
      <w:r w:rsidR="00D01FFE" w:rsidRPr="00E66BDC">
        <w:rPr>
          <w:rFonts w:ascii="Times New Roman" w:hAnsi="Times New Roman" w:cs="Times New Roman"/>
          <w:sz w:val="24"/>
          <w:szCs w:val="24"/>
        </w:rPr>
        <w:t>t</w:t>
      </w:r>
      <w:r w:rsidRPr="00E66BDC">
        <w:rPr>
          <w:rFonts w:ascii="Times New Roman" w:hAnsi="Times New Roman" w:cs="Times New Roman"/>
          <w:sz w:val="24"/>
          <w:szCs w:val="24"/>
        </w:rPr>
        <w:t>abla 1</w:t>
      </w:r>
      <w:r w:rsidR="00D01FFE" w:rsidRPr="00E66BDC">
        <w:rPr>
          <w:rFonts w:ascii="Times New Roman" w:hAnsi="Times New Roman" w:cs="Times New Roman"/>
          <w:sz w:val="24"/>
          <w:szCs w:val="24"/>
        </w:rPr>
        <w:t>,</w:t>
      </w:r>
      <w:r w:rsidRPr="00E66BDC">
        <w:rPr>
          <w:rFonts w:ascii="Times New Roman" w:hAnsi="Times New Roman" w:cs="Times New Roman"/>
          <w:sz w:val="24"/>
          <w:szCs w:val="24"/>
        </w:rPr>
        <w:t xml:space="preserve"> sección A. A</w:t>
      </w:r>
      <w:r w:rsidR="00E22A34" w:rsidRPr="00E66BDC">
        <w:rPr>
          <w:rFonts w:ascii="Times New Roman" w:hAnsi="Times New Roman" w:cs="Times New Roman"/>
          <w:sz w:val="24"/>
          <w:szCs w:val="24"/>
        </w:rPr>
        <w:t>simismo s</w:t>
      </w:r>
      <w:proofErr w:type="spellStart"/>
      <w:r w:rsidRPr="00E66BDC">
        <w:rPr>
          <w:rFonts w:ascii="Times New Roman" w:hAnsi="Times New Roman" w:cs="Times New Roman"/>
          <w:sz w:val="24"/>
          <w:szCs w:val="24"/>
          <w:lang w:val="es-ES"/>
        </w:rPr>
        <w:t>e</w:t>
      </w:r>
      <w:proofErr w:type="spellEnd"/>
      <w:r w:rsidRPr="00E66BDC">
        <w:rPr>
          <w:rFonts w:ascii="Times New Roman" w:hAnsi="Times New Roman" w:cs="Times New Roman"/>
          <w:sz w:val="24"/>
          <w:szCs w:val="24"/>
          <w:lang w:val="es-ES"/>
        </w:rPr>
        <w:t xml:space="preserve"> ha planteado que la reducción de la ingesta de sal es una estrategia costo-efectiva sobre la carga de la enfermedad coronaria a largo plazo </w:t>
      </w:r>
      <w:r w:rsidRPr="00E66BDC">
        <w:rPr>
          <w:rFonts w:ascii="Times New Roman" w:hAnsi="Times New Roman" w:cs="Times New Roman"/>
          <w:sz w:val="24"/>
          <w:szCs w:val="24"/>
        </w:rPr>
        <w:t>(</w:t>
      </w:r>
      <w:proofErr w:type="spellStart"/>
      <w:r w:rsidRPr="00E66BDC">
        <w:rPr>
          <w:rFonts w:ascii="Times New Roman" w:hAnsi="Times New Roman" w:cs="Times New Roman"/>
          <w:sz w:val="24"/>
          <w:szCs w:val="24"/>
        </w:rPr>
        <w:t>Shoaibi</w:t>
      </w:r>
      <w:proofErr w:type="spellEnd"/>
      <w:r w:rsidRPr="00E66BDC">
        <w:rPr>
          <w:rFonts w:ascii="Times New Roman" w:hAnsi="Times New Roman" w:cs="Times New Roman"/>
          <w:sz w:val="24"/>
          <w:szCs w:val="24"/>
        </w:rPr>
        <w:t xml:space="preserve">, A., </w:t>
      </w:r>
      <w:proofErr w:type="spellStart"/>
      <w:r w:rsidRPr="00E66BDC">
        <w:rPr>
          <w:rFonts w:ascii="Times New Roman" w:hAnsi="Times New Roman" w:cs="Times New Roman"/>
          <w:sz w:val="24"/>
          <w:szCs w:val="24"/>
        </w:rPr>
        <w:t>Ghandour</w:t>
      </w:r>
      <w:proofErr w:type="spellEnd"/>
      <w:r w:rsidRPr="00E66BDC">
        <w:rPr>
          <w:rFonts w:ascii="Times New Roman" w:hAnsi="Times New Roman" w:cs="Times New Roman"/>
          <w:sz w:val="24"/>
          <w:szCs w:val="24"/>
        </w:rPr>
        <w:t xml:space="preserve">, R., </w:t>
      </w:r>
      <w:proofErr w:type="spellStart"/>
      <w:r w:rsidRPr="00E66BDC">
        <w:rPr>
          <w:rFonts w:ascii="Times New Roman" w:hAnsi="Times New Roman" w:cs="Times New Roman"/>
          <w:sz w:val="24"/>
          <w:szCs w:val="24"/>
        </w:rPr>
        <w:t>Khatib</w:t>
      </w:r>
      <w:proofErr w:type="spellEnd"/>
      <w:r w:rsidRPr="00E66BDC">
        <w:rPr>
          <w:rFonts w:ascii="Times New Roman" w:hAnsi="Times New Roman" w:cs="Times New Roman"/>
          <w:sz w:val="24"/>
          <w:szCs w:val="24"/>
        </w:rPr>
        <w:t>, R. et. al., 2013)</w:t>
      </w:r>
      <w:r w:rsidR="00E22A34" w:rsidRPr="00E66BDC">
        <w:rPr>
          <w:rFonts w:ascii="Times New Roman" w:hAnsi="Times New Roman" w:cs="Times New Roman"/>
          <w:sz w:val="24"/>
          <w:szCs w:val="24"/>
        </w:rPr>
        <w:t xml:space="preserve"> que </w:t>
      </w:r>
      <w:proofErr w:type="spellStart"/>
      <w:r w:rsidRPr="00E66BDC">
        <w:rPr>
          <w:rFonts w:ascii="Times New Roman" w:hAnsi="Times New Roman" w:cs="Times New Roman"/>
          <w:sz w:val="24"/>
          <w:szCs w:val="24"/>
        </w:rPr>
        <w:t>dis</w:t>
      </w:r>
      <w:r w:rsidRPr="00E66BDC">
        <w:rPr>
          <w:rFonts w:ascii="Times New Roman" w:hAnsi="Times New Roman" w:cs="Times New Roman"/>
          <w:sz w:val="24"/>
          <w:szCs w:val="24"/>
          <w:lang w:val="es-ES"/>
        </w:rPr>
        <w:t>minuye</w:t>
      </w:r>
      <w:proofErr w:type="spellEnd"/>
      <w:r w:rsidRPr="00E66BDC">
        <w:rPr>
          <w:rFonts w:ascii="Times New Roman" w:hAnsi="Times New Roman" w:cs="Times New Roman"/>
          <w:sz w:val="24"/>
          <w:szCs w:val="24"/>
        </w:rPr>
        <w:t xml:space="preserve"> los altos costos de atención, por lo que se considera una de las mejores inversiones en materia de salud pública </w:t>
      </w:r>
      <w:r w:rsidRPr="00E66BDC">
        <w:rPr>
          <w:rFonts w:ascii="Times New Roman" w:hAnsi="Times New Roman" w:cs="Times New Roman"/>
          <w:sz w:val="24"/>
          <w:szCs w:val="24"/>
          <w:lang w:val="en-US"/>
        </w:rPr>
        <w:t xml:space="preserve">(Wang, G. </w:t>
      </w:r>
      <w:r w:rsidR="00D01FFE" w:rsidRPr="00E66BDC">
        <w:rPr>
          <w:rFonts w:ascii="Times New Roman" w:hAnsi="Times New Roman" w:cs="Times New Roman"/>
          <w:sz w:val="24"/>
          <w:szCs w:val="24"/>
          <w:lang w:val="en-US"/>
        </w:rPr>
        <w:t>y</w:t>
      </w:r>
      <w:r w:rsidRPr="00E66BDC">
        <w:rPr>
          <w:rFonts w:ascii="Times New Roman" w:hAnsi="Times New Roman" w:cs="Times New Roman"/>
          <w:sz w:val="24"/>
          <w:szCs w:val="24"/>
          <w:lang w:val="en-US"/>
        </w:rPr>
        <w:t xml:space="preserve"> </w:t>
      </w:r>
      <w:proofErr w:type="spellStart"/>
      <w:r w:rsidRPr="00E66BDC">
        <w:rPr>
          <w:rFonts w:ascii="Times New Roman" w:hAnsi="Times New Roman" w:cs="Times New Roman"/>
          <w:sz w:val="24"/>
          <w:szCs w:val="24"/>
          <w:lang w:val="en-US"/>
        </w:rPr>
        <w:t>Labarthe</w:t>
      </w:r>
      <w:proofErr w:type="spellEnd"/>
      <w:r w:rsidRPr="00E66BDC">
        <w:rPr>
          <w:rFonts w:ascii="Times New Roman" w:hAnsi="Times New Roman" w:cs="Times New Roman"/>
          <w:sz w:val="24"/>
          <w:szCs w:val="24"/>
          <w:lang w:val="en-US"/>
        </w:rPr>
        <w:t xml:space="preserve">, D., 2011) (S. B., Reilly, C. M. </w:t>
      </w:r>
      <w:r w:rsidR="00D01FFE" w:rsidRPr="00E66BDC">
        <w:rPr>
          <w:rFonts w:ascii="Times New Roman" w:hAnsi="Times New Roman" w:cs="Times New Roman"/>
          <w:sz w:val="24"/>
          <w:szCs w:val="24"/>
          <w:lang w:val="en-US"/>
        </w:rPr>
        <w:t>y</w:t>
      </w:r>
      <w:r w:rsidRPr="00E66BDC">
        <w:rPr>
          <w:rFonts w:ascii="Times New Roman" w:hAnsi="Times New Roman" w:cs="Times New Roman"/>
          <w:sz w:val="24"/>
          <w:szCs w:val="24"/>
          <w:lang w:val="en-US"/>
        </w:rPr>
        <w:t xml:space="preserve"> Sands, J. M. et. al. 2012).</w:t>
      </w:r>
      <w:r w:rsidRPr="00A55B10">
        <w:rPr>
          <w:rFonts w:ascii="Arial" w:hAnsi="Arial" w:cs="Arial"/>
          <w:sz w:val="24"/>
          <w:szCs w:val="24"/>
          <w:lang w:val="en-US"/>
        </w:rPr>
        <w:t xml:space="preserve"> </w:t>
      </w:r>
    </w:p>
    <w:p w:rsidR="00A55B10" w:rsidRPr="00A55B10" w:rsidRDefault="00A55B10" w:rsidP="00146C48">
      <w:pPr>
        <w:spacing w:line="480" w:lineRule="auto"/>
        <w:jc w:val="both"/>
        <w:rPr>
          <w:rFonts w:ascii="Arial" w:hAnsi="Arial" w:cs="Arial"/>
          <w:sz w:val="24"/>
          <w:szCs w:val="24"/>
          <w:lang w:val="en-US"/>
        </w:rPr>
      </w:pPr>
    </w:p>
    <w:p w:rsidR="00A55B10" w:rsidRDefault="00A55B10" w:rsidP="00195E64">
      <w:pPr>
        <w:spacing w:after="0" w:line="480" w:lineRule="auto"/>
        <w:jc w:val="center"/>
        <w:rPr>
          <w:rFonts w:ascii="Arial" w:hAnsi="Arial" w:cs="Arial"/>
          <w:b/>
          <w:sz w:val="20"/>
          <w:szCs w:val="24"/>
        </w:rPr>
        <w:sectPr w:rsidR="00A55B10" w:rsidSect="00F34A85">
          <w:headerReference w:type="default" r:id="rId15"/>
          <w:footerReference w:type="default" r:id="rId16"/>
          <w:type w:val="continuous"/>
          <w:pgSz w:w="12240" w:h="15840"/>
          <w:pgMar w:top="1374" w:right="1418" w:bottom="1418" w:left="1418" w:header="708" w:footer="708" w:gutter="0"/>
          <w:cols w:space="708"/>
          <w:docGrid w:linePitch="360"/>
        </w:sectPr>
      </w:pPr>
    </w:p>
    <w:p w:rsidR="006B471D" w:rsidRPr="00195E64" w:rsidRDefault="00195E64" w:rsidP="00195E64">
      <w:pPr>
        <w:spacing w:after="0" w:line="480" w:lineRule="auto"/>
        <w:jc w:val="center"/>
        <w:rPr>
          <w:rFonts w:ascii="Arial" w:hAnsi="Arial" w:cs="Arial"/>
          <w:b/>
          <w:sz w:val="20"/>
          <w:szCs w:val="24"/>
        </w:rPr>
      </w:pPr>
      <w:r w:rsidRPr="00195E64">
        <w:rPr>
          <w:rFonts w:ascii="Arial" w:hAnsi="Arial" w:cs="Arial"/>
          <w:b/>
          <w:sz w:val="20"/>
          <w:szCs w:val="24"/>
        </w:rPr>
        <w:lastRenderedPageBreak/>
        <w:t>Tabla</w:t>
      </w:r>
      <w:r w:rsidR="00BA5AE4" w:rsidRPr="00195E64">
        <w:rPr>
          <w:rFonts w:ascii="Arial" w:hAnsi="Arial" w:cs="Arial"/>
          <w:b/>
          <w:sz w:val="20"/>
          <w:szCs w:val="24"/>
        </w:rPr>
        <w:t xml:space="preserve"> 1</w:t>
      </w:r>
      <w:r w:rsidR="006B471D" w:rsidRPr="00195E64">
        <w:rPr>
          <w:rFonts w:ascii="Arial" w:hAnsi="Arial" w:cs="Arial"/>
          <w:b/>
          <w:sz w:val="20"/>
          <w:szCs w:val="24"/>
        </w:rPr>
        <w:t>. Estudios sobre sodio y salud cardiovascular</w:t>
      </w:r>
    </w:p>
    <w:tbl>
      <w:tblPr>
        <w:tblW w:w="1286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4A0" w:firstRow="1" w:lastRow="0" w:firstColumn="1" w:lastColumn="0" w:noHBand="0" w:noVBand="1"/>
      </w:tblPr>
      <w:tblGrid>
        <w:gridCol w:w="3038"/>
        <w:gridCol w:w="2740"/>
        <w:gridCol w:w="4017"/>
        <w:gridCol w:w="3071"/>
      </w:tblGrid>
      <w:tr w:rsidR="00495E7A" w:rsidRPr="007C3A91" w:rsidTr="00FF11CC">
        <w:tc>
          <w:tcPr>
            <w:tcW w:w="3038" w:type="dxa"/>
            <w:tcBorders>
              <w:top w:val="single" w:sz="8" w:space="0" w:color="8064A2"/>
              <w:left w:val="single" w:sz="8" w:space="0" w:color="8064A2"/>
              <w:bottom w:val="single" w:sz="18" w:space="0" w:color="8064A2"/>
              <w:right w:val="single" w:sz="8" w:space="0" w:color="8064A2"/>
            </w:tcBorders>
            <w:shd w:val="clear" w:color="auto" w:fill="auto"/>
          </w:tcPr>
          <w:p w:rsidR="00495E7A" w:rsidRPr="007C3A91" w:rsidRDefault="00495E7A" w:rsidP="00FF11CC">
            <w:pPr>
              <w:spacing w:after="0" w:line="360" w:lineRule="auto"/>
              <w:jc w:val="center"/>
              <w:rPr>
                <w:rFonts w:ascii="Arial" w:eastAsia="MS Gothic" w:hAnsi="Arial" w:cs="Arial"/>
                <w:b/>
                <w:bCs/>
                <w:sz w:val="20"/>
                <w:szCs w:val="20"/>
              </w:rPr>
            </w:pPr>
            <w:r w:rsidRPr="007C3A91">
              <w:rPr>
                <w:rFonts w:ascii="Arial" w:eastAsia="MS Gothic" w:hAnsi="Arial" w:cs="Arial"/>
                <w:b/>
                <w:bCs/>
                <w:sz w:val="20"/>
                <w:szCs w:val="20"/>
              </w:rPr>
              <w:t>Modelo</w:t>
            </w:r>
          </w:p>
        </w:tc>
        <w:tc>
          <w:tcPr>
            <w:tcW w:w="2740" w:type="dxa"/>
            <w:tcBorders>
              <w:top w:val="single" w:sz="8" w:space="0" w:color="8064A2"/>
              <w:left w:val="single" w:sz="8" w:space="0" w:color="8064A2"/>
              <w:bottom w:val="single" w:sz="18" w:space="0" w:color="8064A2"/>
              <w:right w:val="single" w:sz="8" w:space="0" w:color="8064A2"/>
            </w:tcBorders>
            <w:shd w:val="clear" w:color="auto" w:fill="auto"/>
          </w:tcPr>
          <w:p w:rsidR="00495E7A" w:rsidRPr="007C3A91" w:rsidRDefault="00495E7A" w:rsidP="00FF11CC">
            <w:pPr>
              <w:spacing w:after="0" w:line="360" w:lineRule="auto"/>
              <w:jc w:val="center"/>
              <w:rPr>
                <w:rFonts w:ascii="Arial" w:eastAsia="MS Gothic" w:hAnsi="Arial" w:cs="Arial"/>
                <w:b/>
                <w:bCs/>
                <w:sz w:val="20"/>
                <w:szCs w:val="20"/>
              </w:rPr>
            </w:pPr>
            <w:r w:rsidRPr="007C3A91">
              <w:rPr>
                <w:rFonts w:ascii="Arial" w:eastAsia="MS Gothic" w:hAnsi="Arial" w:cs="Arial"/>
                <w:b/>
                <w:bCs/>
                <w:sz w:val="20"/>
                <w:szCs w:val="20"/>
              </w:rPr>
              <w:t>Sodio</w:t>
            </w:r>
          </w:p>
        </w:tc>
        <w:tc>
          <w:tcPr>
            <w:tcW w:w="4017" w:type="dxa"/>
            <w:tcBorders>
              <w:top w:val="single" w:sz="8" w:space="0" w:color="8064A2"/>
              <w:left w:val="single" w:sz="8" w:space="0" w:color="8064A2"/>
              <w:bottom w:val="single" w:sz="18" w:space="0" w:color="8064A2"/>
              <w:right w:val="single" w:sz="8" w:space="0" w:color="8064A2"/>
            </w:tcBorders>
            <w:shd w:val="clear" w:color="auto" w:fill="auto"/>
          </w:tcPr>
          <w:p w:rsidR="00495E7A" w:rsidRPr="007C3A91" w:rsidRDefault="00495E7A" w:rsidP="00FF11CC">
            <w:pPr>
              <w:spacing w:after="0" w:line="360" w:lineRule="auto"/>
              <w:jc w:val="center"/>
              <w:rPr>
                <w:rFonts w:ascii="Arial" w:eastAsia="MS Gothic" w:hAnsi="Arial" w:cs="Arial"/>
                <w:b/>
                <w:bCs/>
                <w:sz w:val="20"/>
                <w:szCs w:val="20"/>
              </w:rPr>
            </w:pPr>
            <w:r w:rsidRPr="007C3A91">
              <w:rPr>
                <w:rFonts w:ascii="Arial" w:eastAsia="MS Gothic" w:hAnsi="Arial" w:cs="Arial"/>
                <w:b/>
                <w:bCs/>
                <w:sz w:val="20"/>
                <w:szCs w:val="20"/>
              </w:rPr>
              <w:t>Resultados</w:t>
            </w:r>
          </w:p>
        </w:tc>
        <w:tc>
          <w:tcPr>
            <w:tcW w:w="3071" w:type="dxa"/>
            <w:tcBorders>
              <w:top w:val="single" w:sz="8" w:space="0" w:color="8064A2"/>
              <w:left w:val="single" w:sz="8" w:space="0" w:color="8064A2"/>
              <w:bottom w:val="single" w:sz="18" w:space="0" w:color="8064A2"/>
              <w:right w:val="single" w:sz="8" w:space="0" w:color="8064A2"/>
            </w:tcBorders>
            <w:shd w:val="clear" w:color="auto" w:fill="auto"/>
          </w:tcPr>
          <w:p w:rsidR="00495E7A" w:rsidRPr="007C3A91" w:rsidRDefault="00495E7A" w:rsidP="00FF11CC">
            <w:pPr>
              <w:spacing w:after="0" w:line="360" w:lineRule="auto"/>
              <w:jc w:val="center"/>
              <w:rPr>
                <w:rFonts w:ascii="Arial" w:eastAsia="MS Gothic" w:hAnsi="Arial" w:cs="Arial"/>
                <w:b/>
                <w:bCs/>
                <w:sz w:val="20"/>
                <w:szCs w:val="20"/>
              </w:rPr>
            </w:pPr>
            <w:r w:rsidRPr="007C3A91">
              <w:rPr>
                <w:rFonts w:ascii="Arial" w:eastAsia="MS Gothic" w:hAnsi="Arial" w:cs="Arial"/>
                <w:b/>
                <w:bCs/>
                <w:sz w:val="20"/>
                <w:szCs w:val="20"/>
              </w:rPr>
              <w:t>Fuente</w:t>
            </w:r>
          </w:p>
        </w:tc>
      </w:tr>
      <w:tr w:rsidR="00495E7A" w:rsidRPr="007C3A91" w:rsidTr="00FF11CC">
        <w:tc>
          <w:tcPr>
            <w:tcW w:w="12866" w:type="dxa"/>
            <w:gridSpan w:val="4"/>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360" w:lineRule="auto"/>
              <w:jc w:val="center"/>
              <w:rPr>
                <w:rFonts w:ascii="Arial" w:eastAsia="MS Gothic" w:hAnsi="Arial" w:cs="Arial"/>
                <w:b/>
                <w:bCs/>
                <w:sz w:val="20"/>
                <w:szCs w:val="20"/>
              </w:rPr>
            </w:pPr>
            <w:r w:rsidRPr="007C3A91">
              <w:rPr>
                <w:rFonts w:ascii="Arial" w:eastAsia="MS Gothic" w:hAnsi="Arial" w:cs="Arial"/>
                <w:b/>
                <w:bCs/>
                <w:sz w:val="20"/>
                <w:szCs w:val="20"/>
              </w:rPr>
              <w:t xml:space="preserve">Evidencia a favor de la disminución de </w:t>
            </w:r>
            <w:proofErr w:type="spellStart"/>
            <w:r w:rsidRPr="007C3A91">
              <w:rPr>
                <w:rFonts w:ascii="Arial" w:eastAsia="MS Gothic" w:hAnsi="Arial" w:cs="Arial"/>
                <w:b/>
                <w:bCs/>
                <w:sz w:val="20"/>
                <w:szCs w:val="20"/>
              </w:rPr>
              <w:t>Na</w:t>
            </w:r>
            <w:proofErr w:type="spellEnd"/>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auto"/>
          </w:tcPr>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Humanos (n=10079)</w:t>
            </w:r>
          </w:p>
          <w:p w:rsidR="00495E7A" w:rsidRPr="008A79FC" w:rsidRDefault="00495E7A" w:rsidP="00FF11CC">
            <w:pPr>
              <w:spacing w:after="0" w:line="240" w:lineRule="auto"/>
              <w:jc w:val="both"/>
              <w:rPr>
                <w:rFonts w:ascii="Arial" w:eastAsia="MS Gothic" w:hAnsi="Arial" w:cs="Arial"/>
                <w:bCs/>
                <w:sz w:val="20"/>
                <w:szCs w:val="20"/>
              </w:rPr>
            </w:pPr>
            <w:proofErr w:type="spellStart"/>
            <w:r w:rsidRPr="008A79FC">
              <w:rPr>
                <w:rFonts w:ascii="Arial" w:eastAsia="MS Gothic" w:hAnsi="Arial" w:cs="Arial"/>
                <w:bCs/>
                <w:sz w:val="20"/>
                <w:szCs w:val="20"/>
              </w:rPr>
              <w:t>multicéntrico</w:t>
            </w:r>
            <w:proofErr w:type="spellEnd"/>
            <w:r w:rsidRPr="008A79FC">
              <w:rPr>
                <w:rFonts w:ascii="Arial" w:eastAsia="MS Gothic" w:hAnsi="Arial" w:cs="Arial"/>
                <w:bCs/>
                <w:sz w:val="20"/>
                <w:szCs w:val="20"/>
              </w:rPr>
              <w:t xml:space="preserve"> (52) </w:t>
            </w:r>
          </w:p>
        </w:tc>
        <w:tc>
          <w:tcPr>
            <w:tcW w:w="2740"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En 42 centros incremento de </w:t>
            </w:r>
            <w:proofErr w:type="spellStart"/>
            <w:r w:rsidRPr="007C3A91">
              <w:rPr>
                <w:rFonts w:ascii="Arial" w:hAnsi="Arial" w:cs="Arial"/>
                <w:sz w:val="20"/>
                <w:szCs w:val="20"/>
              </w:rPr>
              <w:t>Na</w:t>
            </w:r>
            <w:proofErr w:type="spellEnd"/>
            <w:r>
              <w:rPr>
                <w:rFonts w:ascii="Arial" w:hAnsi="Arial" w:cs="Arial"/>
                <w:sz w:val="20"/>
                <w:szCs w:val="20"/>
              </w:rPr>
              <w:t>.</w:t>
            </w:r>
            <w:r w:rsidRPr="007C3A91">
              <w:rPr>
                <w:rFonts w:ascii="Arial" w:hAnsi="Arial" w:cs="Arial"/>
                <w:sz w:val="20"/>
                <w:szCs w:val="20"/>
              </w:rPr>
              <w:t xml:space="preserve"> </w:t>
            </w:r>
          </w:p>
        </w:tc>
        <w:tc>
          <w:tcPr>
            <w:tcW w:w="4017"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tabs>
                <w:tab w:val="left" w:pos="276"/>
              </w:tabs>
              <w:spacing w:after="0" w:line="240" w:lineRule="auto"/>
              <w:jc w:val="both"/>
              <w:rPr>
                <w:rFonts w:ascii="Arial" w:hAnsi="Arial" w:cs="Arial"/>
                <w:sz w:val="20"/>
                <w:szCs w:val="20"/>
              </w:rPr>
            </w:pPr>
            <w:r w:rsidRPr="007C3A91">
              <w:rPr>
                <w:rFonts w:ascii="Arial" w:hAnsi="Arial" w:cs="Arial"/>
                <w:sz w:val="20"/>
                <w:szCs w:val="20"/>
              </w:rPr>
              <w:t>Asociado a</w:t>
            </w:r>
            <w:r w:rsidRPr="007C3A91">
              <w:rPr>
                <w:rFonts w:ascii="Arial" w:hAnsi="Arial" w:cs="Arial"/>
                <w:b/>
                <w:sz w:val="20"/>
                <w:szCs w:val="20"/>
              </w:rPr>
              <w:t xml:space="preserve"> </w:t>
            </w:r>
            <w:r w:rsidRPr="007C3A91">
              <w:rPr>
                <w:rFonts w:ascii="Arial" w:hAnsi="Arial" w:cs="Arial"/>
                <w:sz w:val="20"/>
                <w:szCs w:val="20"/>
              </w:rPr>
              <w:t>incremento de la PA con la edad, pero no a la PA media o a la prevalencia de HAS.</w:t>
            </w:r>
          </w:p>
        </w:tc>
        <w:tc>
          <w:tcPr>
            <w:tcW w:w="3071"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360" w:lineRule="auto"/>
              <w:jc w:val="both"/>
              <w:rPr>
                <w:rFonts w:ascii="Arial" w:hAnsi="Arial" w:cs="Arial"/>
                <w:sz w:val="20"/>
                <w:szCs w:val="20"/>
                <w:lang w:val="en-US"/>
              </w:rPr>
            </w:pPr>
            <w:r w:rsidRPr="007C3A91">
              <w:rPr>
                <w:rFonts w:ascii="Arial" w:hAnsi="Arial" w:cs="Arial"/>
                <w:sz w:val="20"/>
                <w:szCs w:val="20"/>
                <w:lang w:val="en-US"/>
              </w:rPr>
              <w:t>INTERSALT (1988)</w:t>
            </w:r>
          </w:p>
        </w:tc>
      </w:tr>
      <w:tr w:rsidR="00495E7A" w:rsidRPr="007C3A91" w:rsidTr="00FF11CC">
        <w:trPr>
          <w:trHeight w:val="749"/>
        </w:trPr>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Pr="008A79FC" w:rsidRDefault="00495E7A" w:rsidP="00E63308">
            <w:pPr>
              <w:spacing w:after="0" w:line="240" w:lineRule="auto"/>
              <w:jc w:val="both"/>
              <w:rPr>
                <w:rFonts w:ascii="Arial" w:eastAsia="MS Gothic" w:hAnsi="Arial" w:cs="Arial"/>
                <w:bCs/>
                <w:sz w:val="20"/>
                <w:szCs w:val="20"/>
              </w:rPr>
            </w:pPr>
            <w:r w:rsidRPr="008A79FC">
              <w:rPr>
                <w:rFonts w:ascii="Arial" w:eastAsia="MS Gothic" w:hAnsi="Arial" w:cs="Arial"/>
                <w:bCs/>
                <w:sz w:val="20"/>
                <w:szCs w:val="20"/>
                <w:lang w:val="es-ES"/>
              </w:rPr>
              <w:t>Chimpancés (98</w:t>
            </w:r>
            <w:r w:rsidR="00E63308">
              <w:rPr>
                <w:rFonts w:ascii="Arial" w:eastAsia="MS Gothic" w:hAnsi="Arial" w:cs="Arial"/>
                <w:bCs/>
                <w:sz w:val="20"/>
                <w:szCs w:val="20"/>
                <w:lang w:val="es-ES"/>
              </w:rPr>
              <w:t>.</w:t>
            </w:r>
            <w:r w:rsidRPr="008A79FC">
              <w:rPr>
                <w:rFonts w:ascii="Arial" w:eastAsia="MS Gothic" w:hAnsi="Arial" w:cs="Arial"/>
                <w:bCs/>
                <w:sz w:val="20"/>
                <w:szCs w:val="20"/>
                <w:lang w:val="es-ES"/>
              </w:rPr>
              <w:t>8</w:t>
            </w:r>
            <w:r w:rsidR="00E63308">
              <w:rPr>
                <w:rFonts w:ascii="Arial" w:eastAsia="MS Gothic" w:hAnsi="Arial" w:cs="Arial"/>
                <w:bCs/>
                <w:sz w:val="20"/>
                <w:szCs w:val="20"/>
                <w:lang w:val="es-ES"/>
              </w:rPr>
              <w:t xml:space="preserve"> </w:t>
            </w:r>
            <w:r w:rsidRPr="008A79FC">
              <w:rPr>
                <w:rFonts w:ascii="Arial" w:eastAsia="MS Gothic" w:hAnsi="Arial" w:cs="Arial"/>
                <w:bCs/>
                <w:sz w:val="20"/>
                <w:szCs w:val="20"/>
                <w:lang w:val="es-ES"/>
              </w:rPr>
              <w:t>% de homología genética con el hombre)</w:t>
            </w: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 xml:space="preserve">Aumento gradual consumo de sal </w:t>
            </w:r>
            <w:r w:rsidR="00E63308">
              <w:rPr>
                <w:rFonts w:ascii="Arial" w:hAnsi="Arial" w:cs="Arial"/>
                <w:sz w:val="20"/>
                <w:szCs w:val="20"/>
                <w:lang w:val="es-ES"/>
              </w:rPr>
              <w:t xml:space="preserve"> </w:t>
            </w:r>
            <w:r w:rsidRPr="007C3A91">
              <w:rPr>
                <w:rFonts w:ascii="Arial" w:hAnsi="Arial" w:cs="Arial"/>
                <w:sz w:val="20"/>
                <w:szCs w:val="20"/>
                <w:lang w:val="es-ES"/>
              </w:rPr>
              <w:t xml:space="preserve">0.5 g/ d  (200 mg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w:t>
            </w:r>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Aumento progresivo de la PA</w:t>
            </w:r>
          </w:p>
        </w:tc>
        <w:tc>
          <w:tcPr>
            <w:tcW w:w="3071"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E63308">
            <w:pPr>
              <w:spacing w:after="0" w:line="360" w:lineRule="auto"/>
              <w:jc w:val="both"/>
              <w:rPr>
                <w:rFonts w:ascii="Arial" w:hAnsi="Arial" w:cs="Arial"/>
                <w:sz w:val="20"/>
                <w:szCs w:val="20"/>
              </w:rPr>
            </w:pPr>
            <w:r w:rsidRPr="007C3A91">
              <w:rPr>
                <w:rFonts w:ascii="Arial" w:hAnsi="Arial" w:cs="Arial"/>
                <w:sz w:val="20"/>
                <w:szCs w:val="20"/>
              </w:rPr>
              <w:t>Denton D</w:t>
            </w:r>
            <w:r w:rsidR="00E63308">
              <w:rPr>
                <w:rFonts w:ascii="Arial" w:hAnsi="Arial" w:cs="Arial"/>
                <w:sz w:val="20"/>
                <w:szCs w:val="20"/>
              </w:rPr>
              <w:t>.</w:t>
            </w:r>
            <w:r w:rsidRPr="007C3A91">
              <w:rPr>
                <w:rFonts w:ascii="Arial" w:hAnsi="Arial" w:cs="Arial"/>
                <w:sz w:val="20"/>
                <w:szCs w:val="20"/>
              </w:rPr>
              <w:t xml:space="preserve"> et al. (1995)</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auto"/>
          </w:tcPr>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Humanos (n=10074)</w:t>
            </w:r>
          </w:p>
        </w:tc>
        <w:tc>
          <w:tcPr>
            <w:tcW w:w="2740"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Excreción &gt;100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/d</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(2300 mg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w:t>
            </w:r>
          </w:p>
        </w:tc>
        <w:tc>
          <w:tcPr>
            <w:tcW w:w="4017"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En mediana edad 55 vs 25 años, incremento de PA de 10-11/6 </w:t>
            </w:r>
            <w:proofErr w:type="spellStart"/>
            <w:r w:rsidRPr="007C3A91">
              <w:rPr>
                <w:rFonts w:ascii="Arial" w:hAnsi="Arial" w:cs="Arial"/>
                <w:sz w:val="20"/>
                <w:szCs w:val="20"/>
                <w:lang w:val="es-ES"/>
              </w:rPr>
              <w:t>mmHg</w:t>
            </w:r>
            <w:proofErr w:type="spellEnd"/>
          </w:p>
        </w:tc>
        <w:tc>
          <w:tcPr>
            <w:tcW w:w="3071"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E63308">
            <w:pPr>
              <w:spacing w:after="0" w:line="360" w:lineRule="auto"/>
              <w:jc w:val="both"/>
              <w:rPr>
                <w:rFonts w:ascii="Arial" w:hAnsi="Arial" w:cs="Arial"/>
                <w:sz w:val="20"/>
                <w:szCs w:val="20"/>
                <w:lang w:val="en-US"/>
              </w:rPr>
            </w:pPr>
            <w:r w:rsidRPr="007C3A91">
              <w:rPr>
                <w:rFonts w:ascii="Arial" w:hAnsi="Arial" w:cs="Arial"/>
                <w:sz w:val="20"/>
                <w:szCs w:val="20"/>
                <w:lang w:val="en-US"/>
              </w:rPr>
              <w:t>Elliot P</w:t>
            </w:r>
            <w:r w:rsidR="00E63308">
              <w:rPr>
                <w:rFonts w:ascii="Arial" w:hAnsi="Arial" w:cs="Arial"/>
                <w:sz w:val="20"/>
                <w:szCs w:val="20"/>
                <w:lang w:val="en-US"/>
              </w:rPr>
              <w:t>.</w:t>
            </w:r>
            <w:r w:rsidRPr="007C3A91">
              <w:rPr>
                <w:rFonts w:ascii="Arial" w:hAnsi="Arial" w:cs="Arial"/>
                <w:sz w:val="20"/>
                <w:szCs w:val="20"/>
                <w:lang w:val="en-US"/>
              </w:rPr>
              <w:t xml:space="preserve"> et al. (1996)</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 xml:space="preserve">Meta-análisis </w:t>
            </w:r>
            <w:r w:rsidR="00E63308">
              <w:rPr>
                <w:rFonts w:ascii="Arial" w:eastAsia="MS Gothic" w:hAnsi="Arial" w:cs="Arial"/>
                <w:bCs/>
                <w:sz w:val="20"/>
                <w:szCs w:val="20"/>
                <w:lang w:val="es-ES"/>
              </w:rPr>
              <w:t>h</w:t>
            </w:r>
            <w:r w:rsidRPr="008A79FC">
              <w:rPr>
                <w:rFonts w:ascii="Arial" w:eastAsia="MS Gothic" w:hAnsi="Arial" w:cs="Arial"/>
                <w:bCs/>
                <w:sz w:val="20"/>
                <w:szCs w:val="20"/>
                <w:lang w:val="es-ES"/>
              </w:rPr>
              <w:t>umanos</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17 ensayos (n=734 HAS)</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seguimiento por 3 semanas</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11 ensayos (n=220 normo tensos)</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seguimiento por 4 semanas</w:t>
            </w: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Mediana de reducción: </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78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/d</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(4.6 g de sal)</w:t>
            </w: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74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/d</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(4.4 g de sal) </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Ingesta de 3 g sal (1200 mg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w:t>
            </w:r>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&lt; 5 </w:t>
            </w:r>
            <w:proofErr w:type="spellStart"/>
            <w:r w:rsidRPr="007C3A91">
              <w:rPr>
                <w:rFonts w:ascii="Arial" w:hAnsi="Arial" w:cs="Arial"/>
                <w:sz w:val="20"/>
                <w:szCs w:val="20"/>
                <w:lang w:val="es-ES"/>
              </w:rPr>
              <w:t>mmHg</w:t>
            </w:r>
            <w:proofErr w:type="spellEnd"/>
            <w:r w:rsidRPr="007C3A91">
              <w:rPr>
                <w:rFonts w:ascii="Arial" w:hAnsi="Arial" w:cs="Arial"/>
                <w:sz w:val="20"/>
                <w:szCs w:val="20"/>
                <w:lang w:val="es-ES"/>
              </w:rPr>
              <w:t xml:space="preserve"> PAS</w:t>
            </w:r>
            <w:r>
              <w:rPr>
                <w:rFonts w:ascii="Arial" w:hAnsi="Arial" w:cs="Arial"/>
                <w:sz w:val="20"/>
                <w:szCs w:val="20"/>
                <w:lang w:val="es-ES"/>
              </w:rPr>
              <w:t>/</w:t>
            </w:r>
            <w:r w:rsidRPr="007C3A91">
              <w:rPr>
                <w:rFonts w:ascii="Arial" w:hAnsi="Arial" w:cs="Arial"/>
                <w:sz w:val="20"/>
                <w:szCs w:val="20"/>
                <w:lang w:val="es-ES"/>
              </w:rPr>
              <w:t xml:space="preserve">2.7 </w:t>
            </w:r>
            <w:proofErr w:type="spellStart"/>
            <w:r w:rsidRPr="007C3A91">
              <w:rPr>
                <w:rFonts w:ascii="Arial" w:hAnsi="Arial" w:cs="Arial"/>
                <w:sz w:val="20"/>
                <w:szCs w:val="20"/>
                <w:lang w:val="es-ES"/>
              </w:rPr>
              <w:t>mmHg</w:t>
            </w:r>
            <w:proofErr w:type="spellEnd"/>
            <w:r w:rsidRPr="007C3A91">
              <w:rPr>
                <w:rFonts w:ascii="Arial" w:hAnsi="Arial" w:cs="Arial"/>
                <w:sz w:val="20"/>
                <w:szCs w:val="20"/>
                <w:lang w:val="es-ES"/>
              </w:rPr>
              <w:t xml:space="preserve"> PAD</w:t>
            </w:r>
          </w:p>
          <w:p w:rsidR="00495E7A" w:rsidRDefault="00495E7A" w:rsidP="00FF11CC">
            <w:pPr>
              <w:spacing w:after="0" w:line="240" w:lineRule="auto"/>
              <w:jc w:val="both"/>
              <w:rPr>
                <w:rFonts w:ascii="Arial" w:hAnsi="Arial" w:cs="Arial"/>
                <w:sz w:val="20"/>
                <w:szCs w:val="20"/>
                <w:lang w:val="es-ES"/>
              </w:rPr>
            </w:pPr>
          </w:p>
          <w:p w:rsidR="00495E7A"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&lt; 2 </w:t>
            </w:r>
            <w:proofErr w:type="spellStart"/>
            <w:r w:rsidRPr="007C3A91">
              <w:rPr>
                <w:rFonts w:ascii="Arial" w:hAnsi="Arial" w:cs="Arial"/>
                <w:sz w:val="20"/>
                <w:szCs w:val="20"/>
                <w:lang w:val="es-ES"/>
              </w:rPr>
              <w:t>mmHg</w:t>
            </w:r>
            <w:proofErr w:type="spellEnd"/>
            <w:r w:rsidRPr="007C3A91">
              <w:rPr>
                <w:rFonts w:ascii="Arial" w:hAnsi="Arial" w:cs="Arial"/>
                <w:sz w:val="20"/>
                <w:szCs w:val="20"/>
                <w:lang w:val="es-ES"/>
              </w:rPr>
              <w:t xml:space="preserve"> PAS</w:t>
            </w:r>
            <w:r>
              <w:rPr>
                <w:rFonts w:ascii="Arial" w:hAnsi="Arial" w:cs="Arial"/>
                <w:sz w:val="20"/>
                <w:szCs w:val="20"/>
                <w:lang w:val="es-ES"/>
              </w:rPr>
              <w:t>/</w:t>
            </w:r>
            <w:r w:rsidRPr="007C3A91">
              <w:rPr>
                <w:rFonts w:ascii="Arial" w:hAnsi="Arial" w:cs="Arial"/>
                <w:sz w:val="20"/>
                <w:szCs w:val="20"/>
                <w:lang w:val="es-ES"/>
              </w:rPr>
              <w:t xml:space="preserve">1 </w:t>
            </w:r>
            <w:proofErr w:type="spellStart"/>
            <w:r w:rsidRPr="007C3A91">
              <w:rPr>
                <w:rFonts w:ascii="Arial" w:hAnsi="Arial" w:cs="Arial"/>
                <w:sz w:val="20"/>
                <w:szCs w:val="20"/>
                <w:lang w:val="es-ES"/>
              </w:rPr>
              <w:t>mmHg</w:t>
            </w:r>
            <w:proofErr w:type="spellEnd"/>
            <w:r w:rsidRPr="007C3A91">
              <w:rPr>
                <w:rFonts w:ascii="Arial" w:hAnsi="Arial" w:cs="Arial"/>
                <w:sz w:val="20"/>
                <w:szCs w:val="20"/>
                <w:lang w:val="es-ES"/>
              </w:rPr>
              <w:t xml:space="preserve"> PAD</w:t>
            </w: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Reduciría PAS 5.6</w:t>
            </w:r>
            <w:r>
              <w:rPr>
                <w:rFonts w:ascii="Arial" w:hAnsi="Arial" w:cs="Arial"/>
                <w:sz w:val="20"/>
                <w:szCs w:val="20"/>
                <w:lang w:val="es-ES"/>
              </w:rPr>
              <w:t>/</w:t>
            </w:r>
            <w:r w:rsidRPr="007C3A91">
              <w:rPr>
                <w:rFonts w:ascii="Arial" w:hAnsi="Arial" w:cs="Arial"/>
                <w:sz w:val="20"/>
                <w:szCs w:val="20"/>
                <w:lang w:val="es-ES"/>
              </w:rPr>
              <w:t xml:space="preserve">PAD 3.2 </w:t>
            </w:r>
            <w:proofErr w:type="spellStart"/>
            <w:r w:rsidRPr="007C3A91">
              <w:rPr>
                <w:rFonts w:ascii="Arial" w:hAnsi="Arial" w:cs="Arial"/>
                <w:sz w:val="20"/>
                <w:szCs w:val="20"/>
                <w:lang w:val="es-ES"/>
              </w:rPr>
              <w:t>mmHg</w:t>
            </w:r>
            <w:proofErr w:type="spellEnd"/>
            <w:r w:rsidRPr="007C3A91">
              <w:rPr>
                <w:rFonts w:ascii="Arial" w:hAnsi="Arial" w:cs="Arial"/>
                <w:sz w:val="20"/>
                <w:szCs w:val="20"/>
                <w:lang w:val="es-ES"/>
              </w:rPr>
              <w:t xml:space="preserve"> en HAS y 3.5/1.8 TA </w:t>
            </w:r>
            <w:proofErr w:type="spellStart"/>
            <w:r w:rsidRPr="007C3A91">
              <w:rPr>
                <w:rFonts w:ascii="Arial" w:hAnsi="Arial" w:cs="Arial"/>
                <w:sz w:val="20"/>
                <w:szCs w:val="20"/>
                <w:lang w:val="es-ES"/>
              </w:rPr>
              <w:t>normotensos</w:t>
            </w:r>
            <w:proofErr w:type="spellEnd"/>
            <w:r w:rsidRPr="007C3A91">
              <w:rPr>
                <w:rFonts w:ascii="Arial" w:hAnsi="Arial" w:cs="Arial"/>
                <w:sz w:val="20"/>
                <w:szCs w:val="20"/>
                <w:lang w:val="es-ES"/>
              </w:rPr>
              <w:t>.</w:t>
            </w:r>
          </w:p>
        </w:tc>
        <w:tc>
          <w:tcPr>
            <w:tcW w:w="3071"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E63308">
            <w:pPr>
              <w:spacing w:after="0" w:line="360" w:lineRule="auto"/>
              <w:jc w:val="both"/>
              <w:rPr>
                <w:rFonts w:ascii="Arial" w:hAnsi="Arial" w:cs="Arial"/>
                <w:sz w:val="20"/>
                <w:szCs w:val="20"/>
              </w:rPr>
            </w:pPr>
            <w:r w:rsidRPr="007C3A91">
              <w:rPr>
                <w:rFonts w:ascii="Arial" w:hAnsi="Arial" w:cs="Arial"/>
                <w:sz w:val="20"/>
                <w:szCs w:val="20"/>
              </w:rPr>
              <w:t>He F</w:t>
            </w:r>
            <w:r w:rsidR="00E63308">
              <w:rPr>
                <w:rFonts w:ascii="Arial" w:hAnsi="Arial" w:cs="Arial"/>
                <w:sz w:val="20"/>
                <w:szCs w:val="20"/>
              </w:rPr>
              <w:t>.</w:t>
            </w:r>
            <w:r w:rsidRPr="007C3A91">
              <w:rPr>
                <w:rFonts w:ascii="Arial" w:hAnsi="Arial" w:cs="Arial"/>
                <w:sz w:val="20"/>
                <w:szCs w:val="20"/>
              </w:rPr>
              <w:t>J</w:t>
            </w:r>
            <w:r w:rsidR="00E63308">
              <w:rPr>
                <w:rFonts w:ascii="Arial" w:hAnsi="Arial" w:cs="Arial"/>
                <w:sz w:val="20"/>
                <w:szCs w:val="20"/>
              </w:rPr>
              <w:t>.</w:t>
            </w:r>
            <w:r w:rsidRPr="007C3A91">
              <w:rPr>
                <w:rFonts w:ascii="Arial" w:hAnsi="Arial" w:cs="Arial"/>
                <w:sz w:val="20"/>
                <w:szCs w:val="20"/>
              </w:rPr>
              <w:t xml:space="preserve"> </w:t>
            </w:r>
            <w:r w:rsidR="00E63308">
              <w:rPr>
                <w:rFonts w:ascii="Arial" w:hAnsi="Arial" w:cs="Arial"/>
                <w:sz w:val="20"/>
                <w:szCs w:val="20"/>
              </w:rPr>
              <w:t>y</w:t>
            </w:r>
            <w:r w:rsidRPr="007C3A91">
              <w:rPr>
                <w:rFonts w:ascii="Arial" w:hAnsi="Arial" w:cs="Arial"/>
                <w:sz w:val="20"/>
                <w:szCs w:val="20"/>
              </w:rPr>
              <w:t xml:space="preserve"> </w:t>
            </w:r>
            <w:proofErr w:type="spellStart"/>
            <w:r w:rsidRPr="007C3A91">
              <w:rPr>
                <w:rFonts w:ascii="Arial" w:hAnsi="Arial" w:cs="Arial"/>
                <w:sz w:val="20"/>
                <w:szCs w:val="20"/>
              </w:rPr>
              <w:t>MacGregor</w:t>
            </w:r>
            <w:proofErr w:type="spellEnd"/>
            <w:r w:rsidRPr="007C3A91">
              <w:rPr>
                <w:rFonts w:ascii="Arial" w:hAnsi="Arial" w:cs="Arial"/>
                <w:sz w:val="20"/>
                <w:szCs w:val="20"/>
              </w:rPr>
              <w:t xml:space="preserve"> GA. (</w:t>
            </w:r>
            <w:r w:rsidRPr="007C3A91">
              <w:rPr>
                <w:rFonts w:ascii="Arial" w:hAnsi="Arial" w:cs="Arial"/>
                <w:bCs/>
                <w:iCs/>
                <w:sz w:val="20"/>
                <w:szCs w:val="20"/>
              </w:rPr>
              <w:t>2003)</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auto"/>
          </w:tcPr>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Chimpancés (n=127)</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 xml:space="preserve">En Gabón, </w:t>
            </w:r>
            <w:proofErr w:type="spellStart"/>
            <w:r w:rsidRPr="008A79FC">
              <w:rPr>
                <w:rFonts w:ascii="Arial" w:eastAsia="MS Gothic" w:hAnsi="Arial" w:cs="Arial"/>
                <w:bCs/>
                <w:sz w:val="20"/>
                <w:szCs w:val="20"/>
                <w:lang w:val="es-ES"/>
              </w:rPr>
              <w:t>Franceville</w:t>
            </w:r>
            <w:proofErr w:type="spellEnd"/>
            <w:r w:rsidRPr="008A79FC">
              <w:rPr>
                <w:rFonts w:ascii="Arial" w:eastAsia="MS Gothic" w:hAnsi="Arial" w:cs="Arial"/>
                <w:bCs/>
                <w:sz w:val="20"/>
                <w:szCs w:val="20"/>
                <w:lang w:val="es-ES"/>
              </w:rPr>
              <w:t xml:space="preserve"> (n=17) seguimiento &gt; 3 años</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 xml:space="preserve">Dieta isocalórica, </w:t>
            </w:r>
            <w:proofErr w:type="spellStart"/>
            <w:r w:rsidRPr="008A79FC">
              <w:rPr>
                <w:rFonts w:ascii="Arial" w:eastAsia="MS Gothic" w:hAnsi="Arial" w:cs="Arial"/>
                <w:bCs/>
                <w:sz w:val="20"/>
                <w:szCs w:val="20"/>
                <w:lang w:val="es-ES"/>
              </w:rPr>
              <w:t>Na</w:t>
            </w:r>
            <w:proofErr w:type="spellEnd"/>
            <w:r w:rsidRPr="008A79FC">
              <w:rPr>
                <w:rFonts w:ascii="Arial" w:eastAsia="MS Gothic" w:hAnsi="Arial" w:cs="Arial"/>
                <w:bCs/>
                <w:sz w:val="20"/>
                <w:szCs w:val="20"/>
                <w:lang w:val="es-ES"/>
              </w:rPr>
              <w:t xml:space="preserve"> cambios 75, 35 y 120 </w:t>
            </w:r>
            <w:proofErr w:type="spellStart"/>
            <w:r w:rsidRPr="008A79FC">
              <w:rPr>
                <w:rFonts w:ascii="Arial" w:eastAsia="MS Gothic" w:hAnsi="Arial" w:cs="Arial"/>
                <w:bCs/>
                <w:sz w:val="20"/>
                <w:szCs w:val="20"/>
                <w:lang w:val="es-ES"/>
              </w:rPr>
              <w:t>mmol</w:t>
            </w:r>
            <w:proofErr w:type="spellEnd"/>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 xml:space="preserve">En </w:t>
            </w:r>
            <w:proofErr w:type="spellStart"/>
            <w:r w:rsidRPr="008A79FC">
              <w:rPr>
                <w:rFonts w:ascii="Arial" w:eastAsia="MS Gothic" w:hAnsi="Arial" w:cs="Arial"/>
                <w:bCs/>
                <w:sz w:val="20"/>
                <w:szCs w:val="20"/>
                <w:lang w:val="es-ES"/>
              </w:rPr>
              <w:t>Bastrop</w:t>
            </w:r>
            <w:proofErr w:type="spellEnd"/>
            <w:r w:rsidRPr="008A79FC">
              <w:rPr>
                <w:rFonts w:ascii="Arial" w:eastAsia="MS Gothic" w:hAnsi="Arial" w:cs="Arial"/>
                <w:bCs/>
                <w:sz w:val="20"/>
                <w:szCs w:val="20"/>
                <w:lang w:val="es-ES"/>
              </w:rPr>
              <w:t xml:space="preserve">, Texas </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(n=110) seguimiento 2 años</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 xml:space="preserve">Grupo A: Dieta estándar, </w:t>
            </w:r>
            <w:proofErr w:type="spellStart"/>
            <w:r w:rsidRPr="008A79FC">
              <w:rPr>
                <w:rFonts w:ascii="Arial" w:eastAsia="MS Gothic" w:hAnsi="Arial" w:cs="Arial"/>
                <w:bCs/>
                <w:sz w:val="20"/>
                <w:szCs w:val="20"/>
                <w:lang w:val="es-ES"/>
              </w:rPr>
              <w:t>Na</w:t>
            </w:r>
            <w:proofErr w:type="spellEnd"/>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 xml:space="preserve">250 </w:t>
            </w:r>
            <w:proofErr w:type="spellStart"/>
            <w:r w:rsidRPr="008A79FC">
              <w:rPr>
                <w:rFonts w:ascii="Arial" w:eastAsia="MS Gothic" w:hAnsi="Arial" w:cs="Arial"/>
                <w:bCs/>
                <w:sz w:val="20"/>
                <w:szCs w:val="20"/>
                <w:lang w:val="es-ES"/>
              </w:rPr>
              <w:t>mmol</w:t>
            </w:r>
            <w:proofErr w:type="spellEnd"/>
            <w:r w:rsidRPr="008A79FC">
              <w:rPr>
                <w:rFonts w:ascii="Arial" w:eastAsia="MS Gothic" w:hAnsi="Arial" w:cs="Arial"/>
                <w:bCs/>
                <w:sz w:val="20"/>
                <w:szCs w:val="20"/>
                <w:lang w:val="es-ES"/>
              </w:rPr>
              <w:t>/d</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lang w:val="es-ES"/>
              </w:rPr>
              <w:t xml:space="preserve">Grupo B: se redujo </w:t>
            </w:r>
            <w:proofErr w:type="spellStart"/>
            <w:r w:rsidRPr="008A79FC">
              <w:rPr>
                <w:rFonts w:ascii="Arial" w:eastAsia="MS Gothic" w:hAnsi="Arial" w:cs="Arial"/>
                <w:bCs/>
                <w:sz w:val="20"/>
                <w:szCs w:val="20"/>
                <w:lang w:val="es-ES"/>
              </w:rPr>
              <w:t>Na</w:t>
            </w:r>
            <w:proofErr w:type="spellEnd"/>
            <w:r w:rsidRPr="008A79FC">
              <w:rPr>
                <w:rFonts w:ascii="Arial" w:eastAsia="MS Gothic" w:hAnsi="Arial" w:cs="Arial"/>
                <w:bCs/>
                <w:sz w:val="20"/>
                <w:szCs w:val="20"/>
                <w:lang w:val="es-ES"/>
              </w:rPr>
              <w:t xml:space="preserve"> 50</w:t>
            </w:r>
            <w:r w:rsidR="00E63308">
              <w:rPr>
                <w:rFonts w:ascii="Arial" w:eastAsia="MS Gothic" w:hAnsi="Arial" w:cs="Arial"/>
                <w:bCs/>
                <w:sz w:val="20"/>
                <w:szCs w:val="20"/>
                <w:lang w:val="es-ES"/>
              </w:rPr>
              <w:t xml:space="preserve"> </w:t>
            </w:r>
            <w:r w:rsidRPr="008A79FC">
              <w:rPr>
                <w:rFonts w:ascii="Arial" w:eastAsia="MS Gothic" w:hAnsi="Arial" w:cs="Arial"/>
                <w:bCs/>
                <w:sz w:val="20"/>
                <w:szCs w:val="20"/>
                <w:lang w:val="es-ES"/>
              </w:rPr>
              <w:t>%</w:t>
            </w:r>
          </w:p>
        </w:tc>
        <w:tc>
          <w:tcPr>
            <w:tcW w:w="2740"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Reducción </w:t>
            </w:r>
            <w:proofErr w:type="spellStart"/>
            <w:r w:rsidRPr="007C3A91">
              <w:rPr>
                <w:rFonts w:ascii="Arial" w:hAnsi="Arial" w:cs="Arial"/>
                <w:sz w:val="20"/>
                <w:szCs w:val="20"/>
                <w:lang w:val="es-ES"/>
              </w:rPr>
              <w:t>Na</w:t>
            </w:r>
            <w:proofErr w:type="spellEnd"/>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100 a 120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/d</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(2300 – 2720 mg)</w:t>
            </w:r>
          </w:p>
        </w:tc>
        <w:tc>
          <w:tcPr>
            <w:tcW w:w="4017"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&lt; PA en </w:t>
            </w:r>
            <w:r w:rsidRPr="007C3A91">
              <w:rPr>
                <w:rFonts w:ascii="Arial" w:hAnsi="Arial" w:cs="Arial"/>
                <w:sz w:val="20"/>
                <w:szCs w:val="20"/>
                <w:lang w:val="es-ES"/>
              </w:rPr>
              <w:t>alrededor de 6 a 13 mm Hg</w:t>
            </w:r>
          </w:p>
        </w:tc>
        <w:tc>
          <w:tcPr>
            <w:tcW w:w="3071"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E63308">
            <w:pPr>
              <w:spacing w:after="0" w:line="360" w:lineRule="auto"/>
              <w:jc w:val="both"/>
              <w:rPr>
                <w:rFonts w:ascii="Arial" w:hAnsi="Arial" w:cs="Arial"/>
                <w:sz w:val="20"/>
                <w:szCs w:val="20"/>
              </w:rPr>
            </w:pPr>
            <w:proofErr w:type="spellStart"/>
            <w:r w:rsidRPr="007C3A91">
              <w:rPr>
                <w:rFonts w:ascii="Arial" w:hAnsi="Arial" w:cs="Arial"/>
                <w:sz w:val="20"/>
                <w:szCs w:val="20"/>
              </w:rPr>
              <w:t>Elliott</w:t>
            </w:r>
            <w:proofErr w:type="spellEnd"/>
            <w:r w:rsidRPr="007C3A91">
              <w:rPr>
                <w:rFonts w:ascii="Arial" w:hAnsi="Arial" w:cs="Arial"/>
                <w:sz w:val="20"/>
                <w:szCs w:val="20"/>
              </w:rPr>
              <w:t xml:space="preserve"> P</w:t>
            </w:r>
            <w:r w:rsidR="00E63308">
              <w:rPr>
                <w:rFonts w:ascii="Arial" w:hAnsi="Arial" w:cs="Arial"/>
                <w:sz w:val="20"/>
                <w:szCs w:val="20"/>
              </w:rPr>
              <w:t>.</w:t>
            </w:r>
            <w:r w:rsidRPr="007C3A91">
              <w:rPr>
                <w:rFonts w:ascii="Arial" w:hAnsi="Arial" w:cs="Arial"/>
                <w:sz w:val="20"/>
                <w:szCs w:val="20"/>
              </w:rPr>
              <w:t xml:space="preserve"> et al. (2007)</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Humanos</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TOPH I (n=744) 18 meses</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TOPHII (n=2382) 36-48 meses</w:t>
            </w: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Reducción </w:t>
            </w:r>
            <w:proofErr w:type="spellStart"/>
            <w:r w:rsidRPr="007C3A91">
              <w:rPr>
                <w:rFonts w:ascii="Arial" w:hAnsi="Arial" w:cs="Arial"/>
                <w:sz w:val="20"/>
                <w:szCs w:val="20"/>
                <w:lang w:val="es-ES"/>
              </w:rPr>
              <w:t>Na</w:t>
            </w:r>
            <w:proofErr w:type="spellEnd"/>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44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/d (1012 mg)</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33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/d (759 mg)</w:t>
            </w:r>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&lt; PA y el riesgo a largo plazo de eventos CV</w:t>
            </w:r>
          </w:p>
        </w:tc>
        <w:tc>
          <w:tcPr>
            <w:tcW w:w="3071"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E63308">
            <w:pPr>
              <w:spacing w:after="0" w:line="360" w:lineRule="auto"/>
              <w:jc w:val="both"/>
              <w:rPr>
                <w:rFonts w:ascii="Arial" w:hAnsi="Arial" w:cs="Arial"/>
                <w:sz w:val="20"/>
                <w:szCs w:val="20"/>
              </w:rPr>
            </w:pPr>
            <w:r w:rsidRPr="007C3A91">
              <w:rPr>
                <w:rFonts w:ascii="Arial" w:hAnsi="Arial" w:cs="Arial"/>
                <w:sz w:val="20"/>
                <w:szCs w:val="20"/>
              </w:rPr>
              <w:t>Cook N</w:t>
            </w:r>
            <w:r w:rsidR="00E63308">
              <w:rPr>
                <w:rFonts w:ascii="Arial" w:hAnsi="Arial" w:cs="Arial"/>
                <w:sz w:val="20"/>
                <w:szCs w:val="20"/>
              </w:rPr>
              <w:t>.</w:t>
            </w:r>
            <w:r w:rsidRPr="007C3A91">
              <w:rPr>
                <w:rFonts w:ascii="Arial" w:hAnsi="Arial" w:cs="Arial"/>
                <w:sz w:val="20"/>
                <w:szCs w:val="20"/>
              </w:rPr>
              <w:t>R</w:t>
            </w:r>
            <w:r w:rsidR="00E63308">
              <w:rPr>
                <w:rFonts w:ascii="Arial" w:hAnsi="Arial" w:cs="Arial"/>
                <w:sz w:val="20"/>
                <w:szCs w:val="20"/>
              </w:rPr>
              <w:t>.</w:t>
            </w:r>
            <w:r w:rsidRPr="007C3A91">
              <w:rPr>
                <w:rFonts w:ascii="Arial" w:hAnsi="Arial" w:cs="Arial"/>
                <w:sz w:val="20"/>
                <w:szCs w:val="20"/>
              </w:rPr>
              <w:t xml:space="preserve"> et al. (2007)</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auto"/>
          </w:tcPr>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Meta-análisis 13 estudios</w:t>
            </w:r>
          </w:p>
          <w:p w:rsidR="00495E7A" w:rsidRPr="008A79FC" w:rsidRDefault="00495E7A" w:rsidP="00FF11CC">
            <w:pPr>
              <w:spacing w:after="0" w:line="240" w:lineRule="auto"/>
              <w:jc w:val="both"/>
              <w:rPr>
                <w:rFonts w:ascii="Arial" w:eastAsia="MS Gothic" w:hAnsi="Arial" w:cs="Arial"/>
                <w:bCs/>
                <w:sz w:val="20"/>
                <w:szCs w:val="20"/>
              </w:rPr>
            </w:pPr>
            <w:r>
              <w:rPr>
                <w:rFonts w:ascii="Arial" w:eastAsia="MS Gothic" w:hAnsi="Arial" w:cs="Arial"/>
                <w:bCs/>
                <w:sz w:val="20"/>
                <w:szCs w:val="20"/>
              </w:rPr>
              <w:t>(</w:t>
            </w:r>
            <w:r w:rsidRPr="008A79FC">
              <w:rPr>
                <w:rFonts w:ascii="Arial" w:eastAsia="MS Gothic" w:hAnsi="Arial" w:cs="Arial"/>
                <w:bCs/>
                <w:sz w:val="20"/>
                <w:szCs w:val="20"/>
              </w:rPr>
              <w:t>n=1777025</w:t>
            </w:r>
            <w:r>
              <w:rPr>
                <w:rFonts w:ascii="Arial" w:eastAsia="MS Gothic" w:hAnsi="Arial" w:cs="Arial"/>
                <w:bCs/>
                <w:sz w:val="20"/>
                <w:szCs w:val="20"/>
              </w:rPr>
              <w:t>)</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3.5 a 19 años</w:t>
            </w:r>
          </w:p>
        </w:tc>
        <w:tc>
          <w:tcPr>
            <w:tcW w:w="2740"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Ingesta superior</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Diferencia promedio 86 </w:t>
            </w:r>
            <w:proofErr w:type="spellStart"/>
            <w:r w:rsidRPr="007C3A91">
              <w:rPr>
                <w:rFonts w:ascii="Arial" w:hAnsi="Arial" w:cs="Arial"/>
                <w:sz w:val="20"/>
                <w:szCs w:val="20"/>
              </w:rPr>
              <w:t>mmol</w:t>
            </w:r>
            <w:proofErr w:type="spellEnd"/>
            <w:r w:rsidRPr="007C3A91">
              <w:rPr>
                <w:rFonts w:ascii="Arial" w:hAnsi="Arial" w:cs="Arial"/>
                <w:sz w:val="20"/>
                <w:szCs w:val="20"/>
              </w:rPr>
              <w:t>/d (5 g sal/d)</w:t>
            </w:r>
          </w:p>
        </w:tc>
        <w:tc>
          <w:tcPr>
            <w:tcW w:w="4017"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&gt; Riesgo de ACV, ECV </w:t>
            </w:r>
          </w:p>
        </w:tc>
        <w:tc>
          <w:tcPr>
            <w:tcW w:w="3071"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E63308">
            <w:pPr>
              <w:spacing w:after="0" w:line="360" w:lineRule="auto"/>
              <w:jc w:val="both"/>
              <w:rPr>
                <w:rFonts w:ascii="Arial" w:hAnsi="Arial" w:cs="Arial"/>
                <w:sz w:val="20"/>
                <w:szCs w:val="20"/>
              </w:rPr>
            </w:pPr>
            <w:proofErr w:type="spellStart"/>
            <w:r w:rsidRPr="007C3A91">
              <w:rPr>
                <w:rFonts w:ascii="Arial" w:hAnsi="Arial" w:cs="Arial"/>
                <w:sz w:val="20"/>
                <w:szCs w:val="20"/>
              </w:rPr>
              <w:t>Strazzullo</w:t>
            </w:r>
            <w:proofErr w:type="spellEnd"/>
            <w:r w:rsidRPr="007C3A91">
              <w:rPr>
                <w:rFonts w:ascii="Arial" w:hAnsi="Arial" w:cs="Arial"/>
                <w:sz w:val="20"/>
                <w:szCs w:val="20"/>
              </w:rPr>
              <w:t xml:space="preserve"> P</w:t>
            </w:r>
            <w:r w:rsidR="00E63308">
              <w:rPr>
                <w:rFonts w:ascii="Arial" w:hAnsi="Arial" w:cs="Arial"/>
                <w:sz w:val="20"/>
                <w:szCs w:val="20"/>
              </w:rPr>
              <w:t>.</w:t>
            </w:r>
            <w:r w:rsidRPr="007C3A91">
              <w:rPr>
                <w:rFonts w:ascii="Arial" w:hAnsi="Arial" w:cs="Arial"/>
                <w:sz w:val="20"/>
                <w:szCs w:val="20"/>
              </w:rPr>
              <w:t xml:space="preserve"> et al. (2009)</w:t>
            </w:r>
          </w:p>
        </w:tc>
      </w:tr>
      <w:tr w:rsidR="00495E7A" w:rsidRPr="007C3A91" w:rsidTr="00FF11CC">
        <w:trPr>
          <w:trHeight w:val="1961"/>
        </w:trPr>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lastRenderedPageBreak/>
              <w:t xml:space="preserve">Meta-análisis </w:t>
            </w:r>
            <w:r w:rsidR="00E63308">
              <w:rPr>
                <w:rFonts w:ascii="Arial" w:eastAsia="MS Gothic" w:hAnsi="Arial" w:cs="Arial"/>
                <w:bCs/>
                <w:sz w:val="20"/>
                <w:szCs w:val="20"/>
              </w:rPr>
              <w:t>h</w:t>
            </w:r>
            <w:r w:rsidRPr="008A79FC">
              <w:rPr>
                <w:rFonts w:ascii="Arial" w:eastAsia="MS Gothic" w:hAnsi="Arial" w:cs="Arial"/>
                <w:bCs/>
                <w:sz w:val="20"/>
                <w:szCs w:val="20"/>
              </w:rPr>
              <w:t>umanos</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34 estudios ≥ 4 semanas</w:t>
            </w:r>
          </w:p>
          <w:p w:rsidR="00495E7A" w:rsidRPr="008A79FC" w:rsidRDefault="00495E7A" w:rsidP="00FF11CC">
            <w:pPr>
              <w:spacing w:after="0" w:line="240" w:lineRule="auto"/>
              <w:jc w:val="both"/>
              <w:rPr>
                <w:rFonts w:ascii="Arial" w:eastAsia="MS Gothic" w:hAnsi="Arial" w:cs="Arial"/>
                <w:bCs/>
                <w:sz w:val="20"/>
                <w:szCs w:val="20"/>
              </w:rPr>
            </w:pPr>
            <w:r>
              <w:rPr>
                <w:rFonts w:ascii="Arial" w:eastAsia="MS Gothic" w:hAnsi="Arial" w:cs="Arial"/>
                <w:bCs/>
                <w:sz w:val="20"/>
                <w:szCs w:val="20"/>
              </w:rPr>
              <w:t>(</w:t>
            </w:r>
            <w:r w:rsidRPr="008A79FC">
              <w:rPr>
                <w:rFonts w:ascii="Arial" w:eastAsia="MS Gothic" w:hAnsi="Arial" w:cs="Arial"/>
                <w:bCs/>
                <w:sz w:val="20"/>
                <w:szCs w:val="20"/>
              </w:rPr>
              <w:t>N=3230</w:t>
            </w:r>
            <w:r>
              <w:rPr>
                <w:rFonts w:ascii="Arial" w:eastAsia="MS Gothic" w:hAnsi="Arial" w:cs="Arial"/>
                <w:bCs/>
                <w:sz w:val="20"/>
                <w:szCs w:val="20"/>
              </w:rPr>
              <w:t>)</w:t>
            </w: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Reducción de la excreción de 100 </w:t>
            </w:r>
            <w:proofErr w:type="spellStart"/>
            <w:r w:rsidRPr="007C3A91">
              <w:rPr>
                <w:rFonts w:ascii="Arial" w:hAnsi="Arial" w:cs="Arial"/>
                <w:sz w:val="20"/>
                <w:szCs w:val="20"/>
              </w:rPr>
              <w:t>mmol</w:t>
            </w:r>
            <w:proofErr w:type="spellEnd"/>
            <w:r w:rsidRPr="007C3A91">
              <w:rPr>
                <w:rFonts w:ascii="Arial" w:hAnsi="Arial" w:cs="Arial"/>
                <w:sz w:val="20"/>
                <w:szCs w:val="20"/>
              </w:rPr>
              <w:t>/d</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(6 g sal/d)</w:t>
            </w:r>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Reduce PAS 5.8 mm Hg.</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Hipertensos:</w:t>
            </w:r>
            <w:r>
              <w:rPr>
                <w:rFonts w:ascii="Arial" w:hAnsi="Arial" w:cs="Arial"/>
                <w:sz w:val="20"/>
                <w:szCs w:val="20"/>
              </w:rPr>
              <w:t xml:space="preserve"> </w:t>
            </w:r>
            <w:r w:rsidRPr="007C3A91">
              <w:rPr>
                <w:rFonts w:ascii="Arial" w:hAnsi="Arial" w:cs="Arial"/>
                <w:sz w:val="20"/>
                <w:szCs w:val="20"/>
              </w:rPr>
              <w:t>&lt;</w:t>
            </w:r>
            <w:r>
              <w:rPr>
                <w:rFonts w:ascii="Arial" w:hAnsi="Arial" w:cs="Arial"/>
                <w:sz w:val="20"/>
                <w:szCs w:val="20"/>
              </w:rPr>
              <w:t xml:space="preserve"> </w:t>
            </w:r>
            <w:r w:rsidRPr="007C3A91">
              <w:rPr>
                <w:rFonts w:ascii="Arial" w:hAnsi="Arial" w:cs="Arial"/>
                <w:sz w:val="20"/>
                <w:szCs w:val="20"/>
              </w:rPr>
              <w:t xml:space="preserve">PAS 5.39 </w:t>
            </w:r>
            <w:proofErr w:type="spellStart"/>
            <w:r w:rsidRPr="007C3A91">
              <w:rPr>
                <w:rFonts w:ascii="Arial" w:hAnsi="Arial" w:cs="Arial"/>
                <w:sz w:val="20"/>
                <w:szCs w:val="20"/>
              </w:rPr>
              <w:t>mmHg</w:t>
            </w:r>
            <w:proofErr w:type="spellEnd"/>
            <w:r>
              <w:rPr>
                <w:rFonts w:ascii="Arial" w:hAnsi="Arial" w:cs="Arial"/>
                <w:sz w:val="20"/>
                <w:szCs w:val="20"/>
              </w:rPr>
              <w:t>/</w:t>
            </w:r>
            <w:r w:rsidRPr="007C3A91">
              <w:rPr>
                <w:rFonts w:ascii="Arial" w:hAnsi="Arial" w:cs="Arial"/>
                <w:sz w:val="20"/>
                <w:szCs w:val="20"/>
              </w:rPr>
              <w:t xml:space="preserve">2.82 </w:t>
            </w:r>
            <w:proofErr w:type="spellStart"/>
            <w:r w:rsidRPr="007C3A91">
              <w:rPr>
                <w:rFonts w:ascii="Arial" w:hAnsi="Arial" w:cs="Arial"/>
                <w:sz w:val="20"/>
                <w:szCs w:val="20"/>
              </w:rPr>
              <w:t>mmHg</w:t>
            </w:r>
            <w:proofErr w:type="spellEnd"/>
            <w:r w:rsidRPr="007C3A91">
              <w:rPr>
                <w:rFonts w:ascii="Arial" w:hAnsi="Arial" w:cs="Arial"/>
                <w:sz w:val="20"/>
                <w:szCs w:val="20"/>
              </w:rPr>
              <w:t xml:space="preserve"> PAD.</w:t>
            </w:r>
          </w:p>
          <w:p w:rsidR="00495E7A" w:rsidRPr="007C3A91" w:rsidRDefault="00495E7A" w:rsidP="00FF11CC">
            <w:pPr>
              <w:spacing w:after="0" w:line="240" w:lineRule="auto"/>
              <w:jc w:val="both"/>
              <w:rPr>
                <w:rFonts w:ascii="Arial" w:hAnsi="Arial" w:cs="Arial"/>
                <w:sz w:val="20"/>
                <w:szCs w:val="20"/>
              </w:rPr>
            </w:pPr>
            <w:proofErr w:type="spellStart"/>
            <w:r w:rsidRPr="007C3A91">
              <w:rPr>
                <w:rFonts w:ascii="Arial" w:hAnsi="Arial" w:cs="Arial"/>
                <w:sz w:val="20"/>
                <w:szCs w:val="20"/>
              </w:rPr>
              <w:t>Normotensos</w:t>
            </w:r>
            <w:proofErr w:type="spellEnd"/>
            <w:r w:rsidRPr="007C3A91">
              <w:rPr>
                <w:rFonts w:ascii="Arial" w:hAnsi="Arial" w:cs="Arial"/>
                <w:sz w:val="20"/>
                <w:szCs w:val="20"/>
              </w:rPr>
              <w:t xml:space="preserve">: &lt; 2.42 </w:t>
            </w:r>
            <w:proofErr w:type="spellStart"/>
            <w:r w:rsidRPr="007C3A91">
              <w:rPr>
                <w:rFonts w:ascii="Arial" w:hAnsi="Arial" w:cs="Arial"/>
                <w:sz w:val="20"/>
                <w:szCs w:val="20"/>
              </w:rPr>
              <w:t>mmHg</w:t>
            </w:r>
            <w:proofErr w:type="spellEnd"/>
            <w:r w:rsidRPr="007C3A91">
              <w:rPr>
                <w:rFonts w:ascii="Arial" w:hAnsi="Arial" w:cs="Arial"/>
                <w:sz w:val="20"/>
                <w:szCs w:val="20"/>
              </w:rPr>
              <w:t xml:space="preserve"> PAS</w:t>
            </w:r>
            <w:r>
              <w:rPr>
                <w:rFonts w:ascii="Arial" w:hAnsi="Arial" w:cs="Arial"/>
                <w:sz w:val="20"/>
                <w:szCs w:val="20"/>
              </w:rPr>
              <w:t>/</w:t>
            </w:r>
            <w:r w:rsidRPr="007C3A91">
              <w:rPr>
                <w:rFonts w:ascii="Arial" w:hAnsi="Arial" w:cs="Arial"/>
                <w:sz w:val="20"/>
                <w:szCs w:val="20"/>
              </w:rPr>
              <w:t xml:space="preserve">1.00 </w:t>
            </w:r>
            <w:proofErr w:type="spellStart"/>
            <w:r w:rsidRPr="007C3A91">
              <w:rPr>
                <w:rFonts w:ascii="Arial" w:hAnsi="Arial" w:cs="Arial"/>
                <w:sz w:val="20"/>
                <w:szCs w:val="20"/>
              </w:rPr>
              <w:t>mmHg</w:t>
            </w:r>
            <w:proofErr w:type="spellEnd"/>
            <w:r w:rsidRPr="007C3A91">
              <w:rPr>
                <w:rFonts w:ascii="Arial" w:hAnsi="Arial" w:cs="Arial"/>
                <w:sz w:val="20"/>
                <w:szCs w:val="20"/>
              </w:rPr>
              <w:t xml:space="preserve"> PAD.</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Aumento actividad Renina-Aldosterona, noradrenalina</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No significativos en lípidos.</w:t>
            </w:r>
          </w:p>
        </w:tc>
        <w:tc>
          <w:tcPr>
            <w:tcW w:w="3071"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360" w:lineRule="auto"/>
              <w:jc w:val="both"/>
              <w:rPr>
                <w:rFonts w:ascii="Arial" w:hAnsi="Arial" w:cs="Arial"/>
                <w:sz w:val="20"/>
                <w:szCs w:val="20"/>
                <w:lang w:val="en-US"/>
              </w:rPr>
            </w:pPr>
            <w:r w:rsidRPr="007C3A91">
              <w:rPr>
                <w:rFonts w:ascii="Arial" w:hAnsi="Arial" w:cs="Arial"/>
                <w:sz w:val="20"/>
                <w:szCs w:val="20"/>
                <w:lang w:val="en-US"/>
              </w:rPr>
              <w:t>He, F</w:t>
            </w:r>
            <w:r w:rsidR="00E63308">
              <w:rPr>
                <w:rFonts w:ascii="Arial" w:hAnsi="Arial" w:cs="Arial"/>
                <w:sz w:val="20"/>
                <w:szCs w:val="20"/>
                <w:lang w:val="en-US"/>
              </w:rPr>
              <w:t>.</w:t>
            </w:r>
            <w:r w:rsidRPr="007C3A91">
              <w:rPr>
                <w:rFonts w:ascii="Arial" w:hAnsi="Arial" w:cs="Arial"/>
                <w:sz w:val="20"/>
                <w:szCs w:val="20"/>
                <w:lang w:val="en-US"/>
              </w:rPr>
              <w:t xml:space="preserve">J. et al. (2013) </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auto"/>
          </w:tcPr>
          <w:p w:rsidR="00495E7A"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Humanos</w:t>
            </w:r>
          </w:p>
          <w:p w:rsidR="00A55B10" w:rsidRPr="008A79FC" w:rsidRDefault="00A55B10" w:rsidP="00FF11CC">
            <w:pPr>
              <w:spacing w:after="0" w:line="240" w:lineRule="auto"/>
              <w:jc w:val="both"/>
              <w:rPr>
                <w:rFonts w:ascii="Arial" w:eastAsia="MS Gothic" w:hAnsi="Arial" w:cs="Arial"/>
                <w:bCs/>
                <w:sz w:val="20"/>
                <w:szCs w:val="20"/>
              </w:rPr>
            </w:pPr>
            <w:r>
              <w:rPr>
                <w:rFonts w:ascii="Arial" w:eastAsia="MS Gothic" w:hAnsi="Arial" w:cs="Arial"/>
                <w:bCs/>
                <w:sz w:val="20"/>
                <w:szCs w:val="20"/>
              </w:rPr>
              <w:t>Meta</w:t>
            </w:r>
            <w:r w:rsidR="00E63308">
              <w:rPr>
                <w:rFonts w:ascii="Arial" w:eastAsia="MS Gothic" w:hAnsi="Arial" w:cs="Arial"/>
                <w:bCs/>
                <w:sz w:val="20"/>
                <w:szCs w:val="20"/>
              </w:rPr>
              <w:t>-</w:t>
            </w:r>
            <w:r>
              <w:rPr>
                <w:rFonts w:ascii="Arial" w:eastAsia="MS Gothic" w:hAnsi="Arial" w:cs="Arial"/>
                <w:bCs/>
                <w:sz w:val="20"/>
                <w:szCs w:val="20"/>
              </w:rPr>
              <w:t>análisis</w:t>
            </w:r>
          </w:p>
          <w:p w:rsidR="00495E7A" w:rsidRPr="008A79FC" w:rsidRDefault="00495E7A" w:rsidP="00FF11CC">
            <w:pPr>
              <w:spacing w:after="0" w:line="240" w:lineRule="auto"/>
              <w:jc w:val="both"/>
              <w:rPr>
                <w:rFonts w:ascii="Arial" w:eastAsia="MS Gothic" w:hAnsi="Arial" w:cs="Arial"/>
                <w:bCs/>
                <w:sz w:val="20"/>
                <w:szCs w:val="20"/>
              </w:rPr>
            </w:pPr>
            <w:r w:rsidRPr="00A55B10">
              <w:rPr>
                <w:rFonts w:ascii="Arial" w:eastAsia="MS Gothic" w:hAnsi="Arial" w:cs="Arial"/>
                <w:bCs/>
                <w:sz w:val="20"/>
                <w:szCs w:val="20"/>
              </w:rPr>
              <w:t>36 estudios</w:t>
            </w:r>
            <w:r w:rsidRPr="008A79FC">
              <w:rPr>
                <w:rFonts w:ascii="Arial" w:eastAsia="MS Gothic" w:hAnsi="Arial" w:cs="Arial"/>
                <w:bCs/>
                <w:sz w:val="20"/>
                <w:szCs w:val="20"/>
              </w:rPr>
              <w:t xml:space="preserve"> </w:t>
            </w:r>
          </w:p>
        </w:tc>
        <w:tc>
          <w:tcPr>
            <w:tcW w:w="2740"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rPr>
            </w:pPr>
            <w:proofErr w:type="spellStart"/>
            <w:r w:rsidRPr="007C3A91">
              <w:rPr>
                <w:rFonts w:ascii="Arial" w:hAnsi="Arial" w:cs="Arial"/>
                <w:sz w:val="20"/>
                <w:szCs w:val="20"/>
              </w:rPr>
              <w:t>Na</w:t>
            </w:r>
            <w:proofErr w:type="spellEnd"/>
            <w:r w:rsidRPr="007C3A91">
              <w:rPr>
                <w:rFonts w:ascii="Arial" w:hAnsi="Arial" w:cs="Arial"/>
                <w:sz w:val="20"/>
                <w:szCs w:val="20"/>
              </w:rPr>
              <w:t xml:space="preserve"> &lt; 2 g/d</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rPr>
              <w:t xml:space="preserve">Alta ingesta de </w:t>
            </w:r>
            <w:proofErr w:type="spellStart"/>
            <w:r w:rsidRPr="007C3A91">
              <w:rPr>
                <w:rFonts w:ascii="Arial" w:hAnsi="Arial" w:cs="Arial"/>
                <w:sz w:val="20"/>
                <w:szCs w:val="20"/>
              </w:rPr>
              <w:t>Na</w:t>
            </w:r>
            <w:proofErr w:type="spellEnd"/>
            <w:r w:rsidRPr="007C3A91">
              <w:rPr>
                <w:rFonts w:ascii="Arial" w:hAnsi="Arial" w:cs="Arial"/>
                <w:sz w:val="20"/>
                <w:szCs w:val="20"/>
                <w:lang w:val="es-ES"/>
              </w:rPr>
              <w:t xml:space="preserve"> </w:t>
            </w: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Disminución de la ingesta de sodio</w:t>
            </w:r>
          </w:p>
        </w:tc>
        <w:tc>
          <w:tcPr>
            <w:tcW w:w="4017"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&lt; PAS 3.47</w:t>
            </w:r>
            <w:r>
              <w:rPr>
                <w:rFonts w:ascii="Arial" w:hAnsi="Arial" w:cs="Arial"/>
                <w:sz w:val="20"/>
                <w:szCs w:val="20"/>
              </w:rPr>
              <w:t>/</w:t>
            </w:r>
            <w:r w:rsidRPr="007C3A91">
              <w:rPr>
                <w:rFonts w:ascii="Arial" w:hAnsi="Arial" w:cs="Arial"/>
                <w:sz w:val="20"/>
                <w:szCs w:val="20"/>
              </w:rPr>
              <w:t xml:space="preserve">PAD 1.81 </w:t>
            </w:r>
            <w:proofErr w:type="spellStart"/>
            <w:r w:rsidRPr="007C3A91">
              <w:rPr>
                <w:rFonts w:ascii="Arial" w:hAnsi="Arial" w:cs="Arial"/>
                <w:sz w:val="20"/>
                <w:szCs w:val="20"/>
              </w:rPr>
              <w:t>mmHg</w:t>
            </w:r>
            <w:proofErr w:type="spellEnd"/>
            <w:r w:rsidRPr="007C3A91">
              <w:rPr>
                <w:rFonts w:ascii="Arial" w:hAnsi="Arial" w:cs="Arial"/>
                <w:sz w:val="20"/>
                <w:szCs w:val="20"/>
              </w:rPr>
              <w:t>.</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rPr>
              <w:t>&gt;</w:t>
            </w:r>
            <w:r>
              <w:rPr>
                <w:rFonts w:ascii="Arial" w:hAnsi="Arial" w:cs="Arial"/>
                <w:sz w:val="20"/>
                <w:szCs w:val="20"/>
              </w:rPr>
              <w:t xml:space="preserve"> </w:t>
            </w:r>
            <w:proofErr w:type="gramStart"/>
            <w:r w:rsidRPr="007C3A91">
              <w:rPr>
                <w:rFonts w:ascii="Arial" w:hAnsi="Arial" w:cs="Arial"/>
                <w:sz w:val="20"/>
                <w:szCs w:val="20"/>
              </w:rPr>
              <w:t>riesgo</w:t>
            </w:r>
            <w:proofErr w:type="gramEnd"/>
            <w:r w:rsidRPr="007C3A91">
              <w:rPr>
                <w:rFonts w:ascii="Arial" w:hAnsi="Arial" w:cs="Arial"/>
                <w:sz w:val="20"/>
                <w:szCs w:val="20"/>
              </w:rPr>
              <w:t xml:space="preserve"> de ACV y </w:t>
            </w:r>
            <w:r w:rsidRPr="007C3A91">
              <w:rPr>
                <w:rFonts w:ascii="Arial" w:hAnsi="Arial" w:cs="Arial"/>
                <w:sz w:val="20"/>
                <w:szCs w:val="20"/>
                <w:lang w:val="es-ES"/>
              </w:rPr>
              <w:t>mortalidad por enfermedad coronaria.</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No efectos adversos significativos sobre función renal, lípidos sanguíneos o catecolaminas.</w:t>
            </w:r>
          </w:p>
        </w:tc>
        <w:tc>
          <w:tcPr>
            <w:tcW w:w="3071"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360" w:lineRule="auto"/>
              <w:jc w:val="both"/>
              <w:rPr>
                <w:rFonts w:ascii="Arial" w:hAnsi="Arial" w:cs="Arial"/>
                <w:bCs/>
                <w:sz w:val="20"/>
                <w:szCs w:val="20"/>
              </w:rPr>
            </w:pPr>
            <w:r w:rsidRPr="00A55B10">
              <w:rPr>
                <w:rFonts w:ascii="Arial" w:hAnsi="Arial" w:cs="Arial"/>
                <w:sz w:val="20"/>
                <w:szCs w:val="20"/>
              </w:rPr>
              <w:t>Aburto, N</w:t>
            </w:r>
            <w:r w:rsidR="00E63308">
              <w:rPr>
                <w:rFonts w:ascii="Arial" w:hAnsi="Arial" w:cs="Arial"/>
                <w:sz w:val="20"/>
                <w:szCs w:val="20"/>
              </w:rPr>
              <w:t>.</w:t>
            </w:r>
            <w:r w:rsidRPr="00A55B10">
              <w:rPr>
                <w:rFonts w:ascii="Arial" w:hAnsi="Arial" w:cs="Arial"/>
                <w:sz w:val="20"/>
                <w:szCs w:val="20"/>
              </w:rPr>
              <w:t>J</w:t>
            </w:r>
            <w:r w:rsidR="00E63308">
              <w:rPr>
                <w:rFonts w:ascii="Arial" w:hAnsi="Arial" w:cs="Arial"/>
                <w:sz w:val="20"/>
                <w:szCs w:val="20"/>
              </w:rPr>
              <w:t>.</w:t>
            </w:r>
            <w:r w:rsidRPr="00A55B10">
              <w:rPr>
                <w:rFonts w:ascii="Arial" w:hAnsi="Arial" w:cs="Arial"/>
                <w:sz w:val="20"/>
                <w:szCs w:val="20"/>
              </w:rPr>
              <w:t xml:space="preserve"> et al. (</w:t>
            </w:r>
            <w:r w:rsidRPr="00A55B10">
              <w:rPr>
                <w:rFonts w:ascii="Arial" w:hAnsi="Arial" w:cs="Arial"/>
                <w:bCs/>
                <w:sz w:val="20"/>
                <w:szCs w:val="20"/>
              </w:rPr>
              <w:t>2013</w:t>
            </w:r>
            <w:r w:rsidR="00A55B10">
              <w:rPr>
                <w:rFonts w:ascii="Arial" w:hAnsi="Arial" w:cs="Arial"/>
                <w:bCs/>
                <w:sz w:val="20"/>
                <w:szCs w:val="20"/>
              </w:rPr>
              <w:t>)</w:t>
            </w:r>
          </w:p>
          <w:p w:rsidR="00495E7A" w:rsidRPr="007C3A91" w:rsidRDefault="00495E7A" w:rsidP="00FF11CC">
            <w:pPr>
              <w:spacing w:after="0" w:line="360" w:lineRule="auto"/>
              <w:jc w:val="both"/>
              <w:rPr>
                <w:rFonts w:ascii="Arial" w:hAnsi="Arial" w:cs="Arial"/>
                <w:sz w:val="20"/>
                <w:szCs w:val="20"/>
              </w:rPr>
            </w:pP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Meta-análisis</w:t>
            </w:r>
            <w:r w:rsidRPr="00212F21">
              <w:rPr>
                <w:rFonts w:ascii="Arial" w:eastAsia="MS Gothic" w:hAnsi="Arial" w:cs="Arial"/>
                <w:bCs/>
                <w:sz w:val="20"/>
                <w:szCs w:val="20"/>
                <w:lang w:val="es-ES"/>
              </w:rPr>
              <w:t xml:space="preserve"> </w:t>
            </w:r>
            <w:r w:rsidR="00E63308">
              <w:rPr>
                <w:rFonts w:ascii="Arial" w:eastAsia="MS Gothic" w:hAnsi="Arial" w:cs="Arial"/>
                <w:bCs/>
                <w:sz w:val="20"/>
                <w:szCs w:val="20"/>
                <w:lang w:val="es-ES"/>
              </w:rPr>
              <w:t>h</w:t>
            </w:r>
            <w:r w:rsidRPr="00212F21">
              <w:rPr>
                <w:rFonts w:ascii="Arial" w:eastAsia="MS Gothic" w:hAnsi="Arial" w:cs="Arial"/>
                <w:bCs/>
                <w:sz w:val="20"/>
                <w:szCs w:val="20"/>
                <w:lang w:val="es-ES"/>
              </w:rPr>
              <w:t>umanos</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169 estudios</w:t>
            </w:r>
          </w:p>
          <w:p w:rsidR="00495E7A" w:rsidRPr="008A79FC" w:rsidRDefault="00495E7A" w:rsidP="00FF11CC">
            <w:pPr>
              <w:spacing w:after="0" w:line="240" w:lineRule="auto"/>
              <w:jc w:val="both"/>
              <w:rPr>
                <w:rFonts w:ascii="Arial" w:eastAsia="MS Gothic" w:hAnsi="Arial" w:cs="Arial"/>
                <w:bCs/>
                <w:sz w:val="20"/>
                <w:szCs w:val="20"/>
                <w:lang w:val="es-ES"/>
              </w:rPr>
            </w:pPr>
          </w:p>
          <w:p w:rsidR="00495E7A" w:rsidRPr="008A79FC" w:rsidRDefault="00495E7A" w:rsidP="00FF11CC">
            <w:pPr>
              <w:spacing w:after="0" w:line="240" w:lineRule="auto"/>
              <w:jc w:val="both"/>
              <w:rPr>
                <w:rFonts w:ascii="Arial" w:eastAsia="MS Gothic" w:hAnsi="Arial" w:cs="Arial"/>
                <w:bCs/>
                <w:sz w:val="20"/>
                <w:szCs w:val="20"/>
                <w:lang w:val="es-ES"/>
              </w:rPr>
            </w:pP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Ingesta de 2 g de sodio/ día.</w:t>
            </w: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Alto consumo de </w:t>
            </w:r>
            <w:proofErr w:type="spellStart"/>
            <w:r w:rsidRPr="007C3A91">
              <w:rPr>
                <w:rFonts w:ascii="Arial" w:hAnsi="Arial" w:cs="Arial"/>
                <w:sz w:val="20"/>
                <w:szCs w:val="20"/>
                <w:lang w:val="es-ES"/>
              </w:rPr>
              <w:t>Na</w:t>
            </w:r>
            <w:proofErr w:type="spellEnd"/>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Reduce la PA y el efecto </w:t>
            </w:r>
            <w:proofErr w:type="spellStart"/>
            <w:r w:rsidRPr="007C3A91">
              <w:rPr>
                <w:rFonts w:ascii="Arial" w:hAnsi="Arial" w:cs="Arial"/>
                <w:sz w:val="20"/>
                <w:szCs w:val="20"/>
                <w:lang w:val="es-ES"/>
              </w:rPr>
              <w:t>antihiper-tensivo</w:t>
            </w:r>
            <w:proofErr w:type="spellEnd"/>
            <w:r w:rsidR="00E63308">
              <w:rPr>
                <w:rFonts w:ascii="Arial" w:hAnsi="Arial" w:cs="Arial"/>
                <w:sz w:val="20"/>
                <w:szCs w:val="20"/>
                <w:lang w:val="es-ES"/>
              </w:rPr>
              <w:t>,</w:t>
            </w:r>
            <w:r w:rsidRPr="007C3A91">
              <w:rPr>
                <w:rFonts w:ascii="Arial" w:hAnsi="Arial" w:cs="Arial"/>
                <w:sz w:val="20"/>
                <w:szCs w:val="20"/>
                <w:lang w:val="es-ES"/>
              </w:rPr>
              <w:t xml:space="preserve"> reduce el riesgo de ECV y derrame cerebral.</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Induce efectos adversos además de elevar la PA. </w:t>
            </w:r>
          </w:p>
        </w:tc>
        <w:tc>
          <w:tcPr>
            <w:tcW w:w="3071"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360" w:lineRule="auto"/>
              <w:jc w:val="both"/>
              <w:rPr>
                <w:rFonts w:ascii="Arial" w:hAnsi="Arial" w:cs="Arial"/>
                <w:sz w:val="20"/>
                <w:szCs w:val="20"/>
              </w:rPr>
            </w:pPr>
            <w:proofErr w:type="spellStart"/>
            <w:r w:rsidRPr="007C3A91">
              <w:rPr>
                <w:rFonts w:ascii="Arial" w:hAnsi="Arial" w:cs="Arial"/>
                <w:sz w:val="20"/>
                <w:szCs w:val="20"/>
              </w:rPr>
              <w:t>Mozaffarian</w:t>
            </w:r>
            <w:proofErr w:type="spellEnd"/>
            <w:r w:rsidRPr="007C3A91">
              <w:rPr>
                <w:rFonts w:ascii="Arial" w:hAnsi="Arial" w:cs="Arial"/>
                <w:sz w:val="20"/>
                <w:szCs w:val="20"/>
              </w:rPr>
              <w:t>, D. et al. (2014)</w:t>
            </w:r>
          </w:p>
        </w:tc>
      </w:tr>
      <w:tr w:rsidR="00495E7A" w:rsidRPr="007C3A91" w:rsidTr="00FF11CC">
        <w:tc>
          <w:tcPr>
            <w:tcW w:w="12866" w:type="dxa"/>
            <w:gridSpan w:val="4"/>
            <w:tcBorders>
              <w:top w:val="single" w:sz="8" w:space="0" w:color="8064A2"/>
              <w:left w:val="single" w:sz="8" w:space="0" w:color="8064A2"/>
              <w:bottom w:val="single" w:sz="8" w:space="0" w:color="8064A2"/>
              <w:right w:val="single" w:sz="8" w:space="0" w:color="8064A2"/>
            </w:tcBorders>
            <w:shd w:val="clear" w:color="auto" w:fill="auto"/>
          </w:tcPr>
          <w:p w:rsidR="00495E7A" w:rsidRPr="00974996" w:rsidRDefault="00495E7A" w:rsidP="00FF11CC">
            <w:pPr>
              <w:spacing w:after="0" w:line="240" w:lineRule="auto"/>
              <w:jc w:val="center"/>
              <w:rPr>
                <w:rFonts w:ascii="Arial" w:eastAsia="MS Gothic" w:hAnsi="Arial" w:cs="Arial"/>
                <w:b/>
                <w:bCs/>
                <w:sz w:val="24"/>
                <w:szCs w:val="20"/>
              </w:rPr>
            </w:pPr>
            <w:r w:rsidRPr="00974996">
              <w:rPr>
                <w:rFonts w:ascii="Arial" w:eastAsia="MS Gothic" w:hAnsi="Arial" w:cs="Arial"/>
                <w:b/>
                <w:bCs/>
                <w:sz w:val="20"/>
                <w:szCs w:val="20"/>
                <w:lang w:val="es-ES"/>
              </w:rPr>
              <w:t xml:space="preserve">Evidencias que no soportan la disminución de </w:t>
            </w:r>
            <w:proofErr w:type="spellStart"/>
            <w:r w:rsidRPr="00974996">
              <w:rPr>
                <w:rFonts w:ascii="Arial" w:eastAsia="MS Gothic" w:hAnsi="Arial" w:cs="Arial"/>
                <w:b/>
                <w:bCs/>
                <w:sz w:val="20"/>
                <w:szCs w:val="20"/>
                <w:lang w:val="es-ES"/>
              </w:rPr>
              <w:t>Na</w:t>
            </w:r>
            <w:proofErr w:type="spellEnd"/>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Humanos</w:t>
            </w:r>
            <w:r w:rsidRPr="00A809A4">
              <w:rPr>
                <w:rFonts w:ascii="Arial" w:eastAsia="MS Gothic" w:hAnsi="Arial" w:cs="Arial"/>
                <w:bCs/>
                <w:sz w:val="20"/>
                <w:szCs w:val="20"/>
              </w:rPr>
              <w:t xml:space="preserve"> </w:t>
            </w:r>
            <w:r>
              <w:rPr>
                <w:rFonts w:ascii="Arial" w:eastAsia="MS Gothic" w:hAnsi="Arial" w:cs="Arial"/>
                <w:bCs/>
                <w:sz w:val="20"/>
                <w:szCs w:val="20"/>
              </w:rPr>
              <w:t>(</w:t>
            </w:r>
            <w:r w:rsidRPr="00A809A4">
              <w:rPr>
                <w:rFonts w:ascii="Arial" w:eastAsia="MS Gothic" w:hAnsi="Arial" w:cs="Arial"/>
                <w:bCs/>
                <w:sz w:val="20"/>
                <w:szCs w:val="20"/>
              </w:rPr>
              <w:t>n=20729</w:t>
            </w:r>
            <w:r>
              <w:rPr>
                <w:rFonts w:ascii="Arial" w:eastAsia="MS Gothic" w:hAnsi="Arial" w:cs="Arial"/>
                <w:bCs/>
                <w:sz w:val="20"/>
                <w:szCs w:val="20"/>
              </w:rPr>
              <w:t>)</w:t>
            </w:r>
            <w:r w:rsidRPr="00933B5C">
              <w:rPr>
                <w:rFonts w:ascii="Arial" w:eastAsia="MS Gothic" w:hAnsi="Arial" w:cs="Arial"/>
                <w:bCs/>
                <w:sz w:val="20"/>
                <w:szCs w:val="20"/>
              </w:rPr>
              <w:t xml:space="preserve"> </w:t>
            </w:r>
          </w:p>
          <w:p w:rsidR="00495E7A" w:rsidRPr="008A79FC" w:rsidRDefault="00495E7A" w:rsidP="00FF11CC">
            <w:pPr>
              <w:spacing w:after="0" w:line="240" w:lineRule="auto"/>
              <w:jc w:val="both"/>
              <w:rPr>
                <w:rFonts w:ascii="Arial" w:eastAsia="MS Gothic" w:hAnsi="Arial" w:cs="Arial"/>
                <w:bCs/>
                <w:sz w:val="20"/>
                <w:szCs w:val="20"/>
              </w:rPr>
            </w:pPr>
            <w:r w:rsidRPr="00933B5C">
              <w:rPr>
                <w:rFonts w:ascii="Arial" w:eastAsia="MS Gothic" w:hAnsi="Arial" w:cs="Arial"/>
                <w:bCs/>
                <w:sz w:val="20"/>
                <w:szCs w:val="20"/>
              </w:rPr>
              <w:t>NHANES I</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Observacional</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seguimiento 20 años</w:t>
            </w: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rPr>
              <w:t xml:space="preserve">Disminución de ingesta de </w:t>
            </w:r>
            <w:proofErr w:type="spellStart"/>
            <w:r w:rsidRPr="007C3A91">
              <w:rPr>
                <w:rFonts w:ascii="Arial" w:hAnsi="Arial" w:cs="Arial"/>
                <w:sz w:val="20"/>
                <w:szCs w:val="20"/>
              </w:rPr>
              <w:t>Na</w:t>
            </w:r>
            <w:proofErr w:type="spellEnd"/>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Asociado inversamente a mortalidad por todas las causas y CV.</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No justifica el incremento o disminución de consumo de sal en la dieta.</w:t>
            </w:r>
          </w:p>
        </w:tc>
        <w:tc>
          <w:tcPr>
            <w:tcW w:w="3071"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E63308">
            <w:pPr>
              <w:spacing w:after="0" w:line="360" w:lineRule="auto"/>
              <w:jc w:val="both"/>
              <w:rPr>
                <w:rFonts w:ascii="Arial" w:hAnsi="Arial" w:cs="Arial"/>
                <w:sz w:val="20"/>
                <w:szCs w:val="20"/>
                <w:lang w:val="en-US"/>
              </w:rPr>
            </w:pPr>
            <w:r w:rsidRPr="007C3A91">
              <w:rPr>
                <w:rFonts w:ascii="Arial" w:hAnsi="Arial" w:cs="Arial"/>
                <w:sz w:val="20"/>
                <w:szCs w:val="20"/>
                <w:lang w:val="en-US"/>
              </w:rPr>
              <w:t>Alderman M</w:t>
            </w:r>
            <w:r w:rsidR="00E63308">
              <w:rPr>
                <w:rFonts w:ascii="Arial" w:hAnsi="Arial" w:cs="Arial"/>
                <w:sz w:val="20"/>
                <w:szCs w:val="20"/>
                <w:lang w:val="en-US"/>
              </w:rPr>
              <w:t>.</w:t>
            </w:r>
            <w:r w:rsidRPr="007C3A91">
              <w:rPr>
                <w:rFonts w:ascii="Arial" w:hAnsi="Arial" w:cs="Arial"/>
                <w:sz w:val="20"/>
                <w:szCs w:val="20"/>
                <w:lang w:val="en-US"/>
              </w:rPr>
              <w:t>H</w:t>
            </w:r>
            <w:r w:rsidR="00E63308">
              <w:rPr>
                <w:rFonts w:ascii="Arial" w:hAnsi="Arial" w:cs="Arial"/>
                <w:sz w:val="20"/>
                <w:szCs w:val="20"/>
                <w:lang w:val="en-US"/>
              </w:rPr>
              <w:t>.</w:t>
            </w:r>
            <w:r w:rsidRPr="007C3A91">
              <w:rPr>
                <w:rFonts w:ascii="Arial" w:hAnsi="Arial" w:cs="Arial"/>
                <w:sz w:val="20"/>
                <w:szCs w:val="20"/>
                <w:lang w:val="en-US"/>
              </w:rPr>
              <w:t xml:space="preserve"> et al. (1998).</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auto"/>
          </w:tcPr>
          <w:p w:rsidR="00495E7A" w:rsidRPr="008A79FC" w:rsidRDefault="00495E7A" w:rsidP="00FF11CC">
            <w:pPr>
              <w:spacing w:after="0" w:line="240" w:lineRule="auto"/>
              <w:jc w:val="both"/>
              <w:rPr>
                <w:rFonts w:ascii="Arial" w:eastAsia="MS Gothic" w:hAnsi="Arial" w:cs="Arial"/>
                <w:bCs/>
                <w:sz w:val="20"/>
                <w:szCs w:val="20"/>
              </w:rPr>
            </w:pPr>
            <w:r w:rsidRPr="003D1605">
              <w:rPr>
                <w:rFonts w:ascii="Arial" w:eastAsia="MS Gothic" w:hAnsi="Arial" w:cs="Arial"/>
                <w:bCs/>
                <w:sz w:val="20"/>
                <w:szCs w:val="20"/>
                <w:lang w:val="es-ES"/>
              </w:rPr>
              <w:t>Meta-análisis</w:t>
            </w:r>
            <w:r w:rsidRPr="00974996">
              <w:rPr>
                <w:rFonts w:ascii="Arial" w:eastAsia="MS Gothic" w:hAnsi="Arial" w:cs="Arial"/>
                <w:bCs/>
                <w:sz w:val="20"/>
                <w:szCs w:val="20"/>
              </w:rPr>
              <w:t xml:space="preserve"> </w:t>
            </w:r>
            <w:r w:rsidR="00E63308">
              <w:rPr>
                <w:rFonts w:ascii="Arial" w:eastAsia="MS Gothic" w:hAnsi="Arial" w:cs="Arial"/>
                <w:bCs/>
                <w:sz w:val="20"/>
                <w:szCs w:val="20"/>
              </w:rPr>
              <w:t>h</w:t>
            </w:r>
            <w:r w:rsidRPr="008A79FC">
              <w:rPr>
                <w:rFonts w:ascii="Arial" w:eastAsia="MS Gothic" w:hAnsi="Arial" w:cs="Arial"/>
                <w:bCs/>
                <w:sz w:val="20"/>
                <w:szCs w:val="20"/>
              </w:rPr>
              <w:t>umanos</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Ensayos clínicos (6 meses a 7 años):</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 xml:space="preserve">3 estudios </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 xml:space="preserve">PA normal (n=2326), </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 xml:space="preserve">5 estudios </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hipertensos no tratados (n=387)</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 xml:space="preserve">3 estudios </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hipertensos tratados (n=801)</w:t>
            </w:r>
          </w:p>
        </w:tc>
        <w:tc>
          <w:tcPr>
            <w:tcW w:w="2740"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Disminución de ingesta de </w:t>
            </w:r>
            <w:proofErr w:type="spellStart"/>
            <w:r w:rsidRPr="007C3A91">
              <w:rPr>
                <w:rFonts w:ascii="Arial" w:hAnsi="Arial" w:cs="Arial"/>
                <w:sz w:val="20"/>
                <w:szCs w:val="20"/>
                <w:lang w:val="es-ES"/>
              </w:rPr>
              <w:t>Na</w:t>
            </w:r>
            <w:proofErr w:type="spellEnd"/>
          </w:p>
        </w:tc>
        <w:tc>
          <w:tcPr>
            <w:tcW w:w="4017"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lang w:val="es-ES"/>
              </w:rPr>
            </w:pPr>
            <w:r>
              <w:rPr>
                <w:rFonts w:ascii="Arial" w:hAnsi="Arial" w:cs="Arial"/>
                <w:sz w:val="20"/>
                <w:szCs w:val="20"/>
                <w:lang w:val="es-ES"/>
              </w:rPr>
              <w:t xml:space="preserve">&lt; </w:t>
            </w:r>
            <w:r w:rsidRPr="007C3A91">
              <w:rPr>
                <w:rFonts w:ascii="Arial" w:hAnsi="Arial" w:cs="Arial"/>
                <w:sz w:val="20"/>
                <w:szCs w:val="20"/>
                <w:lang w:val="es-ES"/>
              </w:rPr>
              <w:t xml:space="preserve">disminuye 1 </w:t>
            </w:r>
            <w:proofErr w:type="spellStart"/>
            <w:r w:rsidRPr="007C3A91">
              <w:rPr>
                <w:rFonts w:ascii="Arial" w:hAnsi="Arial" w:cs="Arial"/>
                <w:sz w:val="20"/>
                <w:szCs w:val="20"/>
                <w:lang w:val="es-ES"/>
              </w:rPr>
              <w:t>mmHg</w:t>
            </w:r>
            <w:proofErr w:type="spellEnd"/>
            <w:r w:rsidRPr="007C3A91">
              <w:rPr>
                <w:rFonts w:ascii="Arial" w:hAnsi="Arial" w:cs="Arial"/>
                <w:sz w:val="20"/>
                <w:szCs w:val="20"/>
                <w:lang w:val="es-ES"/>
              </w:rPr>
              <w:t xml:space="preserve"> PAS</w:t>
            </w:r>
            <w:r>
              <w:rPr>
                <w:rFonts w:ascii="Arial" w:hAnsi="Arial" w:cs="Arial"/>
                <w:sz w:val="20"/>
                <w:szCs w:val="20"/>
                <w:lang w:val="es-ES"/>
              </w:rPr>
              <w:t>/</w:t>
            </w:r>
            <w:r w:rsidRPr="007C3A91">
              <w:rPr>
                <w:rFonts w:ascii="Arial" w:hAnsi="Arial" w:cs="Arial"/>
                <w:sz w:val="20"/>
                <w:szCs w:val="20"/>
                <w:lang w:val="es-ES"/>
              </w:rPr>
              <w:t>&lt; disminución de la PAD. Muy difícil mantener dieta baja en sal.</w:t>
            </w: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La reducción de la PA &gt; personas con PA más alta.</w:t>
            </w: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En la suspensión del </w:t>
            </w:r>
            <w:proofErr w:type="spellStart"/>
            <w:r w:rsidRPr="007C3A91">
              <w:rPr>
                <w:rFonts w:ascii="Arial" w:hAnsi="Arial" w:cs="Arial"/>
                <w:sz w:val="20"/>
                <w:szCs w:val="20"/>
                <w:lang w:val="es-ES"/>
              </w:rPr>
              <w:t>Tx</w:t>
            </w:r>
            <w:proofErr w:type="spellEnd"/>
            <w:r w:rsidRPr="007C3A91">
              <w:rPr>
                <w:rFonts w:ascii="Arial" w:hAnsi="Arial" w:cs="Arial"/>
                <w:sz w:val="20"/>
                <w:szCs w:val="20"/>
                <w:lang w:val="es-ES"/>
              </w:rPr>
              <w:t xml:space="preserve"> antihipertensivo, la reducción de sal ayuda a mantener la PA baja. </w:t>
            </w:r>
          </w:p>
        </w:tc>
        <w:tc>
          <w:tcPr>
            <w:tcW w:w="3071"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360" w:lineRule="auto"/>
              <w:jc w:val="both"/>
              <w:rPr>
                <w:rFonts w:ascii="Arial" w:hAnsi="Arial" w:cs="Arial"/>
                <w:sz w:val="20"/>
                <w:szCs w:val="20"/>
                <w:lang w:val="en-US"/>
              </w:rPr>
            </w:pPr>
            <w:r w:rsidRPr="007C3A91">
              <w:rPr>
                <w:rFonts w:ascii="Arial" w:hAnsi="Arial" w:cs="Arial"/>
                <w:sz w:val="20"/>
                <w:szCs w:val="20"/>
                <w:lang w:val="en-US"/>
              </w:rPr>
              <w:t>Hooper, L. et al. (2004)</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Humanos</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Cohorte (2000 – 2005)</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n=232 pacientes con ICC compensada. Reingresos por ICC 180 días</w:t>
            </w:r>
          </w:p>
          <w:p w:rsidR="00495E7A" w:rsidRPr="008A79FC" w:rsidRDefault="00495E7A" w:rsidP="00FF11CC">
            <w:pPr>
              <w:spacing w:after="0" w:line="240" w:lineRule="auto"/>
              <w:jc w:val="both"/>
              <w:rPr>
                <w:rFonts w:ascii="Arial" w:eastAsia="MS Gothic" w:hAnsi="Arial" w:cs="Arial"/>
                <w:bCs/>
                <w:sz w:val="20"/>
                <w:szCs w:val="20"/>
                <w:lang w:val="es-ES"/>
              </w:rPr>
            </w:pP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lang w:val="es-ES"/>
              </w:rPr>
              <w:t xml:space="preserve">Excreción basal de 120 </w:t>
            </w:r>
            <w:proofErr w:type="spellStart"/>
            <w:r w:rsidRPr="008A79FC">
              <w:rPr>
                <w:rFonts w:ascii="Arial" w:eastAsia="MS Gothic" w:hAnsi="Arial" w:cs="Arial"/>
                <w:bCs/>
                <w:sz w:val="20"/>
                <w:szCs w:val="20"/>
                <w:lang w:val="es-ES"/>
              </w:rPr>
              <w:t>mmol</w:t>
            </w:r>
            <w:proofErr w:type="spellEnd"/>
            <w:r w:rsidRPr="008A79FC">
              <w:rPr>
                <w:rFonts w:ascii="Arial" w:eastAsia="MS Gothic" w:hAnsi="Arial" w:cs="Arial"/>
                <w:bCs/>
                <w:sz w:val="20"/>
                <w:szCs w:val="20"/>
                <w:lang w:val="es-ES"/>
              </w:rPr>
              <w:t xml:space="preserve">/d </w:t>
            </w: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lastRenderedPageBreak/>
              <w:t xml:space="preserve">&lt; excreción de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 xml:space="preserve"> </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 xml:space="preserve">80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 xml:space="preserve"> </w:t>
            </w:r>
            <w:proofErr w:type="spellStart"/>
            <w:r w:rsidRPr="007C3A91">
              <w:rPr>
                <w:rFonts w:ascii="Arial" w:hAnsi="Arial" w:cs="Arial"/>
                <w:sz w:val="20"/>
                <w:szCs w:val="20"/>
              </w:rPr>
              <w:t>UNaE</w:t>
            </w:r>
            <w:proofErr w:type="spellEnd"/>
            <w:r w:rsidRPr="007C3A91">
              <w:rPr>
                <w:rFonts w:ascii="Arial" w:hAnsi="Arial" w:cs="Arial"/>
                <w:sz w:val="20"/>
                <w:szCs w:val="20"/>
              </w:rPr>
              <w:t xml:space="preserve"> 24 </w:t>
            </w:r>
            <w:proofErr w:type="spellStart"/>
            <w:r w:rsidRPr="007C3A91">
              <w:rPr>
                <w:rFonts w:ascii="Arial" w:hAnsi="Arial" w:cs="Arial"/>
                <w:sz w:val="20"/>
                <w:szCs w:val="20"/>
              </w:rPr>
              <w:t>hr</w:t>
            </w:r>
            <w:proofErr w:type="spellEnd"/>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w:t>
            </w:r>
            <w:r w:rsidRPr="007C3A91">
              <w:rPr>
                <w:rFonts w:ascii="Arial" w:hAnsi="Arial" w:cs="Arial"/>
                <w:sz w:val="20"/>
                <w:szCs w:val="20"/>
              </w:rPr>
              <w:t>2606.66 mg de Ingesta</w:t>
            </w:r>
            <w:r w:rsidRPr="007C3A91">
              <w:rPr>
                <w:rFonts w:ascii="Arial" w:hAnsi="Arial" w:cs="Arial"/>
                <w:sz w:val="20"/>
                <w:szCs w:val="20"/>
                <w:lang w:val="es-ES"/>
              </w:rPr>
              <w:t>)</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Consumo normal de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 xml:space="preserve"> 120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 xml:space="preserve"> </w:t>
            </w:r>
            <w:proofErr w:type="spellStart"/>
            <w:r w:rsidRPr="007C3A91">
              <w:rPr>
                <w:rFonts w:ascii="Arial" w:hAnsi="Arial" w:cs="Arial"/>
                <w:sz w:val="20"/>
                <w:szCs w:val="20"/>
              </w:rPr>
              <w:t>UNaE</w:t>
            </w:r>
            <w:proofErr w:type="spellEnd"/>
            <w:r w:rsidRPr="007C3A91">
              <w:rPr>
                <w:rFonts w:ascii="Arial" w:hAnsi="Arial" w:cs="Arial"/>
                <w:sz w:val="20"/>
                <w:szCs w:val="20"/>
              </w:rPr>
              <w:t xml:space="preserve"> 24 </w:t>
            </w:r>
            <w:proofErr w:type="spellStart"/>
            <w:r w:rsidRPr="007C3A91">
              <w:rPr>
                <w:rFonts w:ascii="Arial" w:hAnsi="Arial" w:cs="Arial"/>
                <w:sz w:val="20"/>
                <w:szCs w:val="20"/>
              </w:rPr>
              <w:t>hr</w:t>
            </w:r>
            <w:proofErr w:type="spellEnd"/>
            <w:r w:rsidRPr="007C3A91">
              <w:rPr>
                <w:rFonts w:ascii="Arial" w:hAnsi="Arial" w:cs="Arial"/>
                <w:sz w:val="20"/>
                <w:szCs w:val="20"/>
              </w:rPr>
              <w:t xml:space="preserve"> </w:t>
            </w:r>
            <w:r w:rsidRPr="007C3A91">
              <w:rPr>
                <w:rFonts w:ascii="Arial" w:hAnsi="Arial" w:cs="Arial"/>
                <w:sz w:val="20"/>
                <w:szCs w:val="20"/>
                <w:lang w:val="es-ES"/>
              </w:rPr>
              <w:t>(</w:t>
            </w:r>
            <w:r w:rsidRPr="007C3A91">
              <w:rPr>
                <w:rFonts w:ascii="Arial" w:hAnsi="Arial" w:cs="Arial"/>
                <w:sz w:val="20"/>
                <w:szCs w:val="20"/>
              </w:rPr>
              <w:t xml:space="preserve">4778.88 </w:t>
            </w:r>
            <w:r w:rsidRPr="007C3A91">
              <w:rPr>
                <w:rFonts w:ascii="Arial" w:hAnsi="Arial" w:cs="Arial"/>
                <w:sz w:val="20"/>
                <w:szCs w:val="20"/>
              </w:rPr>
              <w:lastRenderedPageBreak/>
              <w:t>mg de Ingesta</w:t>
            </w:r>
            <w:r w:rsidRPr="007C3A91">
              <w:rPr>
                <w:rFonts w:ascii="Arial" w:hAnsi="Arial" w:cs="Arial"/>
                <w:sz w:val="20"/>
                <w:szCs w:val="20"/>
                <w:lang w:val="es-ES"/>
              </w:rPr>
              <w:t>)</w:t>
            </w:r>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r w:rsidRPr="007C3A91">
              <w:rPr>
                <w:rFonts w:ascii="Arial" w:hAnsi="Arial" w:cs="Arial"/>
                <w:sz w:val="20"/>
                <w:szCs w:val="20"/>
                <w:lang w:val="es-ES"/>
              </w:rPr>
              <w:lastRenderedPageBreak/>
              <w:t>Niveles de aldosterona y actividad de renina significativamente altos</w:t>
            </w:r>
          </w:p>
          <w:p w:rsidR="00495E7A" w:rsidRPr="007C3A91" w:rsidRDefault="00495E7A" w:rsidP="00FF11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p>
          <w:p w:rsidR="00495E7A" w:rsidRPr="007C3A91" w:rsidRDefault="00495E7A" w:rsidP="00FF11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lang w:val="es-ES"/>
              </w:rPr>
            </w:pPr>
            <w:r w:rsidRPr="007C3A91">
              <w:rPr>
                <w:rFonts w:ascii="Arial" w:hAnsi="Arial" w:cs="Arial"/>
                <w:sz w:val="20"/>
                <w:szCs w:val="20"/>
                <w:lang w:val="es-ES"/>
              </w:rPr>
              <w:t xml:space="preserve">&lt; </w:t>
            </w:r>
            <w:proofErr w:type="gramStart"/>
            <w:r w:rsidRPr="007C3A91">
              <w:rPr>
                <w:rFonts w:ascii="Arial" w:hAnsi="Arial" w:cs="Arial"/>
                <w:sz w:val="20"/>
                <w:szCs w:val="20"/>
                <w:lang w:val="es-ES"/>
              </w:rPr>
              <w:t>incidencia</w:t>
            </w:r>
            <w:proofErr w:type="gramEnd"/>
            <w:r w:rsidRPr="007C3A91">
              <w:rPr>
                <w:rFonts w:ascii="Arial" w:hAnsi="Arial" w:cs="Arial"/>
                <w:sz w:val="20"/>
                <w:szCs w:val="20"/>
                <w:lang w:val="es-ES"/>
              </w:rPr>
              <w:t xml:space="preserve"> de re-hospitalización, disminución significativa de péptido </w:t>
            </w:r>
            <w:proofErr w:type="spellStart"/>
            <w:r w:rsidRPr="007C3A91">
              <w:rPr>
                <w:rFonts w:ascii="Arial" w:hAnsi="Arial" w:cs="Arial"/>
                <w:sz w:val="20"/>
                <w:szCs w:val="20"/>
                <w:lang w:val="es-ES"/>
              </w:rPr>
              <w:lastRenderedPageBreak/>
              <w:t>natriurético</w:t>
            </w:r>
            <w:proofErr w:type="spellEnd"/>
            <w:r w:rsidRPr="007C3A91">
              <w:rPr>
                <w:rFonts w:ascii="Arial" w:hAnsi="Arial" w:cs="Arial"/>
                <w:sz w:val="20"/>
                <w:szCs w:val="20"/>
                <w:lang w:val="es-ES"/>
              </w:rPr>
              <w:t>, aldosterona y actividad de renina plasmáticos.</w:t>
            </w:r>
          </w:p>
        </w:tc>
        <w:tc>
          <w:tcPr>
            <w:tcW w:w="3071"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360" w:lineRule="auto"/>
              <w:jc w:val="both"/>
              <w:rPr>
                <w:rFonts w:ascii="Arial" w:hAnsi="Arial" w:cs="Arial"/>
                <w:sz w:val="20"/>
                <w:szCs w:val="20"/>
              </w:rPr>
            </w:pPr>
            <w:r w:rsidRPr="007C3A91">
              <w:rPr>
                <w:rFonts w:ascii="Arial" w:hAnsi="Arial" w:cs="Arial"/>
                <w:sz w:val="20"/>
                <w:szCs w:val="20"/>
              </w:rPr>
              <w:lastRenderedPageBreak/>
              <w:t xml:space="preserve">Paterna, S. et al. (2008) </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auto"/>
          </w:tcPr>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lastRenderedPageBreak/>
              <w:t>Humanos</w:t>
            </w:r>
            <w:r w:rsidRPr="005623C3">
              <w:rPr>
                <w:rFonts w:ascii="Arial" w:eastAsia="MS Gothic" w:hAnsi="Arial" w:cs="Arial"/>
                <w:bCs/>
                <w:sz w:val="20"/>
                <w:szCs w:val="20"/>
                <w:lang w:val="es-ES"/>
              </w:rPr>
              <w:t xml:space="preserve"> </w:t>
            </w:r>
            <w:r>
              <w:rPr>
                <w:rFonts w:ascii="Arial" w:eastAsia="MS Gothic" w:hAnsi="Arial" w:cs="Arial"/>
                <w:bCs/>
                <w:sz w:val="20"/>
                <w:szCs w:val="20"/>
                <w:lang w:val="es-ES"/>
              </w:rPr>
              <w:t>(</w:t>
            </w:r>
            <w:r w:rsidRPr="005623C3">
              <w:rPr>
                <w:rFonts w:ascii="Arial" w:eastAsia="MS Gothic" w:hAnsi="Arial" w:cs="Arial"/>
                <w:bCs/>
                <w:sz w:val="20"/>
                <w:szCs w:val="20"/>
                <w:lang w:val="es-ES"/>
              </w:rPr>
              <w:t>n=3681</w:t>
            </w:r>
            <w:r>
              <w:rPr>
                <w:rFonts w:ascii="Arial" w:eastAsia="MS Gothic" w:hAnsi="Arial" w:cs="Arial"/>
                <w:bCs/>
                <w:sz w:val="20"/>
                <w:szCs w:val="20"/>
                <w:lang w:val="es-ES"/>
              </w:rPr>
              <w:t>)</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Cohorte seguimiento promedio 7.9 años</w:t>
            </w:r>
          </w:p>
        </w:tc>
        <w:tc>
          <w:tcPr>
            <w:tcW w:w="2740"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 xml:space="preserve">&lt; excreción de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 xml:space="preserve"> 1 </w:t>
            </w:r>
            <w:proofErr w:type="spellStart"/>
            <w:r w:rsidRPr="007C3A91">
              <w:rPr>
                <w:rFonts w:ascii="Arial" w:hAnsi="Arial" w:cs="Arial"/>
                <w:sz w:val="20"/>
                <w:szCs w:val="20"/>
                <w:lang w:val="es-ES"/>
              </w:rPr>
              <w:t>tercil</w:t>
            </w:r>
            <w:proofErr w:type="spellEnd"/>
            <w:r w:rsidRPr="007C3A91">
              <w:rPr>
                <w:rFonts w:ascii="Arial" w:hAnsi="Arial" w:cs="Arial"/>
                <w:sz w:val="20"/>
                <w:szCs w:val="20"/>
                <w:lang w:val="es-ES"/>
              </w:rPr>
              <w:t xml:space="preserve">: 107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 xml:space="preserve"> </w:t>
            </w:r>
            <w:proofErr w:type="spellStart"/>
            <w:r w:rsidRPr="007C3A91">
              <w:rPr>
                <w:rFonts w:ascii="Arial" w:hAnsi="Arial" w:cs="Arial"/>
                <w:sz w:val="20"/>
                <w:szCs w:val="20"/>
              </w:rPr>
              <w:t>UNaE</w:t>
            </w:r>
            <w:proofErr w:type="spellEnd"/>
            <w:r w:rsidRPr="007C3A91">
              <w:rPr>
                <w:rFonts w:ascii="Arial" w:hAnsi="Arial" w:cs="Arial"/>
                <w:sz w:val="20"/>
                <w:szCs w:val="20"/>
              </w:rPr>
              <w:t xml:space="preserve"> 24 </w:t>
            </w:r>
            <w:proofErr w:type="spellStart"/>
            <w:r w:rsidRPr="007C3A91">
              <w:rPr>
                <w:rFonts w:ascii="Arial" w:hAnsi="Arial" w:cs="Arial"/>
                <w:sz w:val="20"/>
                <w:szCs w:val="20"/>
              </w:rPr>
              <w:t>hr</w:t>
            </w:r>
            <w:proofErr w:type="spellEnd"/>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(2934.44 </w:t>
            </w:r>
            <w:r w:rsidRPr="007C3A91">
              <w:rPr>
                <w:rFonts w:ascii="Arial" w:hAnsi="Arial" w:cs="Arial"/>
                <w:sz w:val="20"/>
                <w:szCs w:val="20"/>
              </w:rPr>
              <w:t>mg de Ingesta)</w:t>
            </w:r>
          </w:p>
        </w:tc>
        <w:tc>
          <w:tcPr>
            <w:tcW w:w="4017"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E6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lang w:val="es-ES"/>
              </w:rPr>
            </w:pPr>
            <w:r w:rsidRPr="007C3A91">
              <w:rPr>
                <w:rFonts w:ascii="Arial" w:hAnsi="Arial" w:cs="Arial"/>
                <w:sz w:val="20"/>
                <w:szCs w:val="20"/>
                <w:lang w:val="es-ES"/>
              </w:rPr>
              <w:t xml:space="preserve">&gt; </w:t>
            </w:r>
            <w:proofErr w:type="gramStart"/>
            <w:r w:rsidRPr="007C3A91">
              <w:rPr>
                <w:rFonts w:ascii="Arial" w:hAnsi="Arial" w:cs="Arial"/>
                <w:sz w:val="20"/>
                <w:szCs w:val="20"/>
                <w:lang w:val="es-ES"/>
              </w:rPr>
              <w:t>mortalidad</w:t>
            </w:r>
            <w:proofErr w:type="gramEnd"/>
            <w:r w:rsidRPr="007C3A91">
              <w:rPr>
                <w:rFonts w:ascii="Arial" w:hAnsi="Arial" w:cs="Arial"/>
                <w:sz w:val="20"/>
                <w:szCs w:val="20"/>
                <w:lang w:val="es-ES"/>
              </w:rPr>
              <w:t xml:space="preserve"> ECV</w:t>
            </w:r>
            <w:r>
              <w:rPr>
                <w:rFonts w:ascii="Arial" w:hAnsi="Arial" w:cs="Arial"/>
                <w:sz w:val="20"/>
                <w:szCs w:val="20"/>
                <w:lang w:val="es-ES"/>
              </w:rPr>
              <w:t xml:space="preserve">, </w:t>
            </w:r>
            <w:r w:rsidR="00E63308">
              <w:rPr>
                <w:rFonts w:ascii="Arial" w:hAnsi="Arial" w:cs="Arial"/>
                <w:sz w:val="20"/>
                <w:szCs w:val="20"/>
                <w:lang w:val="es-ES"/>
              </w:rPr>
              <w:t>so</w:t>
            </w:r>
            <w:r w:rsidRPr="007C3A91">
              <w:rPr>
                <w:rFonts w:ascii="Arial" w:hAnsi="Arial" w:cs="Arial"/>
                <w:sz w:val="20"/>
                <w:szCs w:val="20"/>
                <w:lang w:val="es-ES"/>
              </w:rPr>
              <w:t xml:space="preserve">lo modificación de PAS con cambios en la excreción de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 sin &gt; riesgo de HAS o ECV.</w:t>
            </w:r>
          </w:p>
        </w:tc>
        <w:tc>
          <w:tcPr>
            <w:tcW w:w="3071"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360" w:lineRule="auto"/>
              <w:jc w:val="both"/>
              <w:rPr>
                <w:rFonts w:ascii="Arial" w:hAnsi="Arial" w:cs="Arial"/>
                <w:sz w:val="20"/>
                <w:szCs w:val="20"/>
                <w:lang w:val="en-US"/>
              </w:rPr>
            </w:pPr>
            <w:proofErr w:type="spellStart"/>
            <w:r w:rsidRPr="007C3A91">
              <w:rPr>
                <w:rFonts w:ascii="Arial" w:hAnsi="Arial" w:cs="Arial"/>
                <w:sz w:val="20"/>
                <w:szCs w:val="20"/>
                <w:lang w:val="en-US"/>
              </w:rPr>
              <w:t>Stolarz-Skrzypek</w:t>
            </w:r>
            <w:proofErr w:type="spellEnd"/>
            <w:r w:rsidRPr="007C3A91">
              <w:rPr>
                <w:rFonts w:ascii="Arial" w:hAnsi="Arial" w:cs="Arial"/>
                <w:sz w:val="20"/>
                <w:szCs w:val="20"/>
                <w:lang w:val="en-US"/>
              </w:rPr>
              <w:t xml:space="preserve">, K. et al. (2011) </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Humanos</w:t>
            </w:r>
            <w:r w:rsidRPr="00812483">
              <w:rPr>
                <w:rFonts w:ascii="Arial" w:eastAsia="MS Gothic" w:hAnsi="Arial" w:cs="Arial"/>
                <w:bCs/>
                <w:sz w:val="20"/>
                <w:szCs w:val="20"/>
              </w:rPr>
              <w:t xml:space="preserve"> </w:t>
            </w:r>
            <w:r>
              <w:rPr>
                <w:rFonts w:ascii="Arial" w:eastAsia="MS Gothic" w:hAnsi="Arial" w:cs="Arial"/>
                <w:bCs/>
                <w:sz w:val="20"/>
                <w:szCs w:val="20"/>
              </w:rPr>
              <w:t>(</w:t>
            </w:r>
            <w:r w:rsidRPr="00812483">
              <w:rPr>
                <w:rFonts w:ascii="Arial" w:eastAsia="MS Gothic" w:hAnsi="Arial" w:cs="Arial"/>
                <w:bCs/>
                <w:sz w:val="20"/>
                <w:szCs w:val="20"/>
              </w:rPr>
              <w:t>n=638</w:t>
            </w:r>
            <w:r>
              <w:rPr>
                <w:rFonts w:ascii="Arial" w:eastAsia="MS Gothic" w:hAnsi="Arial" w:cs="Arial"/>
                <w:bCs/>
                <w:sz w:val="20"/>
                <w:szCs w:val="20"/>
              </w:rPr>
              <w:t>)</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Cohorte (2000 – 2010)</w:t>
            </w:r>
          </w:p>
          <w:p w:rsidR="00495E7A" w:rsidRPr="008A79FC" w:rsidRDefault="00495E7A" w:rsidP="00FF11CC">
            <w:pPr>
              <w:spacing w:after="0" w:line="240" w:lineRule="auto"/>
              <w:jc w:val="both"/>
              <w:rPr>
                <w:rFonts w:ascii="Arial" w:eastAsia="MS Gothic" w:hAnsi="Arial" w:cs="Arial"/>
                <w:bCs/>
                <w:sz w:val="20"/>
                <w:szCs w:val="20"/>
              </w:rPr>
            </w:pPr>
            <w:r>
              <w:rPr>
                <w:rFonts w:ascii="Arial" w:eastAsia="MS Gothic" w:hAnsi="Arial" w:cs="Arial"/>
                <w:bCs/>
                <w:sz w:val="20"/>
                <w:szCs w:val="20"/>
              </w:rPr>
              <w:t>P</w:t>
            </w:r>
            <w:r w:rsidRPr="008A79FC">
              <w:rPr>
                <w:rFonts w:ascii="Arial" w:eastAsia="MS Gothic" w:hAnsi="Arial" w:cs="Arial"/>
                <w:bCs/>
                <w:sz w:val="20"/>
                <w:szCs w:val="20"/>
              </w:rPr>
              <w:t xml:space="preserve">acientes con DT2 </w:t>
            </w: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&lt; excreción de </w:t>
            </w:r>
            <w:proofErr w:type="spellStart"/>
            <w:r w:rsidRPr="007C3A91">
              <w:rPr>
                <w:rFonts w:ascii="Arial" w:hAnsi="Arial" w:cs="Arial"/>
                <w:sz w:val="20"/>
                <w:szCs w:val="20"/>
                <w:lang w:val="es-ES"/>
              </w:rPr>
              <w:t>Na</w:t>
            </w:r>
            <w:proofErr w:type="spellEnd"/>
            <w:r>
              <w:rPr>
                <w:rFonts w:ascii="Arial" w:hAnsi="Arial" w:cs="Arial"/>
                <w:sz w:val="20"/>
                <w:szCs w:val="20"/>
                <w:lang w:val="es-ES"/>
              </w:rPr>
              <w:t xml:space="preserve"> </w:t>
            </w:r>
            <w:r w:rsidRPr="007C3A91">
              <w:rPr>
                <w:rFonts w:ascii="Arial" w:hAnsi="Arial" w:cs="Arial"/>
                <w:sz w:val="20"/>
                <w:szCs w:val="20"/>
                <w:lang w:val="es-ES"/>
              </w:rPr>
              <w:t xml:space="preserve">1 </w:t>
            </w:r>
            <w:proofErr w:type="spellStart"/>
            <w:r w:rsidRPr="007C3A91">
              <w:rPr>
                <w:rFonts w:ascii="Arial" w:hAnsi="Arial" w:cs="Arial"/>
                <w:sz w:val="20"/>
                <w:szCs w:val="20"/>
                <w:lang w:val="es-ES"/>
              </w:rPr>
              <w:t>tercil</w:t>
            </w:r>
            <w:proofErr w:type="spellEnd"/>
            <w:r w:rsidRPr="007C3A91">
              <w:rPr>
                <w:rFonts w:ascii="Arial" w:hAnsi="Arial" w:cs="Arial"/>
                <w:sz w:val="20"/>
                <w:szCs w:val="20"/>
                <w:lang w:val="es-ES"/>
              </w:rPr>
              <w:t xml:space="preserve">: 150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 xml:space="preserve"> </w:t>
            </w:r>
            <w:proofErr w:type="spellStart"/>
            <w:r w:rsidRPr="007C3A91">
              <w:rPr>
                <w:rFonts w:ascii="Arial" w:hAnsi="Arial" w:cs="Arial"/>
                <w:sz w:val="20"/>
                <w:szCs w:val="20"/>
              </w:rPr>
              <w:t>UNaE</w:t>
            </w:r>
            <w:proofErr w:type="spellEnd"/>
            <w:r w:rsidRPr="007C3A91">
              <w:rPr>
                <w:rFonts w:ascii="Arial" w:hAnsi="Arial" w:cs="Arial"/>
                <w:sz w:val="20"/>
                <w:szCs w:val="20"/>
              </w:rPr>
              <w:t xml:space="preserve"> 24 </w:t>
            </w:r>
            <w:proofErr w:type="spellStart"/>
            <w:r w:rsidRPr="007C3A91">
              <w:rPr>
                <w:rFonts w:ascii="Arial" w:hAnsi="Arial" w:cs="Arial"/>
                <w:sz w:val="20"/>
                <w:szCs w:val="20"/>
              </w:rPr>
              <w:t>hr</w:t>
            </w:r>
            <w:proofErr w:type="spellEnd"/>
            <w:r>
              <w:rPr>
                <w:rFonts w:ascii="Arial" w:hAnsi="Arial" w:cs="Arial"/>
                <w:sz w:val="20"/>
                <w:szCs w:val="20"/>
                <w:lang w:val="es-ES"/>
              </w:rPr>
              <w:t xml:space="preserve"> </w:t>
            </w:r>
            <w:r w:rsidRPr="007C3A91">
              <w:rPr>
                <w:rFonts w:ascii="Arial" w:hAnsi="Arial" w:cs="Arial"/>
                <w:sz w:val="20"/>
                <w:szCs w:val="20"/>
                <w:lang w:val="es-ES"/>
              </w:rPr>
              <w:t xml:space="preserve">(3833.33 </w:t>
            </w:r>
            <w:r w:rsidRPr="007C3A91">
              <w:rPr>
                <w:rFonts w:ascii="Arial" w:hAnsi="Arial" w:cs="Arial"/>
                <w:sz w:val="20"/>
                <w:szCs w:val="20"/>
              </w:rPr>
              <w:t>mg de Ingesta</w:t>
            </w:r>
            <w:r w:rsidRPr="007C3A91">
              <w:rPr>
                <w:rFonts w:ascii="Arial" w:hAnsi="Arial" w:cs="Arial"/>
                <w:sz w:val="20"/>
                <w:szCs w:val="20"/>
                <w:lang w:val="es-ES"/>
              </w:rPr>
              <w:t>)</w:t>
            </w:r>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&gt; </w:t>
            </w:r>
            <w:proofErr w:type="gramStart"/>
            <w:r w:rsidRPr="007C3A91">
              <w:rPr>
                <w:rFonts w:ascii="Arial" w:hAnsi="Arial" w:cs="Arial"/>
                <w:sz w:val="20"/>
                <w:szCs w:val="20"/>
                <w:lang w:val="es-ES"/>
              </w:rPr>
              <w:t>riesgo</w:t>
            </w:r>
            <w:proofErr w:type="gramEnd"/>
            <w:r w:rsidRPr="007C3A91">
              <w:rPr>
                <w:rFonts w:ascii="Arial" w:hAnsi="Arial" w:cs="Arial"/>
                <w:sz w:val="20"/>
                <w:szCs w:val="20"/>
                <w:lang w:val="es-ES"/>
              </w:rPr>
              <w:t xml:space="preserve"> de mortalidad por todas las causas y mortalidad CV.</w:t>
            </w:r>
          </w:p>
        </w:tc>
        <w:tc>
          <w:tcPr>
            <w:tcW w:w="3071"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E63308">
            <w:pPr>
              <w:spacing w:after="0" w:line="360" w:lineRule="auto"/>
              <w:jc w:val="both"/>
              <w:rPr>
                <w:rFonts w:ascii="Arial" w:hAnsi="Arial" w:cs="Arial"/>
                <w:sz w:val="20"/>
                <w:szCs w:val="20"/>
                <w:lang w:val="en-US"/>
              </w:rPr>
            </w:pPr>
            <w:proofErr w:type="spellStart"/>
            <w:r w:rsidRPr="007C3A91">
              <w:rPr>
                <w:rFonts w:ascii="Arial" w:hAnsi="Arial" w:cs="Arial"/>
                <w:sz w:val="20"/>
                <w:szCs w:val="20"/>
                <w:lang w:val="en-US"/>
              </w:rPr>
              <w:t>Ekinci</w:t>
            </w:r>
            <w:proofErr w:type="spellEnd"/>
            <w:r w:rsidRPr="007C3A91">
              <w:rPr>
                <w:rFonts w:ascii="Arial" w:hAnsi="Arial" w:cs="Arial"/>
                <w:sz w:val="20"/>
                <w:szCs w:val="20"/>
                <w:lang w:val="en-US"/>
              </w:rPr>
              <w:t>, E</w:t>
            </w:r>
            <w:r w:rsidR="00E63308">
              <w:rPr>
                <w:rFonts w:ascii="Arial" w:hAnsi="Arial" w:cs="Arial"/>
                <w:sz w:val="20"/>
                <w:szCs w:val="20"/>
                <w:lang w:val="en-US"/>
              </w:rPr>
              <w:t>.</w:t>
            </w:r>
            <w:r w:rsidRPr="007C3A91">
              <w:rPr>
                <w:rFonts w:ascii="Arial" w:hAnsi="Arial" w:cs="Arial"/>
                <w:sz w:val="20"/>
                <w:szCs w:val="20"/>
                <w:lang w:val="en-US"/>
              </w:rPr>
              <w:t>I. et a</w:t>
            </w:r>
            <w:r w:rsidR="00E63308">
              <w:rPr>
                <w:rFonts w:ascii="Arial" w:hAnsi="Arial" w:cs="Arial"/>
                <w:sz w:val="20"/>
                <w:szCs w:val="20"/>
                <w:lang w:val="en-US"/>
              </w:rPr>
              <w:t>l.</w:t>
            </w:r>
            <w:r w:rsidRPr="007C3A91">
              <w:rPr>
                <w:rFonts w:ascii="Arial" w:hAnsi="Arial" w:cs="Arial"/>
                <w:sz w:val="20"/>
                <w:szCs w:val="20"/>
                <w:lang w:val="en-US"/>
              </w:rPr>
              <w:t xml:space="preserve"> (2011)</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auto"/>
          </w:tcPr>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Humanos</w:t>
            </w:r>
            <w:r w:rsidRPr="00530647">
              <w:rPr>
                <w:rFonts w:ascii="Arial" w:eastAsia="MS Gothic" w:hAnsi="Arial" w:cs="Arial"/>
                <w:bCs/>
                <w:sz w:val="20"/>
                <w:szCs w:val="20"/>
              </w:rPr>
              <w:t xml:space="preserve"> </w:t>
            </w:r>
            <w:r>
              <w:rPr>
                <w:rFonts w:ascii="Arial" w:eastAsia="MS Gothic" w:hAnsi="Arial" w:cs="Arial"/>
                <w:bCs/>
                <w:sz w:val="20"/>
                <w:szCs w:val="20"/>
              </w:rPr>
              <w:t>(</w:t>
            </w:r>
            <w:r w:rsidRPr="00530647">
              <w:rPr>
                <w:rFonts w:ascii="Arial" w:eastAsia="MS Gothic" w:hAnsi="Arial" w:cs="Arial"/>
                <w:bCs/>
                <w:sz w:val="20"/>
                <w:szCs w:val="20"/>
              </w:rPr>
              <w:t>n = 2807</w:t>
            </w:r>
            <w:r>
              <w:rPr>
                <w:rFonts w:ascii="Arial" w:eastAsia="MS Gothic" w:hAnsi="Arial" w:cs="Arial"/>
                <w:bCs/>
                <w:sz w:val="20"/>
                <w:szCs w:val="20"/>
              </w:rPr>
              <w:t>)</w:t>
            </w:r>
            <w:r w:rsidRPr="00530647">
              <w:rPr>
                <w:rFonts w:ascii="Arial" w:eastAsia="MS Gothic" w:hAnsi="Arial" w:cs="Arial"/>
                <w:bCs/>
                <w:sz w:val="20"/>
                <w:szCs w:val="20"/>
              </w:rPr>
              <w:t xml:space="preserve"> </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Estudio epidemiológico (1998 a 2002)</w:t>
            </w:r>
          </w:p>
          <w:p w:rsidR="00495E7A" w:rsidRPr="008A79FC" w:rsidRDefault="00495E7A" w:rsidP="00FF11CC">
            <w:pPr>
              <w:spacing w:after="0" w:line="240" w:lineRule="auto"/>
              <w:jc w:val="both"/>
              <w:rPr>
                <w:rFonts w:ascii="Arial" w:eastAsia="MS Gothic" w:hAnsi="Arial" w:cs="Arial"/>
                <w:bCs/>
                <w:sz w:val="20"/>
                <w:szCs w:val="20"/>
              </w:rPr>
            </w:pPr>
            <w:r>
              <w:rPr>
                <w:rFonts w:ascii="Arial" w:eastAsia="MS Gothic" w:hAnsi="Arial" w:cs="Arial"/>
                <w:bCs/>
                <w:sz w:val="20"/>
                <w:szCs w:val="20"/>
              </w:rPr>
              <w:t>P</w:t>
            </w:r>
            <w:r w:rsidRPr="008A79FC">
              <w:rPr>
                <w:rFonts w:ascii="Arial" w:eastAsia="MS Gothic" w:hAnsi="Arial" w:cs="Arial"/>
                <w:bCs/>
                <w:sz w:val="20"/>
                <w:szCs w:val="20"/>
              </w:rPr>
              <w:t>acientes con DT1</w:t>
            </w:r>
          </w:p>
        </w:tc>
        <w:tc>
          <w:tcPr>
            <w:tcW w:w="2740"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&lt; excreción de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 xml:space="preserve"> </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 xml:space="preserve">102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 xml:space="preserve"> </w:t>
            </w:r>
            <w:proofErr w:type="spellStart"/>
            <w:r w:rsidRPr="007C3A91">
              <w:rPr>
                <w:rFonts w:ascii="Arial" w:hAnsi="Arial" w:cs="Arial"/>
                <w:sz w:val="20"/>
                <w:szCs w:val="20"/>
              </w:rPr>
              <w:t>UNaE</w:t>
            </w:r>
            <w:proofErr w:type="spellEnd"/>
            <w:r w:rsidRPr="007C3A91">
              <w:rPr>
                <w:rFonts w:ascii="Arial" w:hAnsi="Arial" w:cs="Arial"/>
                <w:sz w:val="20"/>
                <w:szCs w:val="20"/>
              </w:rPr>
              <w:t xml:space="preserve"> 24 </w:t>
            </w:r>
            <w:proofErr w:type="spellStart"/>
            <w:r w:rsidRPr="007C3A91">
              <w:rPr>
                <w:rFonts w:ascii="Arial" w:hAnsi="Arial" w:cs="Arial"/>
                <w:sz w:val="20"/>
                <w:szCs w:val="20"/>
              </w:rPr>
              <w:t>hr</w:t>
            </w:r>
            <w:proofErr w:type="spellEnd"/>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w:t>
            </w:r>
            <w:r w:rsidRPr="007C3A91">
              <w:rPr>
                <w:rFonts w:ascii="Arial" w:hAnsi="Arial" w:cs="Arial"/>
                <w:sz w:val="20"/>
                <w:szCs w:val="20"/>
              </w:rPr>
              <w:t>2606.66 mg de Ingesta</w:t>
            </w:r>
            <w:r w:rsidRPr="007C3A91">
              <w:rPr>
                <w:rFonts w:ascii="Arial" w:hAnsi="Arial" w:cs="Arial"/>
                <w:sz w:val="20"/>
                <w:szCs w:val="20"/>
                <w:lang w:val="es-ES"/>
              </w:rPr>
              <w:t>)</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 xml:space="preserve">Consumo alto de sal 187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 xml:space="preserve"> </w:t>
            </w:r>
            <w:proofErr w:type="spellStart"/>
            <w:r w:rsidRPr="007C3A91">
              <w:rPr>
                <w:rFonts w:ascii="Arial" w:hAnsi="Arial" w:cs="Arial"/>
                <w:sz w:val="20"/>
                <w:szCs w:val="20"/>
              </w:rPr>
              <w:t>UNaE</w:t>
            </w:r>
            <w:proofErr w:type="spellEnd"/>
            <w:r w:rsidRPr="007C3A91">
              <w:rPr>
                <w:rFonts w:ascii="Arial" w:hAnsi="Arial" w:cs="Arial"/>
                <w:sz w:val="20"/>
                <w:szCs w:val="20"/>
              </w:rPr>
              <w:t xml:space="preserve"> 24 </w:t>
            </w:r>
            <w:proofErr w:type="spellStart"/>
            <w:r w:rsidRPr="007C3A91">
              <w:rPr>
                <w:rFonts w:ascii="Arial" w:hAnsi="Arial" w:cs="Arial"/>
                <w:sz w:val="20"/>
                <w:szCs w:val="20"/>
              </w:rPr>
              <w:t>hr</w:t>
            </w:r>
            <w:proofErr w:type="spellEnd"/>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w:t>
            </w:r>
            <w:r w:rsidRPr="007C3A91">
              <w:rPr>
                <w:rFonts w:ascii="Arial" w:hAnsi="Arial" w:cs="Arial"/>
                <w:sz w:val="20"/>
                <w:szCs w:val="20"/>
              </w:rPr>
              <w:t>4778.88 mg de Ingesta</w:t>
            </w:r>
            <w:r w:rsidRPr="007C3A91">
              <w:rPr>
                <w:rFonts w:ascii="Arial" w:hAnsi="Arial" w:cs="Arial"/>
                <w:sz w:val="20"/>
                <w:szCs w:val="20"/>
                <w:lang w:val="es-ES"/>
              </w:rPr>
              <w:t>)</w:t>
            </w:r>
          </w:p>
        </w:tc>
        <w:tc>
          <w:tcPr>
            <w:tcW w:w="4017"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&gt; </w:t>
            </w:r>
            <w:proofErr w:type="gramStart"/>
            <w:r w:rsidRPr="007C3A91">
              <w:rPr>
                <w:rFonts w:ascii="Arial" w:hAnsi="Arial" w:cs="Arial"/>
                <w:sz w:val="20"/>
                <w:szCs w:val="20"/>
                <w:lang w:val="es-ES"/>
              </w:rPr>
              <w:t>riesgo</w:t>
            </w:r>
            <w:proofErr w:type="gramEnd"/>
            <w:r w:rsidRPr="007C3A91">
              <w:rPr>
                <w:rFonts w:ascii="Arial" w:hAnsi="Arial" w:cs="Arial"/>
                <w:sz w:val="20"/>
                <w:szCs w:val="20"/>
                <w:lang w:val="es-ES"/>
              </w:rPr>
              <w:t xml:space="preserve"> de mortalidad por todas las causas y enfermedad renal terminal. </w:t>
            </w: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&gt; riesgo de mortalidad general</w:t>
            </w:r>
          </w:p>
        </w:tc>
        <w:tc>
          <w:tcPr>
            <w:tcW w:w="3071"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E63308">
            <w:pPr>
              <w:spacing w:after="0" w:line="360" w:lineRule="auto"/>
              <w:jc w:val="both"/>
              <w:rPr>
                <w:rFonts w:ascii="Arial" w:hAnsi="Arial" w:cs="Arial"/>
                <w:sz w:val="20"/>
                <w:szCs w:val="20"/>
              </w:rPr>
            </w:pPr>
            <w:r w:rsidRPr="007C3A91">
              <w:rPr>
                <w:rFonts w:ascii="Arial" w:hAnsi="Arial" w:cs="Arial"/>
                <w:sz w:val="20"/>
                <w:szCs w:val="20"/>
              </w:rPr>
              <w:t>Thomas, MC. et al. (2011)</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Pr="005636B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lang w:val="es-ES"/>
              </w:rPr>
              <w:t xml:space="preserve">Humanos  </w:t>
            </w:r>
            <w:r>
              <w:rPr>
                <w:rFonts w:ascii="Arial" w:eastAsia="MS Gothic" w:hAnsi="Arial" w:cs="Arial"/>
                <w:bCs/>
                <w:sz w:val="20"/>
                <w:szCs w:val="20"/>
                <w:lang w:val="es-ES"/>
              </w:rPr>
              <w:t>(</w:t>
            </w:r>
            <w:r w:rsidRPr="005636BC">
              <w:rPr>
                <w:rFonts w:ascii="Arial" w:eastAsia="MS Gothic" w:hAnsi="Arial" w:cs="Arial"/>
                <w:bCs/>
                <w:sz w:val="20"/>
                <w:szCs w:val="20"/>
              </w:rPr>
              <w:t>n=28880</w:t>
            </w:r>
            <w:r>
              <w:rPr>
                <w:rFonts w:ascii="Arial" w:eastAsia="MS Gothic" w:hAnsi="Arial" w:cs="Arial"/>
                <w:bCs/>
                <w:sz w:val="20"/>
                <w:szCs w:val="20"/>
              </w:rPr>
              <w:t>9</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lang w:val="es-ES"/>
              </w:rPr>
              <w:t xml:space="preserve">Análisis </w:t>
            </w:r>
            <w:r w:rsidRPr="008A79FC">
              <w:rPr>
                <w:rFonts w:ascii="Arial" w:eastAsia="MS Gothic" w:hAnsi="Arial" w:cs="Arial"/>
                <w:bCs/>
                <w:sz w:val="20"/>
                <w:szCs w:val="20"/>
              </w:rPr>
              <w:t>2 cohortes</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pacientes con ECV o DT</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rPr>
              <w:t>2001 a 2008</w:t>
            </w:r>
            <w:r w:rsidRPr="008A79FC">
              <w:rPr>
                <w:rFonts w:ascii="Arial" w:eastAsia="MS Gothic" w:hAnsi="Arial" w:cs="Arial"/>
                <w:bCs/>
                <w:sz w:val="20"/>
                <w:szCs w:val="20"/>
                <w:lang w:val="es-ES"/>
              </w:rPr>
              <w:t xml:space="preserve"> </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lang w:val="es-ES"/>
              </w:rPr>
              <w:t>Excreción basal de 4 a 5,99 g por día (Ingesta 4444.44 a 6655.55 mg/d)</w:t>
            </w: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&lt; excreción de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 xml:space="preserve"> </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 xml:space="preserve">3g </w:t>
            </w:r>
            <w:proofErr w:type="spellStart"/>
            <w:r w:rsidRPr="007C3A91">
              <w:rPr>
                <w:rFonts w:ascii="Arial" w:hAnsi="Arial" w:cs="Arial"/>
                <w:sz w:val="20"/>
                <w:szCs w:val="20"/>
              </w:rPr>
              <w:t>UNaE</w:t>
            </w:r>
            <w:proofErr w:type="spellEnd"/>
            <w:r w:rsidRPr="007C3A91">
              <w:rPr>
                <w:rFonts w:ascii="Arial" w:hAnsi="Arial" w:cs="Arial"/>
                <w:sz w:val="20"/>
                <w:szCs w:val="20"/>
              </w:rPr>
              <w:t xml:space="preserve"> 24 </w:t>
            </w:r>
            <w:proofErr w:type="spellStart"/>
            <w:r w:rsidRPr="007C3A91">
              <w:rPr>
                <w:rFonts w:ascii="Arial" w:hAnsi="Arial" w:cs="Arial"/>
                <w:sz w:val="20"/>
                <w:szCs w:val="20"/>
              </w:rPr>
              <w:t>hr</w:t>
            </w:r>
            <w:proofErr w:type="spellEnd"/>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w:t>
            </w:r>
            <w:r w:rsidRPr="007C3A91">
              <w:rPr>
                <w:rFonts w:ascii="Arial" w:hAnsi="Arial" w:cs="Arial"/>
                <w:sz w:val="20"/>
                <w:szCs w:val="20"/>
              </w:rPr>
              <w:t>3333.33 mg de Ingesta</w:t>
            </w:r>
            <w:r w:rsidRPr="007C3A91">
              <w:rPr>
                <w:rFonts w:ascii="Arial" w:hAnsi="Arial" w:cs="Arial"/>
                <w:sz w:val="20"/>
                <w:szCs w:val="20"/>
                <w:lang w:val="es-ES"/>
              </w:rPr>
              <w:t>)</w:t>
            </w: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&gt;excreción de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 xml:space="preserve"> </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 xml:space="preserve">7g </w:t>
            </w:r>
            <w:proofErr w:type="spellStart"/>
            <w:r w:rsidRPr="007C3A91">
              <w:rPr>
                <w:rFonts w:ascii="Arial" w:hAnsi="Arial" w:cs="Arial"/>
                <w:sz w:val="20"/>
                <w:szCs w:val="20"/>
              </w:rPr>
              <w:t>UNaE</w:t>
            </w:r>
            <w:proofErr w:type="spellEnd"/>
            <w:r w:rsidRPr="007C3A91">
              <w:rPr>
                <w:rFonts w:ascii="Arial" w:hAnsi="Arial" w:cs="Arial"/>
                <w:sz w:val="20"/>
                <w:szCs w:val="20"/>
              </w:rPr>
              <w:t xml:space="preserve"> 24 </w:t>
            </w:r>
            <w:proofErr w:type="spellStart"/>
            <w:r w:rsidRPr="007C3A91">
              <w:rPr>
                <w:rFonts w:ascii="Arial" w:hAnsi="Arial" w:cs="Arial"/>
                <w:sz w:val="20"/>
                <w:szCs w:val="20"/>
              </w:rPr>
              <w:t>hr</w:t>
            </w:r>
            <w:proofErr w:type="spellEnd"/>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w:t>
            </w:r>
            <w:r w:rsidRPr="007C3A91">
              <w:rPr>
                <w:rFonts w:ascii="Arial" w:hAnsi="Arial" w:cs="Arial"/>
                <w:sz w:val="20"/>
                <w:szCs w:val="20"/>
              </w:rPr>
              <w:t>7777.77 mg de Ingesta</w:t>
            </w:r>
            <w:r w:rsidRPr="007C3A91">
              <w:rPr>
                <w:rFonts w:ascii="Arial" w:hAnsi="Arial" w:cs="Arial"/>
                <w:sz w:val="20"/>
                <w:szCs w:val="20"/>
                <w:lang w:val="es-ES"/>
              </w:rPr>
              <w:t>)</w:t>
            </w:r>
          </w:p>
          <w:p w:rsidR="00495E7A" w:rsidRPr="007C3A91" w:rsidRDefault="00495E7A" w:rsidP="00FF11CC">
            <w:pPr>
              <w:spacing w:after="0" w:line="240" w:lineRule="auto"/>
              <w:jc w:val="both"/>
              <w:rPr>
                <w:rFonts w:ascii="Arial" w:hAnsi="Arial" w:cs="Arial"/>
                <w:sz w:val="20"/>
                <w:szCs w:val="20"/>
                <w:lang w:val="es-ES"/>
              </w:rPr>
            </w:pPr>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i/>
                <w:iCs/>
                <w:sz w:val="20"/>
                <w:szCs w:val="20"/>
              </w:rPr>
            </w:pPr>
            <w:r w:rsidRPr="007C3A91">
              <w:rPr>
                <w:rFonts w:ascii="Arial" w:hAnsi="Arial" w:cs="Arial"/>
                <w:sz w:val="20"/>
                <w:szCs w:val="20"/>
                <w:lang w:val="es-ES"/>
              </w:rPr>
              <w:t xml:space="preserve">&gt; </w:t>
            </w:r>
            <w:proofErr w:type="gramStart"/>
            <w:r w:rsidRPr="007C3A91">
              <w:rPr>
                <w:rFonts w:ascii="Arial" w:hAnsi="Arial" w:cs="Arial"/>
                <w:sz w:val="20"/>
                <w:szCs w:val="20"/>
                <w:lang w:val="es-ES"/>
              </w:rPr>
              <w:t>riesgo</w:t>
            </w:r>
            <w:proofErr w:type="gramEnd"/>
            <w:r w:rsidRPr="007C3A91">
              <w:rPr>
                <w:rFonts w:ascii="Arial" w:hAnsi="Arial" w:cs="Arial"/>
                <w:sz w:val="20"/>
                <w:szCs w:val="20"/>
                <w:lang w:val="es-ES"/>
              </w:rPr>
              <w:t xml:space="preserve"> de la mortalidad cardiovascular y hospitalizaciones por ICC. </w:t>
            </w: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i/>
                <w:sz w:val="20"/>
                <w:szCs w:val="20"/>
              </w:rPr>
            </w:pPr>
            <w:r w:rsidRPr="007C3A91">
              <w:rPr>
                <w:rFonts w:ascii="Arial" w:hAnsi="Arial" w:cs="Arial"/>
                <w:sz w:val="20"/>
                <w:szCs w:val="20"/>
                <w:lang w:val="es-ES"/>
              </w:rPr>
              <w:t>&gt; riesgo de todos los eventos CV,</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La asociación entre la excreción de sodio y los eventos CV tuvo forma de J.</w:t>
            </w:r>
          </w:p>
        </w:tc>
        <w:tc>
          <w:tcPr>
            <w:tcW w:w="3071"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360" w:lineRule="auto"/>
              <w:jc w:val="both"/>
              <w:rPr>
                <w:rFonts w:ascii="Arial" w:hAnsi="Arial" w:cs="Arial"/>
                <w:sz w:val="20"/>
                <w:szCs w:val="20"/>
              </w:rPr>
            </w:pPr>
            <w:proofErr w:type="spellStart"/>
            <w:r w:rsidRPr="007C3A91">
              <w:rPr>
                <w:rFonts w:ascii="Arial" w:hAnsi="Arial" w:cs="Arial"/>
                <w:sz w:val="20"/>
                <w:szCs w:val="20"/>
              </w:rPr>
              <w:t>O´Donnell</w:t>
            </w:r>
            <w:proofErr w:type="spellEnd"/>
            <w:r w:rsidRPr="007C3A91">
              <w:rPr>
                <w:rFonts w:ascii="Arial" w:hAnsi="Arial" w:cs="Arial"/>
                <w:sz w:val="20"/>
                <w:szCs w:val="20"/>
              </w:rPr>
              <w:t>, M</w:t>
            </w:r>
            <w:r w:rsidR="00E63308">
              <w:rPr>
                <w:rFonts w:ascii="Arial" w:hAnsi="Arial" w:cs="Arial"/>
                <w:sz w:val="20"/>
                <w:szCs w:val="20"/>
              </w:rPr>
              <w:t>.</w:t>
            </w:r>
            <w:r w:rsidRPr="007C3A91">
              <w:rPr>
                <w:rFonts w:ascii="Arial" w:hAnsi="Arial" w:cs="Arial"/>
                <w:sz w:val="20"/>
                <w:szCs w:val="20"/>
              </w:rPr>
              <w:t>J. et al</w:t>
            </w:r>
            <w:r w:rsidRPr="007C3A91">
              <w:rPr>
                <w:rFonts w:ascii="Arial" w:hAnsi="Arial" w:cs="Arial"/>
                <w:iCs/>
                <w:sz w:val="20"/>
                <w:szCs w:val="20"/>
              </w:rPr>
              <w:t>. (2011)</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auto"/>
          </w:tcPr>
          <w:p w:rsidR="00495E7A" w:rsidRPr="008A79FC" w:rsidRDefault="00495E7A" w:rsidP="00FF11CC">
            <w:pPr>
              <w:spacing w:after="0" w:line="240" w:lineRule="auto"/>
              <w:jc w:val="both"/>
              <w:rPr>
                <w:rFonts w:ascii="Arial" w:eastAsia="MS Gothic" w:hAnsi="Arial" w:cs="Arial"/>
                <w:bCs/>
                <w:sz w:val="20"/>
                <w:szCs w:val="20"/>
                <w:lang w:val="en-US"/>
              </w:rPr>
            </w:pPr>
            <w:proofErr w:type="spellStart"/>
            <w:r w:rsidRPr="008A79FC">
              <w:rPr>
                <w:rFonts w:ascii="Arial" w:eastAsia="MS Gothic" w:hAnsi="Arial" w:cs="Arial"/>
                <w:bCs/>
                <w:sz w:val="20"/>
                <w:szCs w:val="20"/>
                <w:lang w:val="en-US"/>
              </w:rPr>
              <w:t>Humanos</w:t>
            </w:r>
            <w:proofErr w:type="spellEnd"/>
            <w:r>
              <w:rPr>
                <w:rFonts w:ascii="Arial" w:eastAsia="MS Gothic" w:hAnsi="Arial" w:cs="Arial"/>
                <w:bCs/>
                <w:sz w:val="20"/>
                <w:szCs w:val="20"/>
                <w:lang w:val="en-US"/>
              </w:rPr>
              <w:t xml:space="preserve"> (</w:t>
            </w:r>
            <w:r w:rsidRPr="008A79FC">
              <w:rPr>
                <w:rFonts w:ascii="Arial" w:eastAsia="MS Gothic" w:hAnsi="Arial" w:cs="Arial"/>
                <w:bCs/>
                <w:sz w:val="20"/>
                <w:szCs w:val="20"/>
                <w:lang w:val="en-US"/>
              </w:rPr>
              <w:t>n=360000</w:t>
            </w:r>
            <w:r>
              <w:rPr>
                <w:rFonts w:ascii="Arial" w:eastAsia="MS Gothic" w:hAnsi="Arial" w:cs="Arial"/>
                <w:bCs/>
                <w:sz w:val="20"/>
                <w:szCs w:val="20"/>
                <w:lang w:val="en-US"/>
              </w:rPr>
              <w:t>)</w:t>
            </w:r>
            <w:r w:rsidRPr="008A79FC">
              <w:rPr>
                <w:rFonts w:ascii="Arial" w:eastAsia="MS Gothic" w:hAnsi="Arial" w:cs="Arial"/>
                <w:bCs/>
                <w:sz w:val="20"/>
                <w:szCs w:val="20"/>
                <w:lang w:val="en-US"/>
              </w:rPr>
              <w:t xml:space="preserve"> </w:t>
            </w:r>
          </w:p>
          <w:p w:rsidR="00495E7A" w:rsidRPr="008A79FC" w:rsidRDefault="00495E7A" w:rsidP="00FF11CC">
            <w:pPr>
              <w:spacing w:after="0" w:line="240" w:lineRule="auto"/>
              <w:jc w:val="both"/>
              <w:rPr>
                <w:rFonts w:ascii="Arial" w:eastAsia="MS Gothic" w:hAnsi="Arial" w:cs="Arial"/>
                <w:bCs/>
                <w:sz w:val="20"/>
                <w:szCs w:val="20"/>
                <w:lang w:val="en-US"/>
              </w:rPr>
            </w:pPr>
            <w:r w:rsidRPr="008A79FC">
              <w:rPr>
                <w:rFonts w:ascii="Arial" w:eastAsia="MS Gothic" w:hAnsi="Arial" w:cs="Arial"/>
                <w:bCs/>
                <w:sz w:val="20"/>
                <w:szCs w:val="20"/>
                <w:lang w:val="en-US"/>
              </w:rPr>
              <w:t xml:space="preserve">23 studios </w:t>
            </w:r>
            <w:proofErr w:type="spellStart"/>
            <w:r w:rsidRPr="008A79FC">
              <w:rPr>
                <w:rFonts w:ascii="Arial" w:eastAsia="MS Gothic" w:hAnsi="Arial" w:cs="Arial"/>
                <w:bCs/>
                <w:sz w:val="20"/>
                <w:szCs w:val="20"/>
                <w:lang w:val="en-US"/>
              </w:rPr>
              <w:t>observacionales</w:t>
            </w:r>
            <w:proofErr w:type="spellEnd"/>
          </w:p>
        </w:tc>
        <w:tc>
          <w:tcPr>
            <w:tcW w:w="2740"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Ingesta de </w:t>
            </w:r>
            <w:proofErr w:type="spellStart"/>
            <w:r w:rsidRPr="007C3A91">
              <w:rPr>
                <w:rFonts w:ascii="Arial" w:hAnsi="Arial" w:cs="Arial"/>
                <w:sz w:val="20"/>
                <w:szCs w:val="20"/>
              </w:rPr>
              <w:t>Na</w:t>
            </w:r>
            <w:proofErr w:type="spellEnd"/>
            <w:r w:rsidRPr="007C3A91">
              <w:rPr>
                <w:rFonts w:ascii="Arial" w:hAnsi="Arial" w:cs="Arial"/>
                <w:sz w:val="20"/>
                <w:szCs w:val="20"/>
              </w:rPr>
              <w:t xml:space="preserve"> &lt; 2.5g y &gt; 6.0 g/d</w:t>
            </w:r>
          </w:p>
        </w:tc>
        <w:tc>
          <w:tcPr>
            <w:tcW w:w="4017"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Asocia a incremento de riesgo CV</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Identifica una relación en forma de J, que no soporta la reducción de </w:t>
            </w:r>
            <w:proofErr w:type="spellStart"/>
            <w:r w:rsidRPr="007C3A91">
              <w:rPr>
                <w:rFonts w:ascii="Arial" w:hAnsi="Arial" w:cs="Arial"/>
                <w:sz w:val="20"/>
                <w:szCs w:val="20"/>
              </w:rPr>
              <w:t>Na</w:t>
            </w:r>
            <w:proofErr w:type="spellEnd"/>
            <w:r w:rsidRPr="007C3A91">
              <w:rPr>
                <w:rFonts w:ascii="Arial" w:hAnsi="Arial" w:cs="Arial"/>
                <w:sz w:val="20"/>
                <w:szCs w:val="20"/>
              </w:rPr>
              <w:t xml:space="preserve"> universalmente.</w:t>
            </w:r>
          </w:p>
        </w:tc>
        <w:tc>
          <w:tcPr>
            <w:tcW w:w="3071"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E63308">
            <w:pPr>
              <w:spacing w:after="0" w:line="360" w:lineRule="auto"/>
              <w:jc w:val="both"/>
              <w:rPr>
                <w:rFonts w:ascii="Arial" w:hAnsi="Arial" w:cs="Arial"/>
                <w:sz w:val="20"/>
                <w:szCs w:val="20"/>
                <w:lang w:val="en-US"/>
              </w:rPr>
            </w:pPr>
            <w:r w:rsidRPr="007C3A91">
              <w:rPr>
                <w:rFonts w:ascii="Arial" w:hAnsi="Arial" w:cs="Arial"/>
                <w:sz w:val="20"/>
                <w:szCs w:val="20"/>
                <w:lang w:val="en-US"/>
              </w:rPr>
              <w:t>Alderman, M</w:t>
            </w:r>
            <w:r w:rsidR="00E63308">
              <w:rPr>
                <w:rFonts w:ascii="Arial" w:hAnsi="Arial" w:cs="Arial"/>
                <w:sz w:val="20"/>
                <w:szCs w:val="20"/>
                <w:lang w:val="en-US"/>
              </w:rPr>
              <w:t>.</w:t>
            </w:r>
            <w:r w:rsidRPr="007C3A91">
              <w:rPr>
                <w:rFonts w:ascii="Arial" w:hAnsi="Arial" w:cs="Arial"/>
                <w:sz w:val="20"/>
                <w:szCs w:val="20"/>
                <w:lang w:val="en-US"/>
              </w:rPr>
              <w:t xml:space="preserve">H. </w:t>
            </w:r>
            <w:r w:rsidR="00E63308">
              <w:rPr>
                <w:rFonts w:ascii="Arial" w:hAnsi="Arial" w:cs="Arial"/>
                <w:sz w:val="20"/>
                <w:szCs w:val="20"/>
                <w:lang w:val="en-US"/>
              </w:rPr>
              <w:t>y</w:t>
            </w:r>
            <w:r w:rsidRPr="007C3A91">
              <w:rPr>
                <w:rFonts w:ascii="Arial" w:hAnsi="Arial" w:cs="Arial"/>
                <w:sz w:val="20"/>
                <w:szCs w:val="20"/>
                <w:lang w:val="en-US"/>
              </w:rPr>
              <w:t xml:space="preserve"> Cohen, H</w:t>
            </w:r>
            <w:r w:rsidR="00E63308">
              <w:rPr>
                <w:rFonts w:ascii="Arial" w:hAnsi="Arial" w:cs="Arial"/>
                <w:sz w:val="20"/>
                <w:szCs w:val="20"/>
                <w:lang w:val="en-US"/>
              </w:rPr>
              <w:t>.</w:t>
            </w:r>
            <w:r w:rsidRPr="007C3A91">
              <w:rPr>
                <w:rFonts w:ascii="Arial" w:hAnsi="Arial" w:cs="Arial"/>
                <w:sz w:val="20"/>
                <w:szCs w:val="20"/>
                <w:lang w:val="en-US"/>
              </w:rPr>
              <w:t xml:space="preserve">W. (2012) </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Pr="008A79FC" w:rsidRDefault="00495E7A" w:rsidP="00FF11CC">
            <w:pPr>
              <w:spacing w:after="0" w:line="240" w:lineRule="auto"/>
              <w:jc w:val="both"/>
              <w:rPr>
                <w:rFonts w:ascii="Arial" w:eastAsia="MS Gothic" w:hAnsi="Arial" w:cs="Arial"/>
                <w:bCs/>
                <w:sz w:val="20"/>
                <w:szCs w:val="20"/>
                <w:lang w:val="es-ES"/>
              </w:rPr>
            </w:pPr>
            <w:r w:rsidRPr="00E5689B">
              <w:rPr>
                <w:rFonts w:ascii="Arial" w:eastAsia="MS Gothic" w:hAnsi="Arial" w:cs="Arial"/>
                <w:bCs/>
                <w:sz w:val="20"/>
                <w:szCs w:val="20"/>
                <w:lang w:val="es-ES"/>
              </w:rPr>
              <w:t>Meta-análisis</w:t>
            </w:r>
            <w:r w:rsidRPr="00495975">
              <w:rPr>
                <w:rFonts w:ascii="Arial" w:eastAsia="MS Gothic" w:hAnsi="Arial" w:cs="Arial"/>
                <w:bCs/>
                <w:sz w:val="20"/>
                <w:szCs w:val="20"/>
                <w:lang w:val="es-ES"/>
              </w:rPr>
              <w:t xml:space="preserve"> </w:t>
            </w:r>
            <w:r w:rsidR="00E63308">
              <w:rPr>
                <w:rFonts w:ascii="Arial" w:eastAsia="MS Gothic" w:hAnsi="Arial" w:cs="Arial"/>
                <w:bCs/>
                <w:sz w:val="20"/>
                <w:szCs w:val="20"/>
                <w:lang w:val="es-ES"/>
              </w:rPr>
              <w:t>h</w:t>
            </w:r>
            <w:r w:rsidRPr="008A79FC">
              <w:rPr>
                <w:rFonts w:ascii="Arial" w:eastAsia="MS Gothic" w:hAnsi="Arial" w:cs="Arial"/>
                <w:bCs/>
                <w:sz w:val="20"/>
                <w:szCs w:val="20"/>
                <w:lang w:val="es-ES"/>
              </w:rPr>
              <w:t>umanos</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 xml:space="preserve">167 estudios ; 2 grupos: </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 xml:space="preserve">1. HAS con ingesta elevada de </w:t>
            </w:r>
            <w:proofErr w:type="spellStart"/>
            <w:r w:rsidRPr="008A79FC">
              <w:rPr>
                <w:rFonts w:ascii="Arial" w:eastAsia="MS Gothic" w:hAnsi="Arial" w:cs="Arial"/>
                <w:bCs/>
                <w:sz w:val="20"/>
                <w:szCs w:val="20"/>
              </w:rPr>
              <w:t>Na</w:t>
            </w:r>
            <w:proofErr w:type="spellEnd"/>
            <w:r w:rsidRPr="008A79FC">
              <w:rPr>
                <w:rFonts w:ascii="Arial" w:eastAsia="MS Gothic" w:hAnsi="Arial" w:cs="Arial"/>
                <w:bCs/>
                <w:sz w:val="20"/>
                <w:szCs w:val="20"/>
              </w:rPr>
              <w:t xml:space="preserve"> 5008.88 mg, se redujo a 1814.44mg por 28 días en promedio.</w:t>
            </w:r>
          </w:p>
          <w:p w:rsidR="00495E7A" w:rsidRPr="008A79FC" w:rsidRDefault="00495E7A" w:rsidP="00FF11CC">
            <w:pPr>
              <w:spacing w:after="0" w:line="240" w:lineRule="auto"/>
              <w:jc w:val="both"/>
              <w:rPr>
                <w:rFonts w:ascii="Arial" w:eastAsia="MS Gothic" w:hAnsi="Arial" w:cs="Arial"/>
                <w:bCs/>
                <w:sz w:val="20"/>
                <w:szCs w:val="20"/>
              </w:rPr>
            </w:pP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 xml:space="preserve">2. PA normal con alta ingesta de </w:t>
            </w:r>
            <w:proofErr w:type="spellStart"/>
            <w:r w:rsidRPr="008A79FC">
              <w:rPr>
                <w:rFonts w:ascii="Arial" w:eastAsia="MS Gothic" w:hAnsi="Arial" w:cs="Arial"/>
                <w:bCs/>
                <w:sz w:val="20"/>
                <w:szCs w:val="20"/>
              </w:rPr>
              <w:t>Na</w:t>
            </w:r>
            <w:proofErr w:type="spellEnd"/>
            <w:r w:rsidRPr="008A79FC">
              <w:rPr>
                <w:rFonts w:ascii="Arial" w:eastAsia="MS Gothic" w:hAnsi="Arial" w:cs="Arial"/>
                <w:bCs/>
                <w:sz w:val="20"/>
                <w:szCs w:val="20"/>
              </w:rPr>
              <w:t xml:space="preserve"> (5136.66 mg) y se disminuyó a 1277.77 mg por 7 días en promedio.</w:t>
            </w: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Reducción  media de sodio</w:t>
            </w: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3194.44 mg</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(125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 xml:space="preserve"> </w:t>
            </w:r>
            <w:proofErr w:type="spellStart"/>
            <w:r w:rsidRPr="007C3A91">
              <w:rPr>
                <w:rFonts w:ascii="Arial" w:hAnsi="Arial" w:cs="Arial"/>
                <w:sz w:val="20"/>
                <w:szCs w:val="20"/>
              </w:rPr>
              <w:t>UNaE</w:t>
            </w:r>
            <w:proofErr w:type="spellEnd"/>
            <w:r w:rsidRPr="007C3A91">
              <w:rPr>
                <w:rFonts w:ascii="Arial" w:hAnsi="Arial" w:cs="Arial"/>
                <w:sz w:val="20"/>
                <w:szCs w:val="20"/>
              </w:rPr>
              <w:t xml:space="preserve"> 24 </w:t>
            </w:r>
            <w:proofErr w:type="spellStart"/>
            <w:r w:rsidRPr="007C3A91">
              <w:rPr>
                <w:rFonts w:ascii="Arial" w:hAnsi="Arial" w:cs="Arial"/>
                <w:sz w:val="20"/>
                <w:szCs w:val="20"/>
              </w:rPr>
              <w:t>hr</w:t>
            </w:r>
            <w:proofErr w:type="spellEnd"/>
            <w:r w:rsidRPr="007C3A91">
              <w:rPr>
                <w:rFonts w:ascii="Arial" w:hAnsi="Arial" w:cs="Arial"/>
                <w:sz w:val="20"/>
                <w:szCs w:val="20"/>
                <w:lang w:val="es-ES"/>
              </w:rPr>
              <w:t>)</w:t>
            </w: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p>
          <w:p w:rsidR="00495E7A"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3731.11 mg</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(146 </w:t>
            </w:r>
            <w:proofErr w:type="spellStart"/>
            <w:r w:rsidRPr="007C3A91">
              <w:rPr>
                <w:rFonts w:ascii="Arial" w:hAnsi="Arial" w:cs="Arial"/>
                <w:sz w:val="20"/>
                <w:szCs w:val="20"/>
                <w:lang w:val="es-ES"/>
              </w:rPr>
              <w:t>mmol</w:t>
            </w:r>
            <w:proofErr w:type="spellEnd"/>
            <w:r w:rsidRPr="007C3A91">
              <w:rPr>
                <w:rFonts w:ascii="Arial" w:hAnsi="Arial" w:cs="Arial"/>
                <w:sz w:val="20"/>
                <w:szCs w:val="20"/>
                <w:lang w:val="es-ES"/>
              </w:rPr>
              <w:t xml:space="preserve"> </w:t>
            </w:r>
            <w:proofErr w:type="spellStart"/>
            <w:r w:rsidRPr="007C3A91">
              <w:rPr>
                <w:rFonts w:ascii="Arial" w:hAnsi="Arial" w:cs="Arial"/>
                <w:sz w:val="20"/>
                <w:szCs w:val="20"/>
              </w:rPr>
              <w:t>UNaE</w:t>
            </w:r>
            <w:proofErr w:type="spellEnd"/>
            <w:r w:rsidRPr="007C3A91">
              <w:rPr>
                <w:rFonts w:ascii="Arial" w:hAnsi="Arial" w:cs="Arial"/>
                <w:sz w:val="20"/>
                <w:szCs w:val="20"/>
              </w:rPr>
              <w:t xml:space="preserve"> 24 </w:t>
            </w:r>
            <w:proofErr w:type="spellStart"/>
            <w:r w:rsidRPr="007C3A91">
              <w:rPr>
                <w:rFonts w:ascii="Arial" w:hAnsi="Arial" w:cs="Arial"/>
                <w:sz w:val="20"/>
                <w:szCs w:val="20"/>
              </w:rPr>
              <w:t>hr</w:t>
            </w:r>
            <w:proofErr w:type="spellEnd"/>
            <w:r w:rsidRPr="007C3A91">
              <w:rPr>
                <w:rFonts w:ascii="Arial" w:hAnsi="Arial" w:cs="Arial"/>
                <w:sz w:val="20"/>
                <w:szCs w:val="20"/>
                <w:lang w:val="es-ES"/>
              </w:rPr>
              <w:t>)</w:t>
            </w:r>
          </w:p>
          <w:p w:rsidR="00495E7A" w:rsidRPr="007C3A91" w:rsidRDefault="00495E7A" w:rsidP="00FF11CC">
            <w:pPr>
              <w:spacing w:after="0" w:line="240" w:lineRule="auto"/>
              <w:jc w:val="both"/>
              <w:rPr>
                <w:rFonts w:ascii="Arial" w:hAnsi="Arial" w:cs="Arial"/>
                <w:sz w:val="20"/>
                <w:szCs w:val="20"/>
                <w:lang w:val="es-ES"/>
              </w:rPr>
            </w:pPr>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Disminución de 1</w:t>
            </w:r>
            <w:r w:rsidR="00E63308">
              <w:rPr>
                <w:rFonts w:ascii="Arial" w:hAnsi="Arial" w:cs="Arial"/>
                <w:sz w:val="20"/>
                <w:szCs w:val="20"/>
                <w:lang w:val="es-ES"/>
              </w:rPr>
              <w:t xml:space="preserve"> </w:t>
            </w:r>
            <w:r w:rsidRPr="007C3A91">
              <w:rPr>
                <w:rFonts w:ascii="Arial" w:hAnsi="Arial" w:cs="Arial"/>
                <w:sz w:val="20"/>
                <w:szCs w:val="20"/>
                <w:lang w:val="es-ES"/>
              </w:rPr>
              <w:t xml:space="preserve">% en la PA en </w:t>
            </w:r>
            <w:proofErr w:type="spellStart"/>
            <w:r w:rsidRPr="007C3A91">
              <w:rPr>
                <w:rFonts w:ascii="Arial" w:hAnsi="Arial" w:cs="Arial"/>
                <w:sz w:val="20"/>
                <w:szCs w:val="20"/>
                <w:lang w:val="es-ES"/>
              </w:rPr>
              <w:t>normotensos</w:t>
            </w:r>
            <w:proofErr w:type="spellEnd"/>
            <w:r w:rsidRPr="007C3A91">
              <w:rPr>
                <w:rFonts w:ascii="Arial" w:hAnsi="Arial" w:cs="Arial"/>
                <w:sz w:val="20"/>
                <w:szCs w:val="20"/>
                <w:lang w:val="es-ES"/>
              </w:rPr>
              <w:t>, del 3</w:t>
            </w:r>
            <w:r w:rsidR="00E63308">
              <w:rPr>
                <w:rFonts w:ascii="Arial" w:hAnsi="Arial" w:cs="Arial"/>
                <w:sz w:val="20"/>
                <w:szCs w:val="20"/>
                <w:lang w:val="es-ES"/>
              </w:rPr>
              <w:t>.</w:t>
            </w:r>
            <w:r w:rsidRPr="007C3A91">
              <w:rPr>
                <w:rFonts w:ascii="Arial" w:hAnsi="Arial" w:cs="Arial"/>
                <w:sz w:val="20"/>
                <w:szCs w:val="20"/>
                <w:lang w:val="es-ES"/>
              </w:rPr>
              <w:t>5</w:t>
            </w:r>
            <w:r w:rsidR="00E63308">
              <w:rPr>
                <w:rFonts w:ascii="Arial" w:hAnsi="Arial" w:cs="Arial"/>
                <w:sz w:val="20"/>
                <w:szCs w:val="20"/>
                <w:lang w:val="es-ES"/>
              </w:rPr>
              <w:t xml:space="preserve"> </w:t>
            </w:r>
            <w:r w:rsidRPr="007C3A91">
              <w:rPr>
                <w:rFonts w:ascii="Arial" w:hAnsi="Arial" w:cs="Arial"/>
                <w:sz w:val="20"/>
                <w:szCs w:val="20"/>
                <w:lang w:val="es-ES"/>
              </w:rPr>
              <w:t xml:space="preserve">% en HAS. </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Aumento significativo </w:t>
            </w:r>
            <w:r w:rsidRPr="007C3A91">
              <w:rPr>
                <w:rFonts w:ascii="Arial" w:hAnsi="Arial" w:cs="Arial"/>
                <w:sz w:val="20"/>
                <w:szCs w:val="20"/>
              </w:rPr>
              <w:t xml:space="preserve">(p&lt;0.001) </w:t>
            </w:r>
            <w:r w:rsidRPr="007C3A91">
              <w:rPr>
                <w:rFonts w:ascii="Arial" w:hAnsi="Arial" w:cs="Arial"/>
                <w:sz w:val="20"/>
                <w:szCs w:val="20"/>
                <w:lang w:val="es-ES"/>
              </w:rPr>
              <w:t xml:space="preserve">en Renina, Aldosterona, Adrenalina y Noradrenalina plasmáticas. </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&gt; Colesterol de 2.5</w:t>
            </w:r>
            <w:r w:rsidR="00E63308">
              <w:rPr>
                <w:rFonts w:ascii="Arial" w:hAnsi="Arial" w:cs="Arial"/>
                <w:sz w:val="20"/>
                <w:szCs w:val="20"/>
                <w:lang w:val="es-ES"/>
              </w:rPr>
              <w:t xml:space="preserve"> </w:t>
            </w:r>
            <w:r w:rsidRPr="007C3A91">
              <w:rPr>
                <w:rFonts w:ascii="Arial" w:hAnsi="Arial" w:cs="Arial"/>
                <w:sz w:val="20"/>
                <w:szCs w:val="20"/>
                <w:lang w:val="es-ES"/>
              </w:rPr>
              <w:t xml:space="preserve">% y 7 % en TGC. </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Efectos estables en los estudios ≥ 2 semanas.</w:t>
            </w:r>
          </w:p>
        </w:tc>
        <w:tc>
          <w:tcPr>
            <w:tcW w:w="3071"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360" w:lineRule="auto"/>
              <w:jc w:val="both"/>
              <w:rPr>
                <w:rFonts w:ascii="Arial" w:hAnsi="Arial" w:cs="Arial"/>
                <w:sz w:val="20"/>
                <w:szCs w:val="20"/>
              </w:rPr>
            </w:pPr>
            <w:proofErr w:type="spellStart"/>
            <w:r w:rsidRPr="007C3A91">
              <w:rPr>
                <w:rFonts w:ascii="Arial" w:hAnsi="Arial" w:cs="Arial"/>
                <w:sz w:val="20"/>
                <w:szCs w:val="20"/>
              </w:rPr>
              <w:t>Graudal</w:t>
            </w:r>
            <w:proofErr w:type="spellEnd"/>
            <w:r w:rsidRPr="007C3A91">
              <w:rPr>
                <w:rFonts w:ascii="Arial" w:hAnsi="Arial" w:cs="Arial"/>
                <w:sz w:val="20"/>
                <w:szCs w:val="20"/>
              </w:rPr>
              <w:t>, N</w:t>
            </w:r>
            <w:r w:rsidR="00E63308">
              <w:rPr>
                <w:rFonts w:ascii="Arial" w:hAnsi="Arial" w:cs="Arial"/>
                <w:sz w:val="20"/>
                <w:szCs w:val="20"/>
              </w:rPr>
              <w:t>.</w:t>
            </w:r>
            <w:r w:rsidRPr="007C3A91">
              <w:rPr>
                <w:rFonts w:ascii="Arial" w:hAnsi="Arial" w:cs="Arial"/>
                <w:sz w:val="20"/>
                <w:szCs w:val="20"/>
              </w:rPr>
              <w:t xml:space="preserve">A. et al. (2012) </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auto"/>
          </w:tcPr>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Ratones</w:t>
            </w:r>
            <w:r>
              <w:rPr>
                <w:rFonts w:ascii="Arial" w:eastAsia="MS Gothic" w:hAnsi="Arial" w:cs="Arial"/>
                <w:bCs/>
                <w:sz w:val="20"/>
                <w:szCs w:val="20"/>
                <w:lang w:val="es-ES"/>
              </w:rPr>
              <w:t xml:space="preserve"> (</w:t>
            </w:r>
            <w:r w:rsidRPr="008A79FC">
              <w:rPr>
                <w:rFonts w:ascii="Arial" w:eastAsia="MS Gothic" w:hAnsi="Arial" w:cs="Arial"/>
                <w:bCs/>
                <w:sz w:val="20"/>
                <w:szCs w:val="20"/>
                <w:lang w:val="es-ES"/>
              </w:rPr>
              <w:t>n=160</w:t>
            </w:r>
            <w:r>
              <w:rPr>
                <w:rFonts w:ascii="Arial" w:eastAsia="MS Gothic" w:hAnsi="Arial" w:cs="Arial"/>
                <w:bCs/>
                <w:sz w:val="20"/>
                <w:szCs w:val="20"/>
                <w:lang w:val="es-ES"/>
              </w:rPr>
              <w:t>)</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i/>
                <w:sz w:val="20"/>
                <w:szCs w:val="20"/>
                <w:lang w:val="es-ES"/>
              </w:rPr>
              <w:t xml:space="preserve">Diabéticos </w:t>
            </w:r>
            <w:proofErr w:type="spellStart"/>
            <w:r w:rsidRPr="008A79FC">
              <w:rPr>
                <w:rFonts w:ascii="Arial" w:eastAsia="MS Gothic" w:hAnsi="Arial" w:cs="Arial"/>
                <w:bCs/>
                <w:i/>
                <w:sz w:val="20"/>
                <w:szCs w:val="20"/>
                <w:lang w:val="es-ES"/>
              </w:rPr>
              <w:t>apo</w:t>
            </w:r>
            <w:proofErr w:type="spellEnd"/>
            <w:r w:rsidRPr="008A79FC">
              <w:rPr>
                <w:rFonts w:ascii="Arial" w:eastAsia="MS Gothic" w:hAnsi="Arial" w:cs="Arial"/>
                <w:bCs/>
                <w:i/>
                <w:sz w:val="20"/>
                <w:szCs w:val="20"/>
                <w:lang w:val="es-ES"/>
              </w:rPr>
              <w:t xml:space="preserve"> E</w:t>
            </w:r>
            <w:r w:rsidRPr="008A79FC">
              <w:rPr>
                <w:rFonts w:ascii="Arial" w:eastAsia="MS Gothic" w:hAnsi="Arial" w:cs="Arial"/>
                <w:bCs/>
                <w:sz w:val="20"/>
                <w:szCs w:val="20"/>
                <w:lang w:val="es-ES"/>
              </w:rPr>
              <w:t xml:space="preserve"> KO</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Dietas isocalóricas</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lastRenderedPageBreak/>
              <w:t>6 semanas</w:t>
            </w:r>
          </w:p>
        </w:tc>
        <w:tc>
          <w:tcPr>
            <w:tcW w:w="2740"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lastRenderedPageBreak/>
              <w:t>Baja en sal (0</w:t>
            </w:r>
            <w:r w:rsidR="00E63308">
              <w:rPr>
                <w:rFonts w:ascii="Arial" w:hAnsi="Arial" w:cs="Arial"/>
                <w:sz w:val="20"/>
                <w:szCs w:val="20"/>
                <w:lang w:val="es-ES"/>
              </w:rPr>
              <w:t>.</w:t>
            </w:r>
            <w:r w:rsidRPr="007C3A91">
              <w:rPr>
                <w:rFonts w:ascii="Arial" w:hAnsi="Arial" w:cs="Arial"/>
                <w:sz w:val="20"/>
                <w:szCs w:val="20"/>
                <w:lang w:val="es-ES"/>
              </w:rPr>
              <w:t>05</w:t>
            </w:r>
            <w:r w:rsidR="00E63308">
              <w:rPr>
                <w:rFonts w:ascii="Arial" w:hAnsi="Arial" w:cs="Arial"/>
                <w:sz w:val="20"/>
                <w:szCs w:val="20"/>
                <w:lang w:val="es-ES"/>
              </w:rPr>
              <w:t xml:space="preserve"> </w:t>
            </w:r>
            <w:r w:rsidRPr="007C3A91">
              <w:rPr>
                <w:rFonts w:ascii="Arial" w:hAnsi="Arial" w:cs="Arial"/>
                <w:sz w:val="20"/>
                <w:szCs w:val="20"/>
                <w:lang w:val="es-ES"/>
              </w:rPr>
              <w:t xml:space="preserve">%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Baja en sal + IECA (2mg/Kg/d)</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lastRenderedPageBreak/>
              <w:t xml:space="preserve">Alta en sal (3.1%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w:t>
            </w:r>
          </w:p>
        </w:tc>
        <w:tc>
          <w:tcPr>
            <w:tcW w:w="4017"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lastRenderedPageBreak/>
              <w:t>&gt; Acumulación de placa, asociad</w:t>
            </w:r>
            <w:r w:rsidR="00E63308">
              <w:rPr>
                <w:rFonts w:ascii="Arial" w:hAnsi="Arial" w:cs="Arial"/>
                <w:sz w:val="20"/>
                <w:szCs w:val="20"/>
                <w:lang w:val="es-ES"/>
              </w:rPr>
              <w:t>a</w:t>
            </w:r>
            <w:r w:rsidRPr="007C3A91">
              <w:rPr>
                <w:rFonts w:ascii="Arial" w:hAnsi="Arial" w:cs="Arial"/>
                <w:sz w:val="20"/>
                <w:szCs w:val="20"/>
                <w:lang w:val="es-ES"/>
              </w:rPr>
              <w:t xml:space="preserve"> a la activación del SRAA, </w:t>
            </w:r>
          </w:p>
          <w:p w:rsidR="00495E7A" w:rsidRPr="007C3A91" w:rsidRDefault="00495E7A" w:rsidP="00FF11CC">
            <w:pPr>
              <w:spacing w:after="0" w:line="240" w:lineRule="auto"/>
              <w:jc w:val="both"/>
              <w:rPr>
                <w:rFonts w:ascii="Arial" w:hAnsi="Arial" w:cs="Arial"/>
                <w:sz w:val="20"/>
                <w:szCs w:val="20"/>
                <w:lang w:val="es-ES"/>
              </w:rPr>
            </w:pPr>
            <w:proofErr w:type="spellStart"/>
            <w:r w:rsidRPr="007C3A91">
              <w:rPr>
                <w:rFonts w:ascii="Arial" w:hAnsi="Arial" w:cs="Arial"/>
                <w:sz w:val="20"/>
                <w:szCs w:val="20"/>
                <w:lang w:val="es-ES"/>
              </w:rPr>
              <w:t>Aterogénesis</w:t>
            </w:r>
            <w:proofErr w:type="spellEnd"/>
            <w:r w:rsidRPr="007C3A91">
              <w:rPr>
                <w:rFonts w:ascii="Arial" w:hAnsi="Arial" w:cs="Arial"/>
                <w:sz w:val="20"/>
                <w:szCs w:val="20"/>
                <w:lang w:val="es-ES"/>
              </w:rPr>
              <w:t xml:space="preserve"> suprimida asociada con </w:t>
            </w:r>
            <w:r w:rsidR="00E63308">
              <w:rPr>
                <w:rFonts w:ascii="Arial" w:hAnsi="Arial" w:cs="Arial"/>
                <w:sz w:val="20"/>
                <w:szCs w:val="20"/>
                <w:lang w:val="es-ES"/>
              </w:rPr>
              <w:lastRenderedPageBreak/>
              <w:t>S</w:t>
            </w:r>
            <w:r w:rsidRPr="007C3A91">
              <w:rPr>
                <w:rFonts w:ascii="Arial" w:hAnsi="Arial" w:cs="Arial"/>
                <w:sz w:val="20"/>
                <w:szCs w:val="20"/>
                <w:lang w:val="es-ES"/>
              </w:rPr>
              <w:t xml:space="preserve">upresión del SRAA. </w:t>
            </w:r>
          </w:p>
          <w:p w:rsidR="00495E7A" w:rsidRPr="007C3A91" w:rsidRDefault="00495E7A" w:rsidP="00FF11CC">
            <w:pPr>
              <w:spacing w:after="0" w:line="240" w:lineRule="auto"/>
              <w:jc w:val="both"/>
              <w:rPr>
                <w:rFonts w:ascii="Arial" w:hAnsi="Arial" w:cs="Arial"/>
                <w:sz w:val="20"/>
                <w:szCs w:val="20"/>
              </w:rPr>
            </w:pPr>
            <w:proofErr w:type="spellStart"/>
            <w:r w:rsidRPr="007C3A91">
              <w:rPr>
                <w:rFonts w:ascii="Arial" w:hAnsi="Arial" w:cs="Arial"/>
                <w:sz w:val="20"/>
                <w:szCs w:val="20"/>
                <w:lang w:val="es-ES"/>
              </w:rPr>
              <w:t>Aterogénesis</w:t>
            </w:r>
            <w:proofErr w:type="spellEnd"/>
            <w:r w:rsidRPr="007C3A91">
              <w:rPr>
                <w:rFonts w:ascii="Arial" w:hAnsi="Arial" w:cs="Arial"/>
                <w:sz w:val="20"/>
                <w:szCs w:val="20"/>
                <w:lang w:val="es-ES"/>
              </w:rPr>
              <w:t xml:space="preserve"> suprimida, eficacia comparable a la inhibición de la ECA.</w:t>
            </w:r>
          </w:p>
        </w:tc>
        <w:tc>
          <w:tcPr>
            <w:tcW w:w="3071" w:type="dxa"/>
            <w:vMerge w:val="restart"/>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360" w:lineRule="auto"/>
              <w:jc w:val="both"/>
              <w:rPr>
                <w:rFonts w:ascii="Arial" w:hAnsi="Arial" w:cs="Arial"/>
                <w:sz w:val="20"/>
                <w:szCs w:val="20"/>
              </w:rPr>
            </w:pPr>
            <w:proofErr w:type="spellStart"/>
            <w:r w:rsidRPr="007C3A91">
              <w:rPr>
                <w:rFonts w:ascii="Arial" w:hAnsi="Arial" w:cs="Arial"/>
                <w:sz w:val="20"/>
                <w:szCs w:val="20"/>
              </w:rPr>
              <w:lastRenderedPageBreak/>
              <w:t>Tikellis</w:t>
            </w:r>
            <w:proofErr w:type="spellEnd"/>
            <w:r w:rsidRPr="007C3A91">
              <w:rPr>
                <w:rFonts w:ascii="Arial" w:hAnsi="Arial" w:cs="Arial"/>
                <w:sz w:val="20"/>
                <w:szCs w:val="20"/>
              </w:rPr>
              <w:t xml:space="preserve">, C. et al. (2013) </w:t>
            </w:r>
          </w:p>
          <w:p w:rsidR="00495E7A" w:rsidRPr="007C3A91" w:rsidRDefault="00495E7A" w:rsidP="00FF11CC">
            <w:pPr>
              <w:spacing w:after="0" w:line="360" w:lineRule="auto"/>
              <w:jc w:val="both"/>
              <w:rPr>
                <w:rFonts w:ascii="Arial" w:hAnsi="Arial" w:cs="Arial"/>
                <w:sz w:val="20"/>
                <w:szCs w:val="20"/>
              </w:rPr>
            </w:pP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lastRenderedPageBreak/>
              <w:t>Humanos</w:t>
            </w:r>
            <w:r>
              <w:rPr>
                <w:rFonts w:ascii="Arial" w:eastAsia="MS Gothic" w:hAnsi="Arial" w:cs="Arial"/>
                <w:bCs/>
                <w:sz w:val="20"/>
                <w:szCs w:val="20"/>
              </w:rPr>
              <w:t xml:space="preserve"> (</w:t>
            </w:r>
            <w:r w:rsidRPr="008A79FC">
              <w:rPr>
                <w:rFonts w:ascii="Arial" w:eastAsia="MS Gothic" w:hAnsi="Arial" w:cs="Arial"/>
                <w:bCs/>
                <w:sz w:val="20"/>
                <w:szCs w:val="20"/>
              </w:rPr>
              <w:t>n=2648</w:t>
            </w:r>
            <w:r>
              <w:rPr>
                <w:rFonts w:ascii="Arial" w:eastAsia="MS Gothic" w:hAnsi="Arial" w:cs="Arial"/>
                <w:bCs/>
                <w:sz w:val="20"/>
                <w:szCs w:val="20"/>
              </w:rPr>
              <w:t>)</w:t>
            </w:r>
          </w:p>
          <w:p w:rsidR="00A55B10" w:rsidRDefault="00A55B10" w:rsidP="00FF11CC">
            <w:pPr>
              <w:spacing w:after="0" w:line="240" w:lineRule="auto"/>
              <w:jc w:val="both"/>
              <w:rPr>
                <w:rFonts w:ascii="Arial" w:eastAsia="MS Gothic" w:hAnsi="Arial" w:cs="Arial"/>
                <w:bCs/>
                <w:sz w:val="20"/>
                <w:szCs w:val="20"/>
              </w:rPr>
            </w:pPr>
            <w:proofErr w:type="spellStart"/>
            <w:r>
              <w:rPr>
                <w:rFonts w:ascii="Arial" w:eastAsia="MS Gothic" w:hAnsi="Arial" w:cs="Arial"/>
                <w:bCs/>
                <w:sz w:val="20"/>
                <w:szCs w:val="20"/>
              </w:rPr>
              <w:t>FinnDiane</w:t>
            </w:r>
            <w:proofErr w:type="spellEnd"/>
            <w:r>
              <w:rPr>
                <w:rFonts w:ascii="Arial" w:eastAsia="MS Gothic" w:hAnsi="Arial" w:cs="Arial"/>
                <w:bCs/>
                <w:sz w:val="20"/>
                <w:szCs w:val="20"/>
              </w:rPr>
              <w:t xml:space="preserve"> </w:t>
            </w:r>
            <w:proofErr w:type="spellStart"/>
            <w:r>
              <w:rPr>
                <w:rFonts w:ascii="Arial" w:eastAsia="MS Gothic" w:hAnsi="Arial" w:cs="Arial"/>
                <w:bCs/>
                <w:sz w:val="20"/>
                <w:szCs w:val="20"/>
              </w:rPr>
              <w:t>study</w:t>
            </w:r>
            <w:proofErr w:type="spellEnd"/>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rPr>
              <w:t>DT1 s</w:t>
            </w:r>
            <w:r w:rsidRPr="008A79FC">
              <w:rPr>
                <w:rFonts w:ascii="Arial" w:eastAsia="MS Gothic" w:hAnsi="Arial" w:cs="Arial"/>
                <w:bCs/>
                <w:sz w:val="20"/>
                <w:szCs w:val="20"/>
                <w:lang w:val="es-ES"/>
              </w:rPr>
              <w:t>in antecedentes de ECV o Enfermedad Renal Crónica terminal (ERC)</w:t>
            </w:r>
          </w:p>
          <w:p w:rsidR="00495E7A" w:rsidRPr="008A79FC" w:rsidRDefault="00495E7A" w:rsidP="00FF11CC">
            <w:pPr>
              <w:spacing w:after="0" w:line="240" w:lineRule="auto"/>
              <w:jc w:val="both"/>
              <w:rPr>
                <w:rFonts w:ascii="Arial" w:eastAsia="MS Gothic" w:hAnsi="Arial" w:cs="Arial"/>
                <w:bCs/>
                <w:sz w:val="20"/>
                <w:szCs w:val="20"/>
              </w:rPr>
            </w:pPr>
          </w:p>
          <w:p w:rsidR="00495E7A" w:rsidRPr="008A79FC" w:rsidRDefault="00495E7A" w:rsidP="00A55B10">
            <w:pPr>
              <w:spacing w:after="0" w:line="240" w:lineRule="auto"/>
              <w:jc w:val="both"/>
              <w:rPr>
                <w:rFonts w:ascii="Arial" w:eastAsia="MS Gothic" w:hAnsi="Arial" w:cs="Arial"/>
                <w:bCs/>
                <w:sz w:val="20"/>
                <w:szCs w:val="20"/>
              </w:rPr>
            </w:pP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495975" w:rsidRDefault="00495E7A" w:rsidP="00FF11CC">
            <w:pPr>
              <w:spacing w:after="0" w:line="240" w:lineRule="auto"/>
              <w:ind w:left="223" w:hanging="223"/>
              <w:jc w:val="both"/>
              <w:rPr>
                <w:rFonts w:ascii="Arial" w:hAnsi="Arial" w:cs="Arial"/>
                <w:sz w:val="20"/>
                <w:szCs w:val="20"/>
              </w:rPr>
            </w:pPr>
            <w:r w:rsidRPr="007C3A91">
              <w:rPr>
                <w:rFonts w:ascii="Arial" w:hAnsi="Arial" w:cs="Arial"/>
                <w:sz w:val="20"/>
                <w:szCs w:val="20"/>
                <w:lang w:val="es-ES"/>
              </w:rPr>
              <w:t>Baja ingesta de sodio</w:t>
            </w:r>
          </w:p>
          <w:p w:rsidR="00495E7A" w:rsidRPr="00495975" w:rsidRDefault="00495E7A" w:rsidP="00FF11CC">
            <w:pPr>
              <w:spacing w:after="0" w:line="240" w:lineRule="auto"/>
              <w:ind w:left="223" w:hanging="223"/>
              <w:jc w:val="both"/>
              <w:rPr>
                <w:rFonts w:ascii="Arial" w:hAnsi="Arial" w:cs="Arial"/>
                <w:sz w:val="20"/>
                <w:szCs w:val="20"/>
              </w:rPr>
            </w:pPr>
            <w:r w:rsidRPr="007C3A91">
              <w:rPr>
                <w:rFonts w:ascii="Arial" w:hAnsi="Arial" w:cs="Arial"/>
                <w:sz w:val="20"/>
                <w:szCs w:val="20"/>
                <w:lang w:val="es-ES"/>
              </w:rPr>
              <w:t>Alta ingesta de sodio</w:t>
            </w:r>
          </w:p>
          <w:p w:rsidR="00495E7A" w:rsidRPr="001032CC"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La relación en forma de J</w:t>
            </w:r>
            <w:r>
              <w:rPr>
                <w:rFonts w:ascii="Arial" w:hAnsi="Arial" w:cs="Arial"/>
                <w:sz w:val="20"/>
                <w:szCs w:val="20"/>
                <w:lang w:val="es-ES"/>
              </w:rPr>
              <w:t xml:space="preserve"> </w:t>
            </w:r>
            <w:r w:rsidRPr="00495975">
              <w:rPr>
                <w:rFonts w:ascii="Arial" w:hAnsi="Arial" w:cs="Arial"/>
                <w:sz w:val="20"/>
                <w:szCs w:val="20"/>
                <w:lang w:val="es-ES"/>
              </w:rPr>
              <w:t>nudo:</w:t>
            </w:r>
            <w:r w:rsidRPr="001032CC">
              <w:rPr>
                <w:rFonts w:ascii="Arial" w:hAnsi="Arial" w:cs="Arial"/>
                <w:sz w:val="20"/>
                <w:szCs w:val="20"/>
                <w:lang w:val="es-ES"/>
              </w:rPr>
              <w:t xml:space="preserve"> </w:t>
            </w:r>
            <w:r w:rsidRPr="001032CC">
              <w:rPr>
                <w:rFonts w:ascii="Arial" w:hAnsi="Arial" w:cs="Arial"/>
                <w:sz w:val="20"/>
                <w:szCs w:val="20"/>
              </w:rPr>
              <w:t xml:space="preserve">102 </w:t>
            </w:r>
            <w:proofErr w:type="spellStart"/>
            <w:r w:rsidRPr="001032CC">
              <w:rPr>
                <w:rFonts w:ascii="Arial" w:hAnsi="Arial" w:cs="Arial"/>
                <w:sz w:val="20"/>
                <w:szCs w:val="20"/>
              </w:rPr>
              <w:t>mmol</w:t>
            </w:r>
            <w:proofErr w:type="spellEnd"/>
            <w:r w:rsidRPr="001032CC">
              <w:rPr>
                <w:rFonts w:ascii="Arial" w:hAnsi="Arial" w:cs="Arial"/>
                <w:sz w:val="20"/>
                <w:szCs w:val="20"/>
              </w:rPr>
              <w:t xml:space="preserve"> </w:t>
            </w:r>
            <w:proofErr w:type="spellStart"/>
            <w:r w:rsidRPr="001032CC">
              <w:rPr>
                <w:rFonts w:ascii="Arial" w:hAnsi="Arial" w:cs="Arial"/>
                <w:sz w:val="20"/>
                <w:szCs w:val="20"/>
              </w:rPr>
              <w:t>UNaE</w:t>
            </w:r>
            <w:proofErr w:type="spellEnd"/>
            <w:r w:rsidRPr="001032CC">
              <w:rPr>
                <w:rFonts w:ascii="Arial" w:hAnsi="Arial" w:cs="Arial"/>
                <w:sz w:val="20"/>
                <w:szCs w:val="20"/>
              </w:rPr>
              <w:t xml:space="preserve"> 24 </w:t>
            </w:r>
            <w:proofErr w:type="spellStart"/>
            <w:r w:rsidRPr="001032CC">
              <w:rPr>
                <w:rFonts w:ascii="Arial" w:hAnsi="Arial" w:cs="Arial"/>
                <w:sz w:val="20"/>
                <w:szCs w:val="20"/>
              </w:rPr>
              <w:t>hr</w:t>
            </w:r>
            <w:proofErr w:type="spellEnd"/>
            <w:r w:rsidRPr="001032CC">
              <w:rPr>
                <w:rFonts w:ascii="Arial" w:hAnsi="Arial" w:cs="Arial"/>
                <w:sz w:val="20"/>
                <w:szCs w:val="20"/>
              </w:rPr>
              <w:t xml:space="preserve"> (2606.66 mg ingesta) -mortalidad y 141 </w:t>
            </w:r>
            <w:proofErr w:type="spellStart"/>
            <w:r w:rsidRPr="001032CC">
              <w:rPr>
                <w:rFonts w:ascii="Arial" w:hAnsi="Arial" w:cs="Arial"/>
                <w:sz w:val="20"/>
                <w:szCs w:val="20"/>
              </w:rPr>
              <w:t>mmol</w:t>
            </w:r>
            <w:proofErr w:type="spellEnd"/>
            <w:r w:rsidRPr="001032CC">
              <w:rPr>
                <w:rFonts w:ascii="Arial" w:hAnsi="Arial" w:cs="Arial"/>
                <w:sz w:val="20"/>
                <w:szCs w:val="20"/>
              </w:rPr>
              <w:t xml:space="preserve"> </w:t>
            </w:r>
            <w:proofErr w:type="spellStart"/>
            <w:r w:rsidRPr="001032CC">
              <w:rPr>
                <w:rFonts w:ascii="Arial" w:hAnsi="Arial" w:cs="Arial"/>
                <w:sz w:val="20"/>
                <w:szCs w:val="20"/>
              </w:rPr>
              <w:t>UNaE</w:t>
            </w:r>
            <w:proofErr w:type="spellEnd"/>
            <w:r w:rsidRPr="001032CC">
              <w:rPr>
                <w:rFonts w:ascii="Arial" w:hAnsi="Arial" w:cs="Arial"/>
                <w:sz w:val="20"/>
                <w:szCs w:val="20"/>
              </w:rPr>
              <w:t xml:space="preserve"> 24 </w:t>
            </w:r>
            <w:proofErr w:type="spellStart"/>
            <w:r w:rsidRPr="001032CC">
              <w:rPr>
                <w:rFonts w:ascii="Arial" w:hAnsi="Arial" w:cs="Arial"/>
                <w:sz w:val="20"/>
                <w:szCs w:val="20"/>
              </w:rPr>
              <w:t>hr</w:t>
            </w:r>
            <w:proofErr w:type="spellEnd"/>
            <w:r w:rsidRPr="001032CC">
              <w:rPr>
                <w:rFonts w:ascii="Arial" w:hAnsi="Arial" w:cs="Arial"/>
                <w:sz w:val="20"/>
                <w:szCs w:val="20"/>
              </w:rPr>
              <w:t xml:space="preserve"> (3603.33 mg ingesta)</w:t>
            </w:r>
            <w:r w:rsidRPr="001032CC">
              <w:rPr>
                <w:rFonts w:ascii="Arial" w:hAnsi="Arial" w:cs="Arial"/>
                <w:sz w:val="20"/>
                <w:szCs w:val="20"/>
                <w:lang w:val="es-ES"/>
              </w:rPr>
              <w:t xml:space="preserve"> - desarrollo de ECV. </w:t>
            </w:r>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&gt; riesgo de mortalidad por todas las causas y nuevos eventos CV</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Asociación con resultados adversos, </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La disminución de la PA es un objetivo importante en la DT1</w:t>
            </w:r>
            <w:r w:rsidR="00E63308">
              <w:rPr>
                <w:rFonts w:ascii="Arial" w:hAnsi="Arial" w:cs="Arial"/>
                <w:sz w:val="20"/>
                <w:szCs w:val="20"/>
                <w:lang w:val="es-ES"/>
              </w:rPr>
              <w:t>,</w:t>
            </w:r>
            <w:r w:rsidRPr="007C3A91">
              <w:rPr>
                <w:rFonts w:ascii="Arial" w:hAnsi="Arial" w:cs="Arial"/>
                <w:sz w:val="20"/>
                <w:szCs w:val="20"/>
                <w:lang w:val="es-ES"/>
              </w:rPr>
              <w:t xml:space="preserve"> sin embargo</w:t>
            </w:r>
            <w:r w:rsidR="00E63308">
              <w:rPr>
                <w:rFonts w:ascii="Arial" w:hAnsi="Arial" w:cs="Arial"/>
                <w:sz w:val="20"/>
                <w:szCs w:val="20"/>
                <w:lang w:val="es-ES"/>
              </w:rPr>
              <w:t>,</w:t>
            </w:r>
            <w:r w:rsidRPr="007C3A91">
              <w:rPr>
                <w:rFonts w:ascii="Arial" w:hAnsi="Arial" w:cs="Arial"/>
                <w:sz w:val="20"/>
                <w:szCs w:val="20"/>
                <w:lang w:val="es-ES"/>
              </w:rPr>
              <w:t xml:space="preserve"> la activación del SRAA puede contribuir al desarrollo de las complicaciones CV  en pacientes DT1 con bajo consumo de </w:t>
            </w:r>
            <w:proofErr w:type="spellStart"/>
            <w:r w:rsidRPr="007C3A91">
              <w:rPr>
                <w:rFonts w:ascii="Arial" w:hAnsi="Arial" w:cs="Arial"/>
                <w:sz w:val="20"/>
                <w:szCs w:val="20"/>
                <w:lang w:val="es-ES"/>
              </w:rPr>
              <w:t>Na</w:t>
            </w:r>
            <w:proofErr w:type="spellEnd"/>
            <w:r w:rsidR="00E63308">
              <w:rPr>
                <w:rFonts w:ascii="Arial" w:hAnsi="Arial" w:cs="Arial"/>
                <w:sz w:val="20"/>
                <w:szCs w:val="20"/>
                <w:lang w:val="es-ES"/>
              </w:rPr>
              <w:t>.</w:t>
            </w:r>
          </w:p>
        </w:tc>
        <w:tc>
          <w:tcPr>
            <w:tcW w:w="3071" w:type="dxa"/>
            <w:vMerge/>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360" w:lineRule="auto"/>
              <w:jc w:val="both"/>
              <w:rPr>
                <w:rFonts w:ascii="Arial" w:hAnsi="Arial" w:cs="Arial"/>
                <w:sz w:val="20"/>
                <w:szCs w:val="20"/>
              </w:rPr>
            </w:pP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auto"/>
          </w:tcPr>
          <w:p w:rsidR="00495E7A" w:rsidRDefault="00495E7A" w:rsidP="00FF11CC">
            <w:pPr>
              <w:spacing w:after="0" w:line="240" w:lineRule="auto"/>
              <w:jc w:val="both"/>
              <w:rPr>
                <w:rFonts w:ascii="Arial" w:eastAsia="MS Gothic" w:hAnsi="Arial" w:cs="Arial"/>
                <w:bCs/>
                <w:sz w:val="20"/>
                <w:szCs w:val="20"/>
                <w:lang w:val="en-US"/>
              </w:rPr>
            </w:pPr>
            <w:proofErr w:type="spellStart"/>
            <w:r w:rsidRPr="008A79FC">
              <w:rPr>
                <w:rFonts w:ascii="Arial" w:eastAsia="MS Gothic" w:hAnsi="Arial" w:cs="Arial"/>
                <w:bCs/>
                <w:sz w:val="20"/>
                <w:szCs w:val="20"/>
                <w:lang w:val="en-US"/>
              </w:rPr>
              <w:t>Humanos</w:t>
            </w:r>
            <w:proofErr w:type="spellEnd"/>
            <w:r>
              <w:rPr>
                <w:rFonts w:ascii="Arial" w:eastAsia="MS Gothic" w:hAnsi="Arial" w:cs="Arial"/>
                <w:bCs/>
                <w:sz w:val="20"/>
                <w:szCs w:val="20"/>
                <w:lang w:val="en-US"/>
              </w:rPr>
              <w:t xml:space="preserve"> (</w:t>
            </w:r>
            <w:r w:rsidRPr="008A79FC">
              <w:rPr>
                <w:rFonts w:ascii="Arial" w:eastAsia="MS Gothic" w:hAnsi="Arial" w:cs="Arial"/>
                <w:bCs/>
                <w:sz w:val="20"/>
                <w:szCs w:val="20"/>
                <w:lang w:val="en-US"/>
              </w:rPr>
              <w:t>n=296</w:t>
            </w:r>
            <w:r>
              <w:rPr>
                <w:rFonts w:ascii="Arial" w:eastAsia="MS Gothic" w:hAnsi="Arial" w:cs="Arial"/>
                <w:bCs/>
                <w:sz w:val="20"/>
                <w:szCs w:val="20"/>
                <w:lang w:val="en-US"/>
              </w:rPr>
              <w:t>)</w:t>
            </w:r>
            <w:r w:rsidRPr="008A79FC">
              <w:rPr>
                <w:rFonts w:ascii="Arial" w:eastAsia="MS Gothic" w:hAnsi="Arial" w:cs="Arial"/>
                <w:bCs/>
                <w:sz w:val="20"/>
                <w:szCs w:val="20"/>
                <w:lang w:val="en-US"/>
              </w:rPr>
              <w:t xml:space="preserve"> </w:t>
            </w:r>
          </w:p>
          <w:p w:rsidR="00495E7A" w:rsidRPr="008A79FC" w:rsidRDefault="00495E7A" w:rsidP="00FF11CC">
            <w:pPr>
              <w:spacing w:after="0" w:line="240" w:lineRule="auto"/>
              <w:jc w:val="both"/>
              <w:rPr>
                <w:rFonts w:ascii="Arial" w:eastAsia="MS Gothic" w:hAnsi="Arial" w:cs="Arial"/>
                <w:bCs/>
                <w:sz w:val="20"/>
                <w:szCs w:val="20"/>
                <w:lang w:val="en-US"/>
              </w:rPr>
            </w:pPr>
            <w:r w:rsidRPr="008A79FC">
              <w:rPr>
                <w:rFonts w:ascii="Arial" w:eastAsia="MS Gothic" w:hAnsi="Arial" w:cs="Arial"/>
                <w:bCs/>
                <w:sz w:val="20"/>
                <w:szCs w:val="20"/>
                <w:lang w:val="en-US"/>
              </w:rPr>
              <w:t>DT2</w:t>
            </w:r>
          </w:p>
          <w:p w:rsidR="00495E7A" w:rsidRPr="008A79FC" w:rsidRDefault="00495E7A" w:rsidP="00FF11CC">
            <w:pPr>
              <w:spacing w:after="0" w:line="240" w:lineRule="auto"/>
              <w:jc w:val="both"/>
              <w:rPr>
                <w:rFonts w:ascii="Arial" w:eastAsia="MS Gothic" w:hAnsi="Arial" w:cs="Arial"/>
                <w:bCs/>
                <w:sz w:val="20"/>
                <w:szCs w:val="20"/>
              </w:rPr>
            </w:pPr>
          </w:p>
        </w:tc>
        <w:tc>
          <w:tcPr>
            <w:tcW w:w="2740"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Pacientes sin ECV Ingesta 3155 mg </w:t>
            </w:r>
            <w:proofErr w:type="spellStart"/>
            <w:r w:rsidRPr="007C3A91">
              <w:rPr>
                <w:rFonts w:ascii="Arial" w:hAnsi="Arial" w:cs="Arial"/>
                <w:sz w:val="20"/>
                <w:szCs w:val="20"/>
              </w:rPr>
              <w:t>Na</w:t>
            </w:r>
            <w:proofErr w:type="spellEnd"/>
            <w:r w:rsidRPr="007C3A91">
              <w:rPr>
                <w:rFonts w:ascii="Arial" w:hAnsi="Arial" w:cs="Arial"/>
                <w:sz w:val="20"/>
                <w:szCs w:val="20"/>
              </w:rPr>
              <w:t xml:space="preserve">/d </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Pacientes con ECV </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2913 mg </w:t>
            </w:r>
            <w:proofErr w:type="spellStart"/>
            <w:r w:rsidRPr="007C3A91">
              <w:rPr>
                <w:rFonts w:ascii="Arial" w:hAnsi="Arial" w:cs="Arial"/>
                <w:sz w:val="20"/>
                <w:szCs w:val="20"/>
              </w:rPr>
              <w:t>Na</w:t>
            </w:r>
            <w:proofErr w:type="spellEnd"/>
            <w:r w:rsidRPr="007C3A91">
              <w:rPr>
                <w:rFonts w:ascii="Arial" w:hAnsi="Arial" w:cs="Arial"/>
                <w:sz w:val="20"/>
                <w:szCs w:val="20"/>
              </w:rPr>
              <w:t xml:space="preserve">/d </w:t>
            </w:r>
          </w:p>
        </w:tc>
        <w:tc>
          <w:tcPr>
            <w:tcW w:w="4017"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La ingesta de </w:t>
            </w:r>
            <w:proofErr w:type="spellStart"/>
            <w:r w:rsidRPr="007C3A91">
              <w:rPr>
                <w:rFonts w:ascii="Arial" w:hAnsi="Arial" w:cs="Arial"/>
                <w:sz w:val="20"/>
                <w:szCs w:val="20"/>
              </w:rPr>
              <w:t>Na</w:t>
            </w:r>
            <w:proofErr w:type="spellEnd"/>
            <w:r w:rsidRPr="007C3A91">
              <w:rPr>
                <w:rFonts w:ascii="Arial" w:hAnsi="Arial" w:cs="Arial"/>
                <w:sz w:val="20"/>
                <w:szCs w:val="20"/>
              </w:rPr>
              <w:t xml:space="preserve"> no se asocia con ERC.</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Los pacientes con ECV disminuyen ingesta de </w:t>
            </w:r>
            <w:proofErr w:type="spellStart"/>
            <w:r w:rsidRPr="007C3A91">
              <w:rPr>
                <w:rFonts w:ascii="Arial" w:hAnsi="Arial" w:cs="Arial"/>
                <w:sz w:val="20"/>
                <w:szCs w:val="20"/>
              </w:rPr>
              <w:t>Na</w:t>
            </w:r>
            <w:proofErr w:type="spellEnd"/>
            <w:r w:rsidRPr="007C3A91">
              <w:rPr>
                <w:rFonts w:ascii="Arial" w:hAnsi="Arial" w:cs="Arial"/>
                <w:sz w:val="20"/>
                <w:szCs w:val="20"/>
              </w:rPr>
              <w:t>.</w:t>
            </w:r>
          </w:p>
        </w:tc>
        <w:tc>
          <w:tcPr>
            <w:tcW w:w="3071"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360" w:lineRule="auto"/>
              <w:jc w:val="both"/>
              <w:rPr>
                <w:rFonts w:ascii="Arial" w:hAnsi="Arial" w:cs="Arial"/>
                <w:sz w:val="20"/>
                <w:szCs w:val="20"/>
              </w:rPr>
            </w:pPr>
            <w:r w:rsidRPr="007C3A91">
              <w:rPr>
                <w:rFonts w:ascii="Arial" w:hAnsi="Arial" w:cs="Arial"/>
                <w:sz w:val="20"/>
                <w:szCs w:val="20"/>
              </w:rPr>
              <w:t xml:space="preserve">Ferreira, PL. </w:t>
            </w:r>
            <w:proofErr w:type="gramStart"/>
            <w:r w:rsidRPr="007C3A91">
              <w:rPr>
                <w:rFonts w:ascii="Arial" w:hAnsi="Arial" w:cs="Arial"/>
                <w:sz w:val="20"/>
                <w:szCs w:val="20"/>
              </w:rPr>
              <w:t>et</w:t>
            </w:r>
            <w:proofErr w:type="gramEnd"/>
            <w:r w:rsidRPr="007C3A91">
              <w:rPr>
                <w:rFonts w:ascii="Arial" w:hAnsi="Arial" w:cs="Arial"/>
                <w:sz w:val="20"/>
                <w:szCs w:val="20"/>
              </w:rPr>
              <w:t xml:space="preserve"> al. (2014).</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Pr="005D1567" w:rsidRDefault="00495E7A" w:rsidP="00FF11CC">
            <w:pPr>
              <w:spacing w:after="0" w:line="240" w:lineRule="auto"/>
              <w:jc w:val="both"/>
              <w:rPr>
                <w:rFonts w:ascii="Arial" w:eastAsia="MS Gothic" w:hAnsi="Arial" w:cs="Arial"/>
                <w:bCs/>
                <w:sz w:val="20"/>
                <w:szCs w:val="20"/>
                <w:lang w:val="es-ES"/>
              </w:rPr>
            </w:pPr>
            <w:r w:rsidRPr="007A58E2">
              <w:rPr>
                <w:rFonts w:ascii="Arial" w:eastAsia="MS Gothic" w:hAnsi="Arial" w:cs="Arial"/>
                <w:bCs/>
                <w:sz w:val="20"/>
                <w:szCs w:val="20"/>
                <w:lang w:val="es-ES"/>
              </w:rPr>
              <w:t>Meta-análisis</w:t>
            </w:r>
            <w:r w:rsidRPr="001032CC">
              <w:rPr>
                <w:rFonts w:ascii="Arial" w:eastAsia="MS Gothic" w:hAnsi="Arial" w:cs="Arial"/>
                <w:bCs/>
                <w:sz w:val="20"/>
                <w:szCs w:val="20"/>
                <w:lang w:val="es-ES"/>
              </w:rPr>
              <w:t xml:space="preserve"> </w:t>
            </w:r>
            <w:r w:rsidR="00E63308">
              <w:rPr>
                <w:rFonts w:ascii="Arial" w:eastAsia="MS Gothic" w:hAnsi="Arial" w:cs="Arial"/>
                <w:bCs/>
                <w:sz w:val="20"/>
                <w:szCs w:val="20"/>
                <w:lang w:val="es-ES"/>
              </w:rPr>
              <w:t>h</w:t>
            </w:r>
            <w:r w:rsidRPr="008A79FC">
              <w:rPr>
                <w:rFonts w:ascii="Arial" w:eastAsia="MS Gothic" w:hAnsi="Arial" w:cs="Arial"/>
                <w:bCs/>
                <w:sz w:val="20"/>
                <w:szCs w:val="20"/>
                <w:lang w:val="es-ES"/>
              </w:rPr>
              <w:t>umanos</w:t>
            </w:r>
            <w:r w:rsidRPr="005D1567">
              <w:rPr>
                <w:rFonts w:ascii="Arial" w:eastAsia="MS Gothic" w:hAnsi="Arial" w:cs="Arial"/>
                <w:bCs/>
                <w:sz w:val="20"/>
                <w:szCs w:val="20"/>
                <w:lang w:val="es-ES"/>
              </w:rPr>
              <w:t xml:space="preserve"> </w:t>
            </w:r>
            <w:r>
              <w:rPr>
                <w:rFonts w:ascii="Arial" w:eastAsia="MS Gothic" w:hAnsi="Arial" w:cs="Arial"/>
                <w:bCs/>
                <w:sz w:val="20"/>
                <w:szCs w:val="20"/>
                <w:lang w:val="es-ES"/>
              </w:rPr>
              <w:t xml:space="preserve"> (</w:t>
            </w:r>
            <w:r w:rsidRPr="005D1567">
              <w:rPr>
                <w:rFonts w:ascii="Arial" w:eastAsia="MS Gothic" w:hAnsi="Arial" w:cs="Arial"/>
                <w:bCs/>
                <w:sz w:val="20"/>
                <w:szCs w:val="20"/>
                <w:lang w:val="es-ES"/>
              </w:rPr>
              <w:t>n=247683</w:t>
            </w:r>
            <w:r>
              <w:rPr>
                <w:rFonts w:ascii="Arial" w:eastAsia="MS Gothic" w:hAnsi="Arial" w:cs="Arial"/>
                <w:bCs/>
                <w:sz w:val="20"/>
                <w:szCs w:val="20"/>
                <w:lang w:val="es-ES"/>
              </w:rPr>
              <w:t>).</w:t>
            </w:r>
          </w:p>
          <w:p w:rsidR="00495E7A" w:rsidRPr="008A79FC" w:rsidRDefault="00495E7A" w:rsidP="00FF11CC">
            <w:pPr>
              <w:spacing w:after="0" w:line="240" w:lineRule="auto"/>
              <w:jc w:val="both"/>
              <w:rPr>
                <w:rFonts w:ascii="Arial" w:eastAsia="MS Gothic" w:hAnsi="Arial" w:cs="Arial"/>
                <w:bCs/>
                <w:sz w:val="20"/>
                <w:szCs w:val="20"/>
                <w:lang w:val="es-ES"/>
              </w:rPr>
            </w:pP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25 estudios</w:t>
            </w:r>
          </w:p>
          <w:p w:rsidR="00495E7A" w:rsidRPr="008A79FC" w:rsidRDefault="00495E7A" w:rsidP="00FF11CC">
            <w:pPr>
              <w:spacing w:after="0" w:line="240" w:lineRule="auto"/>
              <w:jc w:val="both"/>
              <w:rPr>
                <w:rFonts w:ascii="Arial" w:eastAsia="MS Gothic" w:hAnsi="Arial" w:cs="Arial"/>
                <w:bCs/>
                <w:sz w:val="20"/>
                <w:szCs w:val="20"/>
                <w:lang w:val="es-ES"/>
              </w:rPr>
            </w:pP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Baja ingesta de sodio &lt; 115mmol (2645 mg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 6.6 g sal)</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Alta ingesta de sodio </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rPr>
              <w:t xml:space="preserve"> 4945mg  Na,12.4g sal</w:t>
            </w:r>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Relación en forma de U:</w:t>
            </w:r>
            <w:r>
              <w:rPr>
                <w:rFonts w:ascii="Arial" w:hAnsi="Arial" w:cs="Arial"/>
                <w:sz w:val="20"/>
                <w:szCs w:val="20"/>
                <w:lang w:val="es-ES"/>
              </w:rPr>
              <w:t xml:space="preserve"> </w:t>
            </w:r>
            <w:r w:rsidR="00E63308">
              <w:rPr>
                <w:rFonts w:ascii="Arial" w:hAnsi="Arial" w:cs="Arial"/>
                <w:sz w:val="20"/>
                <w:szCs w:val="20"/>
                <w:lang w:val="es-ES"/>
              </w:rPr>
              <w:t>l</w:t>
            </w:r>
            <w:r w:rsidRPr="007C3A91">
              <w:rPr>
                <w:rFonts w:ascii="Arial" w:hAnsi="Arial" w:cs="Arial"/>
                <w:sz w:val="20"/>
                <w:szCs w:val="20"/>
              </w:rPr>
              <w:t>a ingesta baja y alta de sodio se asocia con mayor CV y mortalidad por todas las causas.</w:t>
            </w:r>
          </w:p>
          <w:p w:rsidR="00495E7A" w:rsidRPr="007C3A91" w:rsidRDefault="00495E7A" w:rsidP="00FF11CC">
            <w:pPr>
              <w:spacing w:after="0" w:line="240" w:lineRule="auto"/>
              <w:jc w:val="both"/>
              <w:rPr>
                <w:rFonts w:ascii="Arial" w:hAnsi="Arial" w:cs="Arial"/>
                <w:sz w:val="20"/>
                <w:szCs w:val="20"/>
              </w:rPr>
            </w:pPr>
          </w:p>
        </w:tc>
        <w:tc>
          <w:tcPr>
            <w:tcW w:w="3071"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360" w:lineRule="auto"/>
              <w:jc w:val="both"/>
              <w:rPr>
                <w:rFonts w:ascii="Arial" w:hAnsi="Arial" w:cs="Arial"/>
                <w:sz w:val="20"/>
                <w:szCs w:val="20"/>
                <w:lang w:val="en-US"/>
              </w:rPr>
            </w:pPr>
            <w:proofErr w:type="spellStart"/>
            <w:r w:rsidRPr="007C3A91">
              <w:rPr>
                <w:rFonts w:ascii="Arial" w:hAnsi="Arial" w:cs="Arial"/>
                <w:sz w:val="20"/>
                <w:szCs w:val="20"/>
                <w:lang w:val="en-US"/>
              </w:rPr>
              <w:t>Graudal</w:t>
            </w:r>
            <w:proofErr w:type="spellEnd"/>
            <w:r w:rsidRPr="007C3A91">
              <w:rPr>
                <w:rFonts w:ascii="Arial" w:hAnsi="Arial" w:cs="Arial"/>
                <w:sz w:val="20"/>
                <w:szCs w:val="20"/>
                <w:lang w:val="en-US"/>
              </w:rPr>
              <w:t xml:space="preserve"> N, et al. (</w:t>
            </w:r>
            <w:r w:rsidRPr="007C3A91">
              <w:rPr>
                <w:rFonts w:ascii="Arial" w:hAnsi="Arial" w:cs="Arial"/>
                <w:bCs/>
                <w:sz w:val="20"/>
                <w:szCs w:val="20"/>
                <w:lang w:val="en-US"/>
              </w:rPr>
              <w:t>2014)</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auto"/>
          </w:tcPr>
          <w:p w:rsidR="00495E7A" w:rsidRPr="00BF3AB6"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Humanos</w:t>
            </w:r>
            <w:r w:rsidRPr="00BF3AB6">
              <w:rPr>
                <w:rFonts w:ascii="Arial" w:eastAsia="MS Gothic" w:hAnsi="Arial" w:cs="Arial"/>
                <w:bCs/>
                <w:sz w:val="20"/>
                <w:szCs w:val="20"/>
                <w:lang w:val="es-ES"/>
              </w:rPr>
              <w:t xml:space="preserve"> </w:t>
            </w:r>
            <w:r>
              <w:rPr>
                <w:rFonts w:ascii="Arial" w:eastAsia="MS Gothic" w:hAnsi="Arial" w:cs="Arial"/>
                <w:bCs/>
                <w:sz w:val="20"/>
                <w:szCs w:val="20"/>
                <w:lang w:val="es-ES"/>
              </w:rPr>
              <w:t>(</w:t>
            </w:r>
            <w:r w:rsidRPr="00BF3AB6">
              <w:rPr>
                <w:rFonts w:ascii="Arial" w:eastAsia="MS Gothic" w:hAnsi="Arial" w:cs="Arial"/>
                <w:bCs/>
                <w:sz w:val="20"/>
                <w:szCs w:val="20"/>
                <w:lang w:val="es-ES"/>
              </w:rPr>
              <w:t>n=2642</w:t>
            </w:r>
            <w:r>
              <w:rPr>
                <w:rFonts w:ascii="Arial" w:eastAsia="MS Gothic" w:hAnsi="Arial" w:cs="Arial"/>
                <w:bCs/>
                <w:sz w:val="20"/>
                <w:szCs w:val="20"/>
                <w:lang w:val="es-ES"/>
              </w:rPr>
              <w:t>)</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Cohorte 10 años</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 xml:space="preserve">adultos mayores </w:t>
            </w:r>
          </w:p>
        </w:tc>
        <w:tc>
          <w:tcPr>
            <w:tcW w:w="2740"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Ingesta &gt; 2300 mg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 xml:space="preserve">/d con FC. </w:t>
            </w:r>
          </w:p>
        </w:tc>
        <w:tc>
          <w:tcPr>
            <w:tcW w:w="4017"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E63308">
            <w:pPr>
              <w:spacing w:after="0" w:line="240" w:lineRule="auto"/>
              <w:jc w:val="both"/>
              <w:rPr>
                <w:rFonts w:ascii="Arial" w:hAnsi="Arial" w:cs="Arial"/>
                <w:sz w:val="20"/>
                <w:szCs w:val="20"/>
                <w:lang w:val="es-ES"/>
              </w:rPr>
            </w:pPr>
            <w:r w:rsidRPr="007C3A91">
              <w:rPr>
                <w:rFonts w:ascii="Arial" w:hAnsi="Arial" w:cs="Arial"/>
                <w:sz w:val="20"/>
                <w:szCs w:val="20"/>
                <w:lang w:val="es-ES"/>
              </w:rPr>
              <w:t>No asociación  con mortalidad, ECV  falla cardiaca, HAS, independientemente del grupo racial.</w:t>
            </w:r>
          </w:p>
        </w:tc>
        <w:tc>
          <w:tcPr>
            <w:tcW w:w="3071" w:type="dxa"/>
            <w:tcBorders>
              <w:top w:val="single" w:sz="8" w:space="0" w:color="8064A2"/>
              <w:left w:val="single" w:sz="8" w:space="0" w:color="8064A2"/>
              <w:bottom w:val="single" w:sz="8" w:space="0" w:color="8064A2"/>
              <w:right w:val="single" w:sz="8" w:space="0" w:color="8064A2"/>
            </w:tcBorders>
            <w:shd w:val="clear" w:color="auto" w:fill="auto"/>
          </w:tcPr>
          <w:p w:rsidR="00495E7A" w:rsidRPr="007C3A91" w:rsidRDefault="00495E7A" w:rsidP="00FF11CC">
            <w:pPr>
              <w:spacing w:after="0" w:line="360" w:lineRule="auto"/>
              <w:jc w:val="both"/>
              <w:rPr>
                <w:rFonts w:ascii="Arial" w:hAnsi="Arial" w:cs="Arial"/>
                <w:sz w:val="20"/>
                <w:szCs w:val="20"/>
              </w:rPr>
            </w:pPr>
            <w:proofErr w:type="spellStart"/>
            <w:r w:rsidRPr="007C3A91">
              <w:rPr>
                <w:rFonts w:ascii="Arial" w:hAnsi="Arial" w:cs="Arial"/>
                <w:sz w:val="20"/>
                <w:szCs w:val="20"/>
                <w:lang w:val="es-ES"/>
              </w:rPr>
              <w:t>Kalogeropoulos</w:t>
            </w:r>
            <w:proofErr w:type="spellEnd"/>
            <w:r w:rsidRPr="007C3A91">
              <w:rPr>
                <w:rFonts w:ascii="Arial" w:hAnsi="Arial" w:cs="Arial"/>
                <w:sz w:val="20"/>
                <w:szCs w:val="20"/>
                <w:lang w:val="es-ES"/>
              </w:rPr>
              <w:t>, AP. et al.</w:t>
            </w:r>
            <w:r>
              <w:rPr>
                <w:rFonts w:ascii="Arial" w:hAnsi="Arial" w:cs="Arial"/>
                <w:sz w:val="20"/>
                <w:szCs w:val="20"/>
                <w:lang w:val="es-ES"/>
              </w:rPr>
              <w:t xml:space="preserve"> </w:t>
            </w:r>
            <w:r w:rsidRPr="007C3A91">
              <w:rPr>
                <w:rFonts w:ascii="Arial" w:hAnsi="Arial" w:cs="Arial"/>
                <w:sz w:val="20"/>
                <w:szCs w:val="20"/>
              </w:rPr>
              <w:t>(2015)</w:t>
            </w:r>
          </w:p>
        </w:tc>
      </w:tr>
      <w:tr w:rsidR="00495E7A" w:rsidRPr="007C3A91" w:rsidTr="00FF11CC">
        <w:tc>
          <w:tcPr>
            <w:tcW w:w="3038" w:type="dxa"/>
            <w:tcBorders>
              <w:top w:val="single" w:sz="8" w:space="0" w:color="8064A2"/>
              <w:left w:val="single" w:sz="8" w:space="0" w:color="8064A2"/>
              <w:bottom w:val="single" w:sz="8" w:space="0" w:color="8064A2"/>
              <w:right w:val="single" w:sz="8" w:space="0" w:color="8064A2"/>
            </w:tcBorders>
            <w:shd w:val="clear" w:color="auto" w:fill="DFD8E8"/>
          </w:tcPr>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Humanos</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 xml:space="preserve">Meta-análisis: 4 estudios </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 xml:space="preserve">n=133 118 </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 xml:space="preserve">63559 con HAS </w:t>
            </w:r>
          </w:p>
          <w:p w:rsidR="00495E7A" w:rsidRPr="008A79FC" w:rsidRDefault="00495E7A" w:rsidP="00FF11CC">
            <w:pPr>
              <w:spacing w:after="0" w:line="240" w:lineRule="auto"/>
              <w:jc w:val="both"/>
              <w:rPr>
                <w:rFonts w:ascii="Arial" w:eastAsia="MS Gothic" w:hAnsi="Arial" w:cs="Arial"/>
                <w:bCs/>
                <w:sz w:val="20"/>
                <w:szCs w:val="20"/>
                <w:lang w:val="es-ES"/>
              </w:rPr>
            </w:pPr>
            <w:r w:rsidRPr="008A79FC">
              <w:rPr>
                <w:rFonts w:ascii="Arial" w:eastAsia="MS Gothic" w:hAnsi="Arial" w:cs="Arial"/>
                <w:bCs/>
                <w:sz w:val="20"/>
                <w:szCs w:val="20"/>
                <w:lang w:val="es-ES"/>
              </w:rPr>
              <w:t>69559 sin HAS</w:t>
            </w:r>
          </w:p>
          <w:p w:rsidR="00495E7A" w:rsidRPr="008A79FC" w:rsidRDefault="00495E7A" w:rsidP="00FF11CC">
            <w:pPr>
              <w:spacing w:after="0" w:line="240" w:lineRule="auto"/>
              <w:jc w:val="both"/>
              <w:rPr>
                <w:rFonts w:ascii="Arial" w:eastAsia="MS Gothic" w:hAnsi="Arial" w:cs="Arial"/>
                <w:bCs/>
                <w:sz w:val="20"/>
                <w:szCs w:val="20"/>
              </w:rPr>
            </w:pPr>
            <w:r w:rsidRPr="008A79FC">
              <w:rPr>
                <w:rFonts w:ascii="Arial" w:eastAsia="MS Gothic" w:hAnsi="Arial" w:cs="Arial"/>
                <w:bCs/>
                <w:sz w:val="20"/>
                <w:szCs w:val="20"/>
                <w:lang w:val="es-ES"/>
              </w:rPr>
              <w:t xml:space="preserve">(Desenlace: muerte y eventos ECV mayores seguimiento 4.2 años) </w:t>
            </w:r>
          </w:p>
        </w:tc>
        <w:tc>
          <w:tcPr>
            <w:tcW w:w="2740"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Alta ingesta de sodio,</w:t>
            </w: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(excreción&gt; 6g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/día)</w:t>
            </w:r>
          </w:p>
          <w:p w:rsidR="00495E7A" w:rsidRPr="007C3A91" w:rsidRDefault="00495E7A" w:rsidP="00FF11CC">
            <w:pPr>
              <w:spacing w:after="0" w:line="240" w:lineRule="auto"/>
              <w:jc w:val="both"/>
              <w:rPr>
                <w:rFonts w:ascii="Arial" w:hAnsi="Arial" w:cs="Arial"/>
                <w:sz w:val="20"/>
                <w:szCs w:val="20"/>
                <w:lang w:val="es-ES"/>
              </w:rPr>
            </w:pPr>
          </w:p>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Baja ingesta de sodio, (excreción &lt;3g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/día)</w:t>
            </w:r>
          </w:p>
          <w:p w:rsidR="00495E7A" w:rsidRPr="007C3A91" w:rsidRDefault="00495E7A" w:rsidP="00E63308">
            <w:pPr>
              <w:spacing w:after="0" w:line="240" w:lineRule="auto"/>
              <w:jc w:val="both"/>
              <w:rPr>
                <w:rFonts w:ascii="Arial" w:hAnsi="Arial" w:cs="Arial"/>
                <w:sz w:val="20"/>
                <w:szCs w:val="20"/>
                <w:lang w:val="es-ES"/>
              </w:rPr>
            </w:pPr>
            <w:r w:rsidRPr="007C3A91">
              <w:rPr>
                <w:rFonts w:ascii="Arial" w:hAnsi="Arial" w:cs="Arial"/>
                <w:sz w:val="20"/>
                <w:szCs w:val="20"/>
                <w:lang w:val="es-ES"/>
              </w:rPr>
              <w:t>(La reducción de la ingesta, s</w:t>
            </w:r>
            <w:r w:rsidR="00E63308">
              <w:rPr>
                <w:rFonts w:ascii="Arial" w:hAnsi="Arial" w:cs="Arial"/>
                <w:sz w:val="20"/>
                <w:szCs w:val="20"/>
                <w:lang w:val="es-ES"/>
              </w:rPr>
              <w:t>o</w:t>
            </w:r>
            <w:r w:rsidRPr="007C3A91">
              <w:rPr>
                <w:rFonts w:ascii="Arial" w:hAnsi="Arial" w:cs="Arial"/>
                <w:sz w:val="20"/>
                <w:szCs w:val="20"/>
                <w:lang w:val="es-ES"/>
              </w:rPr>
              <w:t xml:space="preserve">lo aplicada a pacientes con HAS y dieta alta en </w:t>
            </w:r>
            <w:proofErr w:type="spellStart"/>
            <w:r w:rsidRPr="007C3A91">
              <w:rPr>
                <w:rFonts w:ascii="Arial" w:hAnsi="Arial" w:cs="Arial"/>
                <w:sz w:val="20"/>
                <w:szCs w:val="20"/>
                <w:lang w:val="es-ES"/>
              </w:rPr>
              <w:t>Na</w:t>
            </w:r>
            <w:proofErr w:type="spellEnd"/>
            <w:r w:rsidRPr="007C3A91">
              <w:rPr>
                <w:rFonts w:ascii="Arial" w:hAnsi="Arial" w:cs="Arial"/>
                <w:sz w:val="20"/>
                <w:szCs w:val="20"/>
                <w:lang w:val="es-ES"/>
              </w:rPr>
              <w:t>)</w:t>
            </w:r>
            <w:r w:rsidR="00E63308">
              <w:rPr>
                <w:rFonts w:ascii="Arial" w:hAnsi="Arial" w:cs="Arial"/>
                <w:sz w:val="20"/>
                <w:szCs w:val="20"/>
                <w:lang w:val="es-ES"/>
              </w:rPr>
              <w:t>.</w:t>
            </w:r>
          </w:p>
        </w:tc>
        <w:tc>
          <w:tcPr>
            <w:tcW w:w="4017"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240" w:lineRule="auto"/>
              <w:jc w:val="both"/>
              <w:rPr>
                <w:rFonts w:ascii="Arial" w:hAnsi="Arial" w:cs="Arial"/>
                <w:sz w:val="20"/>
                <w:szCs w:val="20"/>
                <w:lang w:val="es-ES"/>
              </w:rPr>
            </w:pPr>
            <w:r w:rsidRPr="007C3A91">
              <w:rPr>
                <w:rFonts w:ascii="Arial" w:hAnsi="Arial" w:cs="Arial"/>
                <w:sz w:val="20"/>
                <w:szCs w:val="20"/>
                <w:lang w:val="es-ES"/>
              </w:rPr>
              <w:t xml:space="preserve">&gt; riesgo de eventos CV y muerte en HAS (No se asoció en PA normal)  </w:t>
            </w:r>
          </w:p>
          <w:p w:rsidR="00495E7A" w:rsidRPr="007C3A91" w:rsidRDefault="00495E7A" w:rsidP="00FF11CC">
            <w:pPr>
              <w:spacing w:after="0" w:line="240" w:lineRule="auto"/>
              <w:jc w:val="both"/>
              <w:rPr>
                <w:rFonts w:ascii="Arial" w:hAnsi="Arial" w:cs="Arial"/>
                <w:sz w:val="20"/>
                <w:szCs w:val="20"/>
              </w:rPr>
            </w:pPr>
            <w:r w:rsidRPr="007C3A91">
              <w:rPr>
                <w:rFonts w:ascii="Arial" w:hAnsi="Arial" w:cs="Arial"/>
                <w:sz w:val="20"/>
                <w:szCs w:val="20"/>
                <w:lang w:val="es-ES"/>
              </w:rPr>
              <w:t xml:space="preserve">&gt; </w:t>
            </w:r>
            <w:proofErr w:type="gramStart"/>
            <w:r w:rsidRPr="007C3A91">
              <w:rPr>
                <w:rFonts w:ascii="Arial" w:hAnsi="Arial" w:cs="Arial"/>
                <w:sz w:val="20"/>
                <w:szCs w:val="20"/>
                <w:lang w:val="es-ES"/>
              </w:rPr>
              <w:t>riesgo</w:t>
            </w:r>
            <w:proofErr w:type="gramEnd"/>
            <w:r w:rsidRPr="007C3A91">
              <w:rPr>
                <w:rFonts w:ascii="Arial" w:hAnsi="Arial" w:cs="Arial"/>
                <w:sz w:val="20"/>
                <w:szCs w:val="20"/>
                <w:lang w:val="es-ES"/>
              </w:rPr>
              <w:t xml:space="preserve"> de eventos CV y muerte sujetos con o sin HAS. </w:t>
            </w:r>
          </w:p>
        </w:tc>
        <w:tc>
          <w:tcPr>
            <w:tcW w:w="3071" w:type="dxa"/>
            <w:tcBorders>
              <w:top w:val="single" w:sz="8" w:space="0" w:color="8064A2"/>
              <w:left w:val="single" w:sz="8" w:space="0" w:color="8064A2"/>
              <w:bottom w:val="single" w:sz="8" w:space="0" w:color="8064A2"/>
              <w:right w:val="single" w:sz="8" w:space="0" w:color="8064A2"/>
            </w:tcBorders>
            <w:shd w:val="clear" w:color="auto" w:fill="DFD8E8"/>
          </w:tcPr>
          <w:p w:rsidR="00495E7A" w:rsidRPr="007C3A91" w:rsidRDefault="00495E7A" w:rsidP="00FF11CC">
            <w:pPr>
              <w:spacing w:after="0" w:line="360" w:lineRule="auto"/>
              <w:jc w:val="both"/>
              <w:rPr>
                <w:rFonts w:ascii="Arial" w:hAnsi="Arial" w:cs="Arial"/>
                <w:bCs/>
                <w:sz w:val="20"/>
                <w:szCs w:val="20"/>
              </w:rPr>
            </w:pPr>
            <w:r w:rsidRPr="007C3A91">
              <w:rPr>
                <w:rFonts w:ascii="Arial" w:hAnsi="Arial" w:cs="Arial"/>
                <w:bCs/>
                <w:sz w:val="20"/>
                <w:szCs w:val="20"/>
              </w:rPr>
              <w:t>Mente, A. et al. (2016)</w:t>
            </w:r>
          </w:p>
        </w:tc>
      </w:tr>
    </w:tbl>
    <w:p w:rsidR="00A55B10" w:rsidRDefault="00A55B10" w:rsidP="00830031">
      <w:pPr>
        <w:spacing w:line="480" w:lineRule="auto"/>
        <w:jc w:val="both"/>
        <w:rPr>
          <w:rFonts w:ascii="Arial" w:hAnsi="Arial" w:cs="Arial"/>
          <w:sz w:val="24"/>
          <w:szCs w:val="24"/>
        </w:rPr>
        <w:sectPr w:rsidR="00A55B10" w:rsidSect="00A55B10">
          <w:type w:val="continuous"/>
          <w:pgSz w:w="15840" w:h="12240" w:orient="landscape"/>
          <w:pgMar w:top="1418" w:right="1418" w:bottom="1418" w:left="1418" w:header="709" w:footer="709" w:gutter="0"/>
          <w:cols w:space="708"/>
          <w:docGrid w:linePitch="360"/>
        </w:sectPr>
      </w:pPr>
    </w:p>
    <w:p w:rsidR="00A030A1" w:rsidRPr="00E66BDC" w:rsidRDefault="00CC280A"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rPr>
        <w:lastRenderedPageBreak/>
        <w:t>Sin embargo, diversos e</w:t>
      </w:r>
      <w:r w:rsidR="00A030A1" w:rsidRPr="00E66BDC">
        <w:rPr>
          <w:rFonts w:ascii="Times New Roman" w:hAnsi="Times New Roman" w:cs="Times New Roman"/>
          <w:sz w:val="24"/>
          <w:szCs w:val="24"/>
        </w:rPr>
        <w:t>studios ha</w:t>
      </w:r>
      <w:r w:rsidRPr="00E66BDC">
        <w:rPr>
          <w:rFonts w:ascii="Times New Roman" w:hAnsi="Times New Roman" w:cs="Times New Roman"/>
          <w:sz w:val="24"/>
          <w:szCs w:val="24"/>
        </w:rPr>
        <w:t>n</w:t>
      </w:r>
      <w:r w:rsidR="00A030A1" w:rsidRPr="00E66BDC">
        <w:rPr>
          <w:rFonts w:ascii="Times New Roman" w:hAnsi="Times New Roman" w:cs="Times New Roman"/>
          <w:sz w:val="24"/>
          <w:szCs w:val="24"/>
        </w:rPr>
        <w:t xml:space="preserve"> demostrado que</w:t>
      </w:r>
      <w:r w:rsidR="00A330F6" w:rsidRPr="00E66BDC">
        <w:rPr>
          <w:rFonts w:ascii="Times New Roman" w:hAnsi="Times New Roman" w:cs="Times New Roman"/>
          <w:sz w:val="24"/>
          <w:szCs w:val="24"/>
        </w:rPr>
        <w:t xml:space="preserve"> no en todos los individuos un consumo de sal elevado se asocia con hipertensión</w:t>
      </w:r>
      <w:r w:rsidR="00B86612" w:rsidRPr="00E66BDC">
        <w:rPr>
          <w:rFonts w:ascii="Times New Roman" w:hAnsi="Times New Roman" w:cs="Times New Roman"/>
          <w:sz w:val="24"/>
          <w:szCs w:val="24"/>
        </w:rPr>
        <w:t xml:space="preserve"> (Young</w:t>
      </w:r>
      <w:r w:rsidR="007F2728" w:rsidRPr="00E66BDC">
        <w:rPr>
          <w:rFonts w:ascii="Times New Roman" w:hAnsi="Times New Roman" w:cs="Times New Roman"/>
          <w:sz w:val="24"/>
          <w:szCs w:val="24"/>
        </w:rPr>
        <w:t>,</w:t>
      </w:r>
      <w:r w:rsidR="00B86612" w:rsidRPr="00E66BDC">
        <w:rPr>
          <w:rFonts w:ascii="Times New Roman" w:hAnsi="Times New Roman" w:cs="Times New Roman"/>
          <w:sz w:val="24"/>
          <w:szCs w:val="24"/>
        </w:rPr>
        <w:t xml:space="preserve"> C</w:t>
      </w:r>
      <w:r w:rsidR="007F2728" w:rsidRPr="00E66BDC">
        <w:rPr>
          <w:rFonts w:ascii="Times New Roman" w:hAnsi="Times New Roman" w:cs="Times New Roman"/>
          <w:sz w:val="24"/>
          <w:szCs w:val="24"/>
        </w:rPr>
        <w:t xml:space="preserve">. </w:t>
      </w:r>
      <w:r w:rsidR="00B86612" w:rsidRPr="00E66BDC">
        <w:rPr>
          <w:rFonts w:ascii="Times New Roman" w:hAnsi="Times New Roman" w:cs="Times New Roman"/>
          <w:sz w:val="24"/>
          <w:szCs w:val="24"/>
        </w:rPr>
        <w:t>H</w:t>
      </w:r>
      <w:r w:rsidR="007F2728" w:rsidRPr="00E66BDC">
        <w:rPr>
          <w:rFonts w:ascii="Times New Roman" w:hAnsi="Times New Roman" w:cs="Times New Roman"/>
          <w:sz w:val="24"/>
          <w:szCs w:val="24"/>
        </w:rPr>
        <w:t>.</w:t>
      </w:r>
      <w:r w:rsidR="00B86612" w:rsidRPr="00E66BDC">
        <w:rPr>
          <w:rFonts w:ascii="Times New Roman" w:hAnsi="Times New Roman" w:cs="Times New Roman"/>
          <w:sz w:val="24"/>
          <w:szCs w:val="24"/>
        </w:rPr>
        <w:t xml:space="preserve"> </w:t>
      </w:r>
      <w:r w:rsidR="007F2728" w:rsidRPr="00E66BDC">
        <w:rPr>
          <w:rFonts w:ascii="Times New Roman" w:hAnsi="Times New Roman" w:cs="Times New Roman"/>
          <w:sz w:val="24"/>
          <w:szCs w:val="24"/>
        </w:rPr>
        <w:t>et al.</w:t>
      </w:r>
      <w:r w:rsidR="00B86612" w:rsidRPr="00E66BDC">
        <w:rPr>
          <w:rFonts w:ascii="Times New Roman" w:hAnsi="Times New Roman" w:cs="Times New Roman"/>
          <w:sz w:val="24"/>
          <w:szCs w:val="24"/>
        </w:rPr>
        <w:t>, 2015)</w:t>
      </w:r>
      <w:r w:rsidR="007944A2" w:rsidRPr="00E66BDC">
        <w:rPr>
          <w:rFonts w:ascii="Times New Roman" w:hAnsi="Times New Roman" w:cs="Times New Roman"/>
          <w:sz w:val="24"/>
          <w:szCs w:val="24"/>
        </w:rPr>
        <w:t>, ni</w:t>
      </w:r>
      <w:r w:rsidR="00B86612" w:rsidRPr="00E66BDC">
        <w:rPr>
          <w:rFonts w:ascii="Times New Roman" w:hAnsi="Times New Roman" w:cs="Times New Roman"/>
          <w:sz w:val="24"/>
          <w:szCs w:val="24"/>
        </w:rPr>
        <w:t xml:space="preserve"> </w:t>
      </w:r>
      <w:r w:rsidR="007944A2" w:rsidRPr="00E66BDC">
        <w:rPr>
          <w:rFonts w:ascii="Times New Roman" w:hAnsi="Times New Roman" w:cs="Times New Roman"/>
          <w:sz w:val="24"/>
          <w:szCs w:val="24"/>
        </w:rPr>
        <w:t xml:space="preserve">tampoco todos </w:t>
      </w:r>
      <w:r w:rsidR="00B86612" w:rsidRPr="00E66BDC">
        <w:rPr>
          <w:rFonts w:ascii="Times New Roman" w:hAnsi="Times New Roman" w:cs="Times New Roman"/>
          <w:sz w:val="24"/>
          <w:szCs w:val="24"/>
        </w:rPr>
        <w:t xml:space="preserve">los sujetos responden de igual forma a la reducción </w:t>
      </w:r>
      <w:r w:rsidR="007944A2" w:rsidRPr="00E66BDC">
        <w:rPr>
          <w:rFonts w:ascii="Times New Roman" w:hAnsi="Times New Roman" w:cs="Times New Roman"/>
          <w:sz w:val="24"/>
          <w:szCs w:val="24"/>
        </w:rPr>
        <w:t>de</w:t>
      </w:r>
      <w:r w:rsidR="00B86612" w:rsidRPr="00E66BDC">
        <w:rPr>
          <w:rFonts w:ascii="Times New Roman" w:hAnsi="Times New Roman" w:cs="Times New Roman"/>
          <w:sz w:val="24"/>
          <w:szCs w:val="24"/>
        </w:rPr>
        <w:t xml:space="preserve"> ingesta de sodio</w:t>
      </w:r>
      <w:r w:rsidR="007944A2" w:rsidRPr="00E66BDC">
        <w:rPr>
          <w:rFonts w:ascii="Times New Roman" w:hAnsi="Times New Roman" w:cs="Times New Roman"/>
          <w:sz w:val="24"/>
          <w:szCs w:val="24"/>
        </w:rPr>
        <w:t>. S</w:t>
      </w:r>
      <w:proofErr w:type="spellStart"/>
      <w:r w:rsidR="0059656E" w:rsidRPr="00E66BDC">
        <w:rPr>
          <w:rFonts w:ascii="Times New Roman" w:hAnsi="Times New Roman" w:cs="Times New Roman"/>
          <w:sz w:val="24"/>
          <w:szCs w:val="24"/>
          <w:lang w:val="es-ES"/>
        </w:rPr>
        <w:t>e</w:t>
      </w:r>
      <w:proofErr w:type="spellEnd"/>
      <w:r w:rsidR="0059656E" w:rsidRPr="00E66BDC">
        <w:rPr>
          <w:rFonts w:ascii="Times New Roman" w:hAnsi="Times New Roman" w:cs="Times New Roman"/>
          <w:sz w:val="24"/>
          <w:szCs w:val="24"/>
          <w:lang w:val="es-ES"/>
        </w:rPr>
        <w:t xml:space="preserve"> ha sugerido que una dieta baja en sodio (</w:t>
      </w:r>
      <w:r w:rsidR="00A330F6" w:rsidRPr="00E66BDC">
        <w:rPr>
          <w:rFonts w:ascii="Times New Roman" w:hAnsi="Times New Roman" w:cs="Times New Roman"/>
          <w:sz w:val="24"/>
          <w:szCs w:val="24"/>
        </w:rPr>
        <w:t>3 g de</w:t>
      </w:r>
      <w:r w:rsidR="0059656E" w:rsidRPr="00E66BDC">
        <w:rPr>
          <w:rFonts w:ascii="Times New Roman" w:hAnsi="Times New Roman" w:cs="Times New Roman"/>
          <w:sz w:val="24"/>
          <w:szCs w:val="24"/>
        </w:rPr>
        <w:t xml:space="preserve"> sal </w:t>
      </w:r>
      <w:proofErr w:type="spellStart"/>
      <w:r w:rsidR="00A330F6" w:rsidRPr="00E66BDC">
        <w:rPr>
          <w:rFonts w:ascii="Times New Roman" w:hAnsi="Times New Roman" w:cs="Times New Roman"/>
          <w:sz w:val="24"/>
          <w:szCs w:val="24"/>
        </w:rPr>
        <w:t>Na</w:t>
      </w:r>
      <w:proofErr w:type="spellEnd"/>
      <w:r w:rsidR="00A330F6" w:rsidRPr="00E66BDC">
        <w:rPr>
          <w:rFonts w:ascii="Times New Roman" w:hAnsi="Times New Roman" w:cs="Times New Roman"/>
          <w:sz w:val="24"/>
          <w:szCs w:val="24"/>
        </w:rPr>
        <w:t>/ d</w:t>
      </w:r>
      <w:r w:rsidR="0059656E" w:rsidRPr="00E66BDC">
        <w:rPr>
          <w:rFonts w:ascii="Times New Roman" w:hAnsi="Times New Roman" w:cs="Times New Roman"/>
          <w:sz w:val="24"/>
          <w:szCs w:val="24"/>
        </w:rPr>
        <w:t xml:space="preserve">) </w:t>
      </w:r>
      <w:r w:rsidR="0059656E" w:rsidRPr="00E66BDC">
        <w:rPr>
          <w:rFonts w:ascii="Times New Roman" w:hAnsi="Times New Roman" w:cs="Times New Roman"/>
          <w:sz w:val="24"/>
          <w:szCs w:val="24"/>
          <w:lang w:val="es-ES"/>
        </w:rPr>
        <w:t>podría ser más eficaz en la reducción de la PA en</w:t>
      </w:r>
      <w:r w:rsidR="00A330F6" w:rsidRPr="00E66BDC">
        <w:rPr>
          <w:rFonts w:ascii="Times New Roman" w:hAnsi="Times New Roman" w:cs="Times New Roman"/>
          <w:sz w:val="24"/>
          <w:szCs w:val="24"/>
          <w:lang w:val="es-ES"/>
        </w:rPr>
        <w:t xml:space="preserve"> mujeres y</w:t>
      </w:r>
      <w:r w:rsidR="0059656E" w:rsidRPr="00E66BDC">
        <w:rPr>
          <w:rFonts w:ascii="Times New Roman" w:hAnsi="Times New Roman" w:cs="Times New Roman"/>
          <w:sz w:val="24"/>
          <w:szCs w:val="24"/>
          <w:lang w:val="es-ES"/>
        </w:rPr>
        <w:t xml:space="preserve"> ancianos</w:t>
      </w:r>
      <w:r w:rsidR="00A330F6" w:rsidRPr="00E66BDC">
        <w:rPr>
          <w:rFonts w:ascii="Times New Roman" w:hAnsi="Times New Roman" w:cs="Times New Roman"/>
          <w:sz w:val="24"/>
          <w:szCs w:val="24"/>
          <w:lang w:val="es-ES"/>
        </w:rPr>
        <w:t xml:space="preserve"> </w:t>
      </w:r>
      <w:r w:rsidR="00A330F6" w:rsidRPr="00E66BDC">
        <w:rPr>
          <w:rFonts w:ascii="Times New Roman" w:hAnsi="Times New Roman" w:cs="Times New Roman"/>
          <w:sz w:val="24"/>
          <w:szCs w:val="24"/>
        </w:rPr>
        <w:t>(He</w:t>
      </w:r>
      <w:r w:rsidRPr="00E66BDC">
        <w:rPr>
          <w:rFonts w:ascii="Times New Roman" w:hAnsi="Times New Roman" w:cs="Times New Roman"/>
          <w:sz w:val="24"/>
          <w:szCs w:val="24"/>
        </w:rPr>
        <w:t>, F.</w:t>
      </w:r>
      <w:r w:rsidR="00A330F6" w:rsidRPr="00E66BDC">
        <w:rPr>
          <w:rFonts w:ascii="Times New Roman" w:hAnsi="Times New Roman" w:cs="Times New Roman"/>
          <w:sz w:val="24"/>
          <w:szCs w:val="24"/>
        </w:rPr>
        <w:t xml:space="preserve"> J</w:t>
      </w:r>
      <w:r w:rsidR="007944A2" w:rsidRPr="00E66BDC">
        <w:rPr>
          <w:rFonts w:ascii="Times New Roman" w:hAnsi="Times New Roman" w:cs="Times New Roman"/>
          <w:sz w:val="24"/>
          <w:szCs w:val="24"/>
        </w:rPr>
        <w:t>.</w:t>
      </w:r>
      <w:r w:rsidR="00A330F6" w:rsidRPr="00E66BDC">
        <w:rPr>
          <w:rFonts w:ascii="Times New Roman" w:hAnsi="Times New Roman" w:cs="Times New Roman"/>
          <w:sz w:val="24"/>
          <w:szCs w:val="24"/>
        </w:rPr>
        <w:t xml:space="preserve"> </w:t>
      </w:r>
      <w:r w:rsidR="007F2728" w:rsidRPr="00E66BDC">
        <w:rPr>
          <w:rFonts w:ascii="Times New Roman" w:hAnsi="Times New Roman" w:cs="Times New Roman"/>
          <w:sz w:val="24"/>
          <w:szCs w:val="24"/>
        </w:rPr>
        <w:t xml:space="preserve">et al., </w:t>
      </w:r>
      <w:r w:rsidR="00A330F6" w:rsidRPr="00E66BDC">
        <w:rPr>
          <w:rFonts w:ascii="Times New Roman" w:hAnsi="Times New Roman" w:cs="Times New Roman"/>
          <w:sz w:val="24"/>
          <w:szCs w:val="24"/>
        </w:rPr>
        <w:t xml:space="preserve">2009) </w:t>
      </w:r>
      <w:r w:rsidR="002A3799" w:rsidRPr="00E66BDC">
        <w:rPr>
          <w:rFonts w:ascii="Times New Roman" w:hAnsi="Times New Roman" w:cs="Times New Roman"/>
          <w:sz w:val="24"/>
          <w:szCs w:val="24"/>
        </w:rPr>
        <w:t>y en sujetos de raza negra o asiátic</w:t>
      </w:r>
      <w:r w:rsidR="00E22A34" w:rsidRPr="00E66BDC">
        <w:rPr>
          <w:rFonts w:ascii="Times New Roman" w:hAnsi="Times New Roman" w:cs="Times New Roman"/>
          <w:sz w:val="24"/>
          <w:szCs w:val="24"/>
        </w:rPr>
        <w:t>a</w:t>
      </w:r>
      <w:r w:rsidR="007049D0" w:rsidRPr="00E66BDC">
        <w:rPr>
          <w:rFonts w:ascii="Times New Roman" w:hAnsi="Times New Roman" w:cs="Times New Roman"/>
          <w:sz w:val="24"/>
          <w:szCs w:val="24"/>
        </w:rPr>
        <w:t xml:space="preserve"> </w:t>
      </w:r>
      <w:r w:rsidR="007944A2" w:rsidRPr="00E66BDC">
        <w:rPr>
          <w:rFonts w:ascii="Times New Roman" w:hAnsi="Times New Roman" w:cs="Times New Roman"/>
          <w:sz w:val="24"/>
          <w:szCs w:val="24"/>
        </w:rPr>
        <w:t xml:space="preserve">en comparación con </w:t>
      </w:r>
      <w:r w:rsidR="00E22A34" w:rsidRPr="00E66BDC">
        <w:rPr>
          <w:rFonts w:ascii="Times New Roman" w:hAnsi="Times New Roman" w:cs="Times New Roman"/>
          <w:sz w:val="24"/>
          <w:szCs w:val="24"/>
        </w:rPr>
        <w:t xml:space="preserve">la </w:t>
      </w:r>
      <w:r w:rsidR="007049D0" w:rsidRPr="00E66BDC">
        <w:rPr>
          <w:rFonts w:ascii="Times New Roman" w:hAnsi="Times New Roman" w:cs="Times New Roman"/>
          <w:sz w:val="24"/>
          <w:szCs w:val="24"/>
        </w:rPr>
        <w:t>caucásic</w:t>
      </w:r>
      <w:r w:rsidR="00E22A34" w:rsidRPr="00E66BDC">
        <w:rPr>
          <w:rFonts w:ascii="Times New Roman" w:hAnsi="Times New Roman" w:cs="Times New Roman"/>
          <w:sz w:val="24"/>
          <w:szCs w:val="24"/>
        </w:rPr>
        <w:t>a</w:t>
      </w:r>
      <w:r w:rsidR="002A3799" w:rsidRPr="00E66BDC">
        <w:rPr>
          <w:rFonts w:ascii="Times New Roman" w:hAnsi="Times New Roman" w:cs="Times New Roman"/>
          <w:sz w:val="24"/>
          <w:szCs w:val="24"/>
        </w:rPr>
        <w:t xml:space="preserve"> (</w:t>
      </w:r>
      <w:proofErr w:type="spellStart"/>
      <w:r w:rsidR="002A3799" w:rsidRPr="00E66BDC">
        <w:rPr>
          <w:rFonts w:ascii="Times New Roman" w:hAnsi="Times New Roman" w:cs="Times New Roman"/>
          <w:sz w:val="24"/>
          <w:szCs w:val="24"/>
        </w:rPr>
        <w:t>Graudal</w:t>
      </w:r>
      <w:proofErr w:type="spellEnd"/>
      <w:r w:rsidR="002A3799" w:rsidRPr="00E66BDC">
        <w:rPr>
          <w:rFonts w:ascii="Times New Roman" w:hAnsi="Times New Roman" w:cs="Times New Roman"/>
          <w:sz w:val="24"/>
          <w:szCs w:val="24"/>
        </w:rPr>
        <w:t xml:space="preserve"> N</w:t>
      </w:r>
      <w:r w:rsidR="007944A2" w:rsidRPr="00E66BDC">
        <w:rPr>
          <w:rFonts w:ascii="Times New Roman" w:hAnsi="Times New Roman" w:cs="Times New Roman"/>
          <w:sz w:val="24"/>
          <w:szCs w:val="24"/>
        </w:rPr>
        <w:t>.</w:t>
      </w:r>
      <w:r w:rsidR="002A3799" w:rsidRPr="00E66BDC">
        <w:rPr>
          <w:rFonts w:ascii="Times New Roman" w:hAnsi="Times New Roman" w:cs="Times New Roman"/>
          <w:sz w:val="24"/>
          <w:szCs w:val="24"/>
        </w:rPr>
        <w:t>A</w:t>
      </w:r>
      <w:r w:rsidR="007944A2" w:rsidRPr="00E66BDC">
        <w:rPr>
          <w:rFonts w:ascii="Times New Roman" w:hAnsi="Times New Roman" w:cs="Times New Roman"/>
          <w:sz w:val="24"/>
          <w:szCs w:val="24"/>
        </w:rPr>
        <w:t>.</w:t>
      </w:r>
      <w:r w:rsidR="002A3799" w:rsidRPr="00E66BDC">
        <w:rPr>
          <w:rFonts w:ascii="Times New Roman" w:hAnsi="Times New Roman" w:cs="Times New Roman"/>
          <w:sz w:val="24"/>
          <w:szCs w:val="24"/>
        </w:rPr>
        <w:t>, 201</w:t>
      </w:r>
      <w:r w:rsidR="007C2C5B" w:rsidRPr="00E66BDC">
        <w:rPr>
          <w:rFonts w:ascii="Times New Roman" w:hAnsi="Times New Roman" w:cs="Times New Roman"/>
          <w:sz w:val="24"/>
          <w:szCs w:val="24"/>
        </w:rPr>
        <w:t>2</w:t>
      </w:r>
      <w:r w:rsidR="002A3799" w:rsidRPr="00E66BDC">
        <w:rPr>
          <w:rFonts w:ascii="Times New Roman" w:hAnsi="Times New Roman" w:cs="Times New Roman"/>
          <w:sz w:val="24"/>
          <w:szCs w:val="24"/>
        </w:rPr>
        <w:t>)</w:t>
      </w:r>
      <w:r w:rsidR="007049D0" w:rsidRPr="00E66BDC">
        <w:rPr>
          <w:rFonts w:ascii="Times New Roman" w:hAnsi="Times New Roman" w:cs="Times New Roman"/>
          <w:sz w:val="24"/>
          <w:szCs w:val="24"/>
        </w:rPr>
        <w:t>.</w:t>
      </w:r>
      <w:r w:rsidR="002A3799" w:rsidRPr="00E66BDC">
        <w:rPr>
          <w:rFonts w:ascii="Times New Roman" w:hAnsi="Times New Roman" w:cs="Times New Roman"/>
          <w:sz w:val="24"/>
          <w:szCs w:val="24"/>
        </w:rPr>
        <w:t xml:space="preserve"> </w:t>
      </w:r>
    </w:p>
    <w:p w:rsidR="0059656E" w:rsidRPr="00E66BDC" w:rsidRDefault="00A330F6"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rPr>
        <w:t>Los mecanismos subyacentes que promueven esta variabilidad son complejos y van desde la genética hasta influencias ambientales</w:t>
      </w:r>
      <w:r w:rsidR="00B86612" w:rsidRPr="00E66BDC">
        <w:rPr>
          <w:rFonts w:ascii="Times New Roman" w:hAnsi="Times New Roman" w:cs="Times New Roman"/>
          <w:sz w:val="24"/>
          <w:szCs w:val="24"/>
        </w:rPr>
        <w:t xml:space="preserve"> (Young</w:t>
      </w:r>
      <w:r w:rsidR="007049D0" w:rsidRPr="00E66BDC">
        <w:rPr>
          <w:rFonts w:ascii="Times New Roman" w:hAnsi="Times New Roman" w:cs="Times New Roman"/>
          <w:sz w:val="24"/>
          <w:szCs w:val="24"/>
        </w:rPr>
        <w:t>,</w:t>
      </w:r>
      <w:r w:rsidR="00B86612" w:rsidRPr="00E66BDC">
        <w:rPr>
          <w:rFonts w:ascii="Times New Roman" w:hAnsi="Times New Roman" w:cs="Times New Roman"/>
          <w:sz w:val="24"/>
          <w:szCs w:val="24"/>
        </w:rPr>
        <w:t xml:space="preserve"> C</w:t>
      </w:r>
      <w:r w:rsidR="007049D0" w:rsidRPr="00E66BDC">
        <w:rPr>
          <w:rFonts w:ascii="Times New Roman" w:hAnsi="Times New Roman" w:cs="Times New Roman"/>
          <w:sz w:val="24"/>
          <w:szCs w:val="24"/>
        </w:rPr>
        <w:t xml:space="preserve">. </w:t>
      </w:r>
      <w:r w:rsidR="00B86612" w:rsidRPr="00E66BDC">
        <w:rPr>
          <w:rFonts w:ascii="Times New Roman" w:hAnsi="Times New Roman" w:cs="Times New Roman"/>
          <w:sz w:val="24"/>
          <w:szCs w:val="24"/>
        </w:rPr>
        <w:t>H</w:t>
      </w:r>
      <w:r w:rsidR="007049D0" w:rsidRPr="00E66BDC">
        <w:rPr>
          <w:rFonts w:ascii="Times New Roman" w:hAnsi="Times New Roman" w:cs="Times New Roman"/>
          <w:sz w:val="24"/>
          <w:szCs w:val="24"/>
        </w:rPr>
        <w:t>.</w:t>
      </w:r>
      <w:r w:rsidR="00B86612" w:rsidRPr="00E66BDC">
        <w:rPr>
          <w:rFonts w:ascii="Times New Roman" w:hAnsi="Times New Roman" w:cs="Times New Roman"/>
          <w:sz w:val="24"/>
          <w:szCs w:val="24"/>
        </w:rPr>
        <w:t>, 2015)</w:t>
      </w:r>
      <w:r w:rsidR="00272EB3" w:rsidRPr="00E66BDC">
        <w:rPr>
          <w:rFonts w:ascii="Times New Roman" w:hAnsi="Times New Roman" w:cs="Times New Roman"/>
          <w:sz w:val="24"/>
          <w:szCs w:val="24"/>
        </w:rPr>
        <w:t>.</w:t>
      </w:r>
      <w:r w:rsidR="00117D7E" w:rsidRPr="00E66BDC">
        <w:rPr>
          <w:rFonts w:ascii="Times New Roman" w:hAnsi="Times New Roman" w:cs="Times New Roman"/>
          <w:sz w:val="24"/>
          <w:szCs w:val="24"/>
        </w:rPr>
        <w:t xml:space="preserve"> </w:t>
      </w:r>
    </w:p>
    <w:p w:rsidR="002D226A" w:rsidRPr="00E66BDC" w:rsidRDefault="00A96653"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lang w:val="es-ES"/>
        </w:rPr>
        <w:t xml:space="preserve">Se ha propuesto que </w:t>
      </w:r>
      <w:r w:rsidR="006B471D" w:rsidRPr="00E66BDC">
        <w:rPr>
          <w:rFonts w:ascii="Times New Roman" w:hAnsi="Times New Roman" w:cs="Times New Roman"/>
          <w:sz w:val="24"/>
          <w:szCs w:val="24"/>
          <w:lang w:val="es-ES"/>
        </w:rPr>
        <w:t xml:space="preserve">la </w:t>
      </w:r>
      <w:r w:rsidRPr="00E66BDC">
        <w:rPr>
          <w:rFonts w:ascii="Times New Roman" w:hAnsi="Times New Roman" w:cs="Times New Roman"/>
          <w:sz w:val="24"/>
          <w:szCs w:val="24"/>
          <w:lang w:val="es-ES"/>
        </w:rPr>
        <w:t>disminución de la PA</w:t>
      </w:r>
      <w:r w:rsidR="00272EB3" w:rsidRPr="00E66BDC">
        <w:rPr>
          <w:rFonts w:ascii="Times New Roman" w:hAnsi="Times New Roman" w:cs="Times New Roman"/>
          <w:sz w:val="24"/>
          <w:szCs w:val="24"/>
          <w:lang w:val="es-ES"/>
        </w:rPr>
        <w:t>,</w:t>
      </w:r>
      <w:r w:rsidRPr="00E66BDC">
        <w:rPr>
          <w:rFonts w:ascii="Times New Roman" w:hAnsi="Times New Roman" w:cs="Times New Roman"/>
          <w:sz w:val="24"/>
          <w:szCs w:val="24"/>
          <w:lang w:val="es-ES"/>
        </w:rPr>
        <w:t xml:space="preserve"> debido a la </w:t>
      </w:r>
      <w:r w:rsidR="006B471D" w:rsidRPr="00E66BDC">
        <w:rPr>
          <w:rFonts w:ascii="Times New Roman" w:hAnsi="Times New Roman" w:cs="Times New Roman"/>
          <w:sz w:val="24"/>
          <w:szCs w:val="24"/>
          <w:lang w:val="es-ES"/>
        </w:rPr>
        <w:t xml:space="preserve">restricción de sodio, </w:t>
      </w:r>
      <w:r w:rsidRPr="00E66BDC">
        <w:rPr>
          <w:rFonts w:ascii="Times New Roman" w:hAnsi="Times New Roman" w:cs="Times New Roman"/>
          <w:sz w:val="24"/>
          <w:szCs w:val="24"/>
          <w:lang w:val="es-ES"/>
        </w:rPr>
        <w:t>pu</w:t>
      </w:r>
      <w:r w:rsidR="00D44F6C" w:rsidRPr="00E66BDC">
        <w:rPr>
          <w:rFonts w:ascii="Times New Roman" w:hAnsi="Times New Roman" w:cs="Times New Roman"/>
          <w:sz w:val="24"/>
          <w:szCs w:val="24"/>
          <w:lang w:val="es-ES"/>
        </w:rPr>
        <w:t>ede llegar a</w:t>
      </w:r>
      <w:r w:rsidRPr="00E66BDC">
        <w:rPr>
          <w:rFonts w:ascii="Times New Roman" w:hAnsi="Times New Roman" w:cs="Times New Roman"/>
          <w:sz w:val="24"/>
          <w:szCs w:val="24"/>
          <w:lang w:val="es-ES"/>
        </w:rPr>
        <w:t xml:space="preserve"> tener</w:t>
      </w:r>
      <w:r w:rsidR="006B471D" w:rsidRPr="00E66BDC">
        <w:rPr>
          <w:rFonts w:ascii="Times New Roman" w:hAnsi="Times New Roman" w:cs="Times New Roman"/>
          <w:sz w:val="24"/>
          <w:szCs w:val="24"/>
          <w:lang w:val="es-ES"/>
        </w:rPr>
        <w:t xml:space="preserve"> efectos </w:t>
      </w:r>
      <w:r w:rsidRPr="00E66BDC">
        <w:rPr>
          <w:rFonts w:ascii="Times New Roman" w:hAnsi="Times New Roman" w:cs="Times New Roman"/>
          <w:sz w:val="24"/>
          <w:szCs w:val="24"/>
          <w:lang w:val="es-ES"/>
        </w:rPr>
        <w:t xml:space="preserve">transitorios </w:t>
      </w:r>
      <w:r w:rsidR="00D44F6C" w:rsidRPr="00E66BDC">
        <w:rPr>
          <w:rFonts w:ascii="Times New Roman" w:hAnsi="Times New Roman" w:cs="Times New Roman"/>
          <w:sz w:val="24"/>
          <w:szCs w:val="24"/>
          <w:lang w:val="es-ES"/>
        </w:rPr>
        <w:t xml:space="preserve">y que </w:t>
      </w:r>
      <w:r w:rsidRPr="00E66BDC">
        <w:rPr>
          <w:rFonts w:ascii="Times New Roman" w:hAnsi="Times New Roman" w:cs="Times New Roman"/>
          <w:sz w:val="24"/>
          <w:szCs w:val="24"/>
          <w:lang w:val="es-ES"/>
        </w:rPr>
        <w:t>incluso</w:t>
      </w:r>
      <w:r w:rsidR="00117D7E" w:rsidRPr="00E66BDC">
        <w:rPr>
          <w:rFonts w:ascii="Times New Roman" w:hAnsi="Times New Roman" w:cs="Times New Roman"/>
          <w:sz w:val="24"/>
          <w:szCs w:val="24"/>
          <w:lang w:val="es-ES"/>
        </w:rPr>
        <w:t xml:space="preserve"> </w:t>
      </w:r>
      <w:r w:rsidR="00D44F6C" w:rsidRPr="00E66BDC">
        <w:rPr>
          <w:rFonts w:ascii="Times New Roman" w:hAnsi="Times New Roman" w:cs="Times New Roman"/>
          <w:sz w:val="24"/>
          <w:szCs w:val="24"/>
          <w:lang w:val="es-ES"/>
        </w:rPr>
        <w:t>puede haber</w:t>
      </w:r>
      <w:r w:rsidR="006B471D" w:rsidRPr="00E66BDC">
        <w:rPr>
          <w:rFonts w:ascii="Times New Roman" w:hAnsi="Times New Roman" w:cs="Times New Roman"/>
          <w:sz w:val="24"/>
          <w:szCs w:val="24"/>
          <w:lang w:val="es-ES"/>
        </w:rPr>
        <w:t xml:space="preserve"> </w:t>
      </w:r>
      <w:r w:rsidRPr="00E66BDC">
        <w:rPr>
          <w:rFonts w:ascii="Times New Roman" w:hAnsi="Times New Roman" w:cs="Times New Roman"/>
          <w:sz w:val="24"/>
          <w:szCs w:val="24"/>
          <w:lang w:val="es-ES"/>
        </w:rPr>
        <w:t xml:space="preserve">“paradójicos” </w:t>
      </w:r>
      <w:r w:rsidR="006B471D" w:rsidRPr="00E66BDC">
        <w:rPr>
          <w:rFonts w:ascii="Times New Roman" w:hAnsi="Times New Roman" w:cs="Times New Roman"/>
          <w:sz w:val="24"/>
          <w:szCs w:val="24"/>
          <w:lang w:val="es-ES"/>
        </w:rPr>
        <w:t xml:space="preserve">aumentos en la </w:t>
      </w:r>
      <w:r w:rsidR="00117D7E" w:rsidRPr="00E66BDC">
        <w:rPr>
          <w:rFonts w:ascii="Times New Roman" w:hAnsi="Times New Roman" w:cs="Times New Roman"/>
          <w:sz w:val="24"/>
          <w:szCs w:val="24"/>
          <w:lang w:val="es-ES"/>
        </w:rPr>
        <w:t>PA</w:t>
      </w:r>
      <w:r w:rsidRPr="00E66BDC">
        <w:rPr>
          <w:rFonts w:ascii="Times New Roman" w:hAnsi="Times New Roman" w:cs="Times New Roman"/>
          <w:sz w:val="24"/>
          <w:szCs w:val="24"/>
          <w:lang w:val="es-ES"/>
        </w:rPr>
        <w:t xml:space="preserve"> </w:t>
      </w:r>
      <w:r w:rsidR="00117D7E" w:rsidRPr="00E66BDC">
        <w:rPr>
          <w:rFonts w:ascii="Times New Roman" w:hAnsi="Times New Roman" w:cs="Times New Roman"/>
          <w:sz w:val="24"/>
          <w:szCs w:val="24"/>
          <w:lang w:val="es-ES"/>
        </w:rPr>
        <w:t xml:space="preserve">en algunas personas </w:t>
      </w:r>
      <w:r w:rsidRPr="00E66BDC">
        <w:rPr>
          <w:rFonts w:ascii="Times New Roman" w:hAnsi="Times New Roman" w:cs="Times New Roman"/>
          <w:sz w:val="24"/>
          <w:szCs w:val="24"/>
          <w:lang w:val="es-ES"/>
        </w:rPr>
        <w:t>(</w:t>
      </w:r>
      <w:proofErr w:type="spellStart"/>
      <w:r w:rsidRPr="00E66BDC">
        <w:rPr>
          <w:rFonts w:ascii="Times New Roman" w:hAnsi="Times New Roman" w:cs="Times New Roman"/>
          <w:sz w:val="24"/>
          <w:szCs w:val="24"/>
          <w:lang w:val="es-ES"/>
        </w:rPr>
        <w:t>DiNicolantonio</w:t>
      </w:r>
      <w:proofErr w:type="spellEnd"/>
      <w:r w:rsidR="00BA0137" w:rsidRPr="00E66BDC">
        <w:rPr>
          <w:rFonts w:ascii="Times New Roman" w:hAnsi="Times New Roman" w:cs="Times New Roman"/>
          <w:sz w:val="24"/>
          <w:szCs w:val="24"/>
          <w:lang w:val="es-ES"/>
        </w:rPr>
        <w:t>,</w:t>
      </w:r>
      <w:r w:rsidRPr="00E66BDC">
        <w:rPr>
          <w:rFonts w:ascii="Times New Roman" w:hAnsi="Times New Roman" w:cs="Times New Roman"/>
          <w:sz w:val="24"/>
          <w:szCs w:val="24"/>
          <w:lang w:val="es-ES"/>
        </w:rPr>
        <w:t xml:space="preserve"> J</w:t>
      </w:r>
      <w:r w:rsidR="00BA0137" w:rsidRPr="00E66BDC">
        <w:rPr>
          <w:rFonts w:ascii="Times New Roman" w:hAnsi="Times New Roman" w:cs="Times New Roman"/>
          <w:sz w:val="24"/>
          <w:szCs w:val="24"/>
          <w:lang w:val="es-ES"/>
        </w:rPr>
        <w:t xml:space="preserve">. </w:t>
      </w:r>
      <w:r w:rsidRPr="00E66BDC">
        <w:rPr>
          <w:rFonts w:ascii="Times New Roman" w:hAnsi="Times New Roman" w:cs="Times New Roman"/>
          <w:sz w:val="24"/>
          <w:szCs w:val="24"/>
          <w:lang w:val="es-ES"/>
        </w:rPr>
        <w:t>J</w:t>
      </w:r>
      <w:r w:rsidR="00BA0137" w:rsidRPr="00E66BDC">
        <w:rPr>
          <w:rFonts w:ascii="Times New Roman" w:hAnsi="Times New Roman" w:cs="Times New Roman"/>
          <w:sz w:val="24"/>
          <w:szCs w:val="24"/>
          <w:lang w:val="es-ES"/>
        </w:rPr>
        <w:t xml:space="preserve">., </w:t>
      </w:r>
      <w:r w:rsidRPr="00E66BDC">
        <w:rPr>
          <w:rFonts w:ascii="Times New Roman" w:hAnsi="Times New Roman" w:cs="Times New Roman"/>
          <w:sz w:val="24"/>
          <w:szCs w:val="24"/>
        </w:rPr>
        <w:t>2013)</w:t>
      </w:r>
      <w:r w:rsidR="00BA0137" w:rsidRPr="00E66BDC">
        <w:rPr>
          <w:rFonts w:ascii="Times New Roman" w:hAnsi="Times New Roman" w:cs="Times New Roman"/>
          <w:sz w:val="24"/>
          <w:szCs w:val="24"/>
        </w:rPr>
        <w:t>.</w:t>
      </w:r>
      <w:r w:rsidR="00A030A1" w:rsidRPr="00E66BDC">
        <w:rPr>
          <w:rFonts w:ascii="Times New Roman" w:hAnsi="Times New Roman" w:cs="Times New Roman"/>
          <w:sz w:val="24"/>
          <w:szCs w:val="24"/>
        </w:rPr>
        <w:t xml:space="preserve"> Por </w:t>
      </w:r>
      <w:r w:rsidR="00D44F6C" w:rsidRPr="00E66BDC">
        <w:rPr>
          <w:rFonts w:ascii="Times New Roman" w:hAnsi="Times New Roman" w:cs="Times New Roman"/>
          <w:sz w:val="24"/>
          <w:szCs w:val="24"/>
        </w:rPr>
        <w:t>ello,</w:t>
      </w:r>
      <w:r w:rsidR="00A030A1" w:rsidRPr="00E66BDC">
        <w:rPr>
          <w:rFonts w:ascii="Times New Roman" w:hAnsi="Times New Roman" w:cs="Times New Roman"/>
          <w:sz w:val="24"/>
          <w:szCs w:val="24"/>
        </w:rPr>
        <w:t xml:space="preserve"> r</w:t>
      </w:r>
      <w:proofErr w:type="spellStart"/>
      <w:r w:rsidR="003F48D7" w:rsidRPr="00E66BDC">
        <w:rPr>
          <w:rFonts w:ascii="Times New Roman" w:hAnsi="Times New Roman" w:cs="Times New Roman"/>
          <w:sz w:val="24"/>
          <w:szCs w:val="24"/>
          <w:lang w:val="es-ES"/>
        </w:rPr>
        <w:t>ecientemente</w:t>
      </w:r>
      <w:proofErr w:type="spellEnd"/>
      <w:r w:rsidR="008638B1" w:rsidRPr="00E66BDC">
        <w:rPr>
          <w:rFonts w:ascii="Times New Roman" w:hAnsi="Times New Roman" w:cs="Times New Roman"/>
          <w:sz w:val="24"/>
          <w:szCs w:val="24"/>
          <w:lang w:val="es-ES"/>
        </w:rPr>
        <w:t xml:space="preserve"> ha surgido</w:t>
      </w:r>
      <w:r w:rsidR="003F48D7" w:rsidRPr="00E66BDC">
        <w:rPr>
          <w:rFonts w:ascii="Times New Roman" w:hAnsi="Times New Roman" w:cs="Times New Roman"/>
          <w:sz w:val="24"/>
          <w:szCs w:val="24"/>
          <w:lang w:val="es-ES"/>
        </w:rPr>
        <w:t xml:space="preserve"> un gran debate sobre el consumo de sodio desde la perspectiva de </w:t>
      </w:r>
      <w:r w:rsidR="00D44F6C" w:rsidRPr="00E66BDC">
        <w:rPr>
          <w:rFonts w:ascii="Times New Roman" w:hAnsi="Times New Roman" w:cs="Times New Roman"/>
          <w:sz w:val="24"/>
          <w:szCs w:val="24"/>
          <w:lang w:val="es-ES"/>
        </w:rPr>
        <w:t xml:space="preserve">la </w:t>
      </w:r>
      <w:r w:rsidR="003F48D7" w:rsidRPr="00E66BDC">
        <w:rPr>
          <w:rFonts w:ascii="Times New Roman" w:hAnsi="Times New Roman" w:cs="Times New Roman"/>
          <w:sz w:val="24"/>
          <w:szCs w:val="24"/>
          <w:lang w:val="es-ES"/>
        </w:rPr>
        <w:t xml:space="preserve">salud, aunque </w:t>
      </w:r>
      <w:r w:rsidR="008638B1" w:rsidRPr="00E66BDC">
        <w:rPr>
          <w:rFonts w:ascii="Times New Roman" w:hAnsi="Times New Roman" w:cs="Times New Roman"/>
          <w:sz w:val="24"/>
          <w:szCs w:val="24"/>
          <w:lang w:val="es-ES"/>
        </w:rPr>
        <w:t>algunos autores han mostrado evidencia</w:t>
      </w:r>
      <w:r w:rsidR="003F48D7" w:rsidRPr="00E66BDC">
        <w:rPr>
          <w:rFonts w:ascii="Times New Roman" w:hAnsi="Times New Roman" w:cs="Times New Roman"/>
          <w:sz w:val="24"/>
          <w:szCs w:val="24"/>
          <w:lang w:val="es-ES"/>
        </w:rPr>
        <w:t xml:space="preserve"> de que la reducción de sodio </w:t>
      </w:r>
      <w:r w:rsidR="008638B1" w:rsidRPr="00E66BDC">
        <w:rPr>
          <w:rFonts w:ascii="Times New Roman" w:hAnsi="Times New Roman" w:cs="Times New Roman"/>
          <w:sz w:val="24"/>
          <w:szCs w:val="24"/>
          <w:lang w:val="es-ES"/>
        </w:rPr>
        <w:t>disminuye la PA</w:t>
      </w:r>
      <w:r w:rsidR="003F48D7" w:rsidRPr="00E66BDC">
        <w:rPr>
          <w:rFonts w:ascii="Times New Roman" w:hAnsi="Times New Roman" w:cs="Times New Roman"/>
          <w:sz w:val="24"/>
          <w:szCs w:val="24"/>
          <w:lang w:val="es-ES"/>
        </w:rPr>
        <w:t xml:space="preserve"> y que </w:t>
      </w:r>
      <w:r w:rsidR="008638B1" w:rsidRPr="00E66BDC">
        <w:rPr>
          <w:rFonts w:ascii="Times New Roman" w:hAnsi="Times New Roman" w:cs="Times New Roman"/>
          <w:sz w:val="24"/>
          <w:szCs w:val="24"/>
          <w:lang w:val="es-ES"/>
        </w:rPr>
        <w:t xml:space="preserve">el efecto </w:t>
      </w:r>
      <w:r w:rsidR="003F48D7" w:rsidRPr="00E66BDC">
        <w:rPr>
          <w:rFonts w:ascii="Times New Roman" w:hAnsi="Times New Roman" w:cs="Times New Roman"/>
          <w:sz w:val="24"/>
          <w:szCs w:val="24"/>
          <w:lang w:val="es-ES"/>
        </w:rPr>
        <w:t>antihipertensivo reduce las enfermedades d</w:t>
      </w:r>
      <w:r w:rsidR="008638B1" w:rsidRPr="00E66BDC">
        <w:rPr>
          <w:rFonts w:ascii="Times New Roman" w:hAnsi="Times New Roman" w:cs="Times New Roman"/>
          <w:sz w:val="24"/>
          <w:szCs w:val="24"/>
          <w:lang w:val="es-ES"/>
        </w:rPr>
        <w:t xml:space="preserve">el corazón y </w:t>
      </w:r>
      <w:r w:rsidR="00D44F6C" w:rsidRPr="00E66BDC">
        <w:rPr>
          <w:rFonts w:ascii="Times New Roman" w:hAnsi="Times New Roman" w:cs="Times New Roman"/>
          <w:sz w:val="24"/>
          <w:szCs w:val="24"/>
          <w:lang w:val="es-ES"/>
        </w:rPr>
        <w:t xml:space="preserve">los </w:t>
      </w:r>
      <w:r w:rsidR="008638B1" w:rsidRPr="00E66BDC">
        <w:rPr>
          <w:rFonts w:ascii="Times New Roman" w:hAnsi="Times New Roman" w:cs="Times New Roman"/>
          <w:sz w:val="24"/>
          <w:szCs w:val="24"/>
          <w:lang w:val="es-ES"/>
        </w:rPr>
        <w:t>derrame</w:t>
      </w:r>
      <w:r w:rsidR="00D44F6C" w:rsidRPr="00E66BDC">
        <w:rPr>
          <w:rFonts w:ascii="Times New Roman" w:hAnsi="Times New Roman" w:cs="Times New Roman"/>
          <w:sz w:val="24"/>
          <w:szCs w:val="24"/>
          <w:lang w:val="es-ES"/>
        </w:rPr>
        <w:t>s</w:t>
      </w:r>
      <w:r w:rsidR="008638B1" w:rsidRPr="00E66BDC">
        <w:rPr>
          <w:rFonts w:ascii="Times New Roman" w:hAnsi="Times New Roman" w:cs="Times New Roman"/>
          <w:sz w:val="24"/>
          <w:szCs w:val="24"/>
          <w:lang w:val="es-ES"/>
        </w:rPr>
        <w:t xml:space="preserve"> cerebral</w:t>
      </w:r>
      <w:r w:rsidR="00D44F6C" w:rsidRPr="00E66BDC">
        <w:rPr>
          <w:rFonts w:ascii="Times New Roman" w:hAnsi="Times New Roman" w:cs="Times New Roman"/>
          <w:sz w:val="24"/>
          <w:szCs w:val="24"/>
          <w:lang w:val="es-ES"/>
        </w:rPr>
        <w:t>es</w:t>
      </w:r>
      <w:r w:rsidR="003F48D7" w:rsidRPr="00E66BDC">
        <w:rPr>
          <w:rFonts w:ascii="Times New Roman" w:hAnsi="Times New Roman" w:cs="Times New Roman"/>
          <w:sz w:val="24"/>
          <w:szCs w:val="24"/>
          <w:lang w:val="es-ES"/>
        </w:rPr>
        <w:t xml:space="preserve"> </w:t>
      </w:r>
      <w:r w:rsidR="008638B1" w:rsidRPr="00E66BDC">
        <w:rPr>
          <w:rFonts w:ascii="Times New Roman" w:hAnsi="Times New Roman" w:cs="Times New Roman"/>
          <w:sz w:val="24"/>
          <w:szCs w:val="24"/>
          <w:lang w:val="es-ES"/>
        </w:rPr>
        <w:t>con una ingesta de sodio de</w:t>
      </w:r>
      <w:r w:rsidR="00D44F6C" w:rsidRPr="00E66BDC">
        <w:rPr>
          <w:rFonts w:ascii="Times New Roman" w:hAnsi="Times New Roman" w:cs="Times New Roman"/>
          <w:sz w:val="24"/>
          <w:szCs w:val="24"/>
          <w:lang w:val="es-ES"/>
        </w:rPr>
        <w:t xml:space="preserve"> al menos</w:t>
      </w:r>
      <w:r w:rsidR="008638B1" w:rsidRPr="00E66BDC">
        <w:rPr>
          <w:rFonts w:ascii="Times New Roman" w:hAnsi="Times New Roman" w:cs="Times New Roman"/>
          <w:sz w:val="24"/>
          <w:szCs w:val="24"/>
          <w:lang w:val="es-ES"/>
        </w:rPr>
        <w:t xml:space="preserve"> 2 g/ d</w:t>
      </w:r>
      <w:r w:rsidR="003F48D7" w:rsidRPr="00E66BDC">
        <w:rPr>
          <w:rFonts w:ascii="Times New Roman" w:hAnsi="Times New Roman" w:cs="Times New Roman"/>
          <w:sz w:val="24"/>
          <w:szCs w:val="24"/>
          <w:lang w:val="es-ES"/>
        </w:rPr>
        <w:t xml:space="preserve"> </w:t>
      </w:r>
      <w:r w:rsidR="008638B1" w:rsidRPr="00E66BDC">
        <w:rPr>
          <w:rFonts w:ascii="Times New Roman" w:hAnsi="Times New Roman" w:cs="Times New Roman"/>
          <w:sz w:val="24"/>
          <w:szCs w:val="24"/>
        </w:rPr>
        <w:t>(</w:t>
      </w:r>
      <w:proofErr w:type="spellStart"/>
      <w:r w:rsidR="008638B1" w:rsidRPr="00E66BDC">
        <w:rPr>
          <w:rFonts w:ascii="Times New Roman" w:hAnsi="Times New Roman" w:cs="Times New Roman"/>
          <w:sz w:val="24"/>
          <w:szCs w:val="24"/>
        </w:rPr>
        <w:t>Mozaffarian</w:t>
      </w:r>
      <w:proofErr w:type="spellEnd"/>
      <w:r w:rsidR="002D226A" w:rsidRPr="00E66BDC">
        <w:rPr>
          <w:rFonts w:ascii="Times New Roman" w:hAnsi="Times New Roman" w:cs="Times New Roman"/>
          <w:sz w:val="24"/>
          <w:szCs w:val="24"/>
        </w:rPr>
        <w:t>,</w:t>
      </w:r>
      <w:r w:rsidR="008638B1" w:rsidRPr="00E66BDC">
        <w:rPr>
          <w:rFonts w:ascii="Times New Roman" w:hAnsi="Times New Roman" w:cs="Times New Roman"/>
          <w:sz w:val="24"/>
          <w:szCs w:val="24"/>
        </w:rPr>
        <w:t xml:space="preserve"> D</w:t>
      </w:r>
      <w:r w:rsidR="002D226A" w:rsidRPr="00E66BDC">
        <w:rPr>
          <w:rFonts w:ascii="Times New Roman" w:hAnsi="Times New Roman" w:cs="Times New Roman"/>
          <w:sz w:val="24"/>
          <w:szCs w:val="24"/>
        </w:rPr>
        <w:t>. et al.</w:t>
      </w:r>
      <w:r w:rsidR="008638B1" w:rsidRPr="00E66BDC">
        <w:rPr>
          <w:rFonts w:ascii="Times New Roman" w:hAnsi="Times New Roman" w:cs="Times New Roman"/>
          <w:sz w:val="24"/>
          <w:szCs w:val="24"/>
        </w:rPr>
        <w:t xml:space="preserve">, </w:t>
      </w:r>
      <w:r w:rsidR="002D226A" w:rsidRPr="00E66BDC">
        <w:rPr>
          <w:rFonts w:ascii="Times New Roman" w:hAnsi="Times New Roman" w:cs="Times New Roman"/>
          <w:sz w:val="24"/>
          <w:szCs w:val="24"/>
        </w:rPr>
        <w:t>2014</w:t>
      </w:r>
      <w:r w:rsidR="008638B1" w:rsidRPr="00E66BDC">
        <w:rPr>
          <w:rFonts w:ascii="Times New Roman" w:hAnsi="Times New Roman" w:cs="Times New Roman"/>
          <w:sz w:val="24"/>
          <w:szCs w:val="24"/>
        </w:rPr>
        <w:t xml:space="preserve">), </w:t>
      </w:r>
      <w:r w:rsidR="00D44F6C" w:rsidRPr="00E66BDC">
        <w:rPr>
          <w:rFonts w:ascii="Times New Roman" w:hAnsi="Times New Roman" w:cs="Times New Roman"/>
          <w:sz w:val="24"/>
          <w:szCs w:val="24"/>
        </w:rPr>
        <w:t>mientras que</w:t>
      </w:r>
      <w:r w:rsidR="00D44F6C" w:rsidRPr="00E66BDC">
        <w:rPr>
          <w:rFonts w:ascii="Times New Roman" w:hAnsi="Times New Roman" w:cs="Times New Roman"/>
          <w:i/>
          <w:sz w:val="24"/>
          <w:szCs w:val="24"/>
        </w:rPr>
        <w:t xml:space="preserve"> </w:t>
      </w:r>
      <w:r w:rsidR="008638B1" w:rsidRPr="00E66BDC">
        <w:rPr>
          <w:rFonts w:ascii="Times New Roman" w:hAnsi="Times New Roman" w:cs="Times New Roman"/>
          <w:sz w:val="24"/>
          <w:szCs w:val="24"/>
        </w:rPr>
        <w:t>otros han sugerido que una restricción en la ingesta de sodio se asocia a mortalidad general y CV (</w:t>
      </w:r>
      <w:proofErr w:type="spellStart"/>
      <w:r w:rsidR="008638B1" w:rsidRPr="00E66BDC">
        <w:rPr>
          <w:rFonts w:ascii="Times New Roman" w:hAnsi="Times New Roman" w:cs="Times New Roman"/>
          <w:sz w:val="24"/>
          <w:szCs w:val="24"/>
        </w:rPr>
        <w:t>Kyu</w:t>
      </w:r>
      <w:proofErr w:type="spellEnd"/>
      <w:r w:rsidR="002D226A" w:rsidRPr="00E66BDC">
        <w:rPr>
          <w:rFonts w:ascii="Times New Roman" w:hAnsi="Times New Roman" w:cs="Times New Roman"/>
          <w:sz w:val="24"/>
          <w:szCs w:val="24"/>
        </w:rPr>
        <w:t>,</w:t>
      </w:r>
      <w:r w:rsidR="008638B1" w:rsidRPr="00E66BDC">
        <w:rPr>
          <w:rFonts w:ascii="Times New Roman" w:hAnsi="Times New Roman" w:cs="Times New Roman"/>
          <w:sz w:val="24"/>
          <w:szCs w:val="24"/>
        </w:rPr>
        <w:t xml:space="preserve"> H</w:t>
      </w:r>
      <w:r w:rsidR="002D226A" w:rsidRPr="00E66BDC">
        <w:rPr>
          <w:rFonts w:ascii="Times New Roman" w:hAnsi="Times New Roman" w:cs="Times New Roman"/>
          <w:sz w:val="24"/>
          <w:szCs w:val="24"/>
        </w:rPr>
        <w:t xml:space="preserve">. </w:t>
      </w:r>
      <w:r w:rsidR="008638B1" w:rsidRPr="00E66BDC">
        <w:rPr>
          <w:rFonts w:ascii="Times New Roman" w:hAnsi="Times New Roman" w:cs="Times New Roman"/>
          <w:sz w:val="24"/>
          <w:szCs w:val="24"/>
        </w:rPr>
        <w:t>S.</w:t>
      </w:r>
      <w:r w:rsidR="002D226A" w:rsidRPr="00E66BDC">
        <w:rPr>
          <w:rFonts w:ascii="Times New Roman" w:hAnsi="Times New Roman" w:cs="Times New Roman"/>
          <w:sz w:val="24"/>
          <w:szCs w:val="24"/>
        </w:rPr>
        <w:t>,</w:t>
      </w:r>
      <w:r w:rsidR="008638B1" w:rsidRPr="00E66BDC">
        <w:rPr>
          <w:rFonts w:ascii="Times New Roman" w:hAnsi="Times New Roman" w:cs="Times New Roman"/>
          <w:sz w:val="24"/>
          <w:szCs w:val="24"/>
        </w:rPr>
        <w:t xml:space="preserve"> </w:t>
      </w:r>
      <w:r w:rsidR="002D226A" w:rsidRPr="00E66BDC">
        <w:rPr>
          <w:rFonts w:ascii="Times New Roman" w:hAnsi="Times New Roman" w:cs="Times New Roman"/>
          <w:sz w:val="24"/>
          <w:szCs w:val="24"/>
        </w:rPr>
        <w:t>2014</w:t>
      </w:r>
      <w:r w:rsidR="00495523" w:rsidRPr="00E66BDC">
        <w:rPr>
          <w:rFonts w:ascii="Times New Roman" w:hAnsi="Times New Roman" w:cs="Times New Roman"/>
          <w:sz w:val="24"/>
          <w:szCs w:val="24"/>
        </w:rPr>
        <w:t>)</w:t>
      </w:r>
      <w:r w:rsidR="00D44F6C" w:rsidRPr="00E66BDC">
        <w:rPr>
          <w:rFonts w:ascii="Times New Roman" w:hAnsi="Times New Roman" w:cs="Times New Roman"/>
          <w:sz w:val="24"/>
          <w:szCs w:val="24"/>
        </w:rPr>
        <w:t>.</w:t>
      </w:r>
      <w:r w:rsidR="008638B1" w:rsidRPr="00E66BDC">
        <w:rPr>
          <w:rFonts w:ascii="Times New Roman" w:hAnsi="Times New Roman" w:cs="Times New Roman"/>
          <w:i/>
          <w:sz w:val="24"/>
          <w:szCs w:val="24"/>
        </w:rPr>
        <w:t xml:space="preserve"> </w:t>
      </w:r>
    </w:p>
    <w:p w:rsidR="00051EC1" w:rsidRPr="00E66BDC" w:rsidRDefault="006776D4" w:rsidP="00E66BDC">
      <w:pPr>
        <w:spacing w:line="360" w:lineRule="auto"/>
        <w:jc w:val="both"/>
        <w:rPr>
          <w:rFonts w:ascii="Times New Roman" w:hAnsi="Times New Roman" w:cs="Times New Roman"/>
          <w:i/>
          <w:sz w:val="24"/>
          <w:szCs w:val="24"/>
        </w:rPr>
      </w:pPr>
      <w:r w:rsidRPr="00E66BDC">
        <w:rPr>
          <w:rFonts w:ascii="Times New Roman" w:hAnsi="Times New Roman" w:cs="Times New Roman"/>
          <w:sz w:val="24"/>
          <w:szCs w:val="24"/>
        </w:rPr>
        <w:t>E</w:t>
      </w:r>
      <w:r w:rsidRPr="00E66BDC">
        <w:rPr>
          <w:rFonts w:ascii="Times New Roman" w:hAnsi="Times New Roman" w:cs="Times New Roman"/>
          <w:sz w:val="24"/>
          <w:szCs w:val="24"/>
          <w:lang w:val="es-ES"/>
        </w:rPr>
        <w:t xml:space="preserve">n un modelo de ratas diabéticas encontraron que una dieta baja en sal fue un inductor de aterosclerosis más potente que la diabetes por sí sola, probablemente debido a la activación del SRAA </w:t>
      </w:r>
      <w:r w:rsidR="00272EB3" w:rsidRPr="00E66BDC">
        <w:rPr>
          <w:rFonts w:ascii="Times New Roman" w:hAnsi="Times New Roman" w:cs="Times New Roman"/>
          <w:sz w:val="24"/>
          <w:szCs w:val="24"/>
          <w:lang w:val="es-ES"/>
        </w:rPr>
        <w:t>a</w:t>
      </w:r>
      <w:r w:rsidRPr="00E66BDC">
        <w:rPr>
          <w:rFonts w:ascii="Times New Roman" w:hAnsi="Times New Roman" w:cs="Times New Roman"/>
          <w:sz w:val="24"/>
          <w:szCs w:val="24"/>
          <w:lang w:val="es-ES"/>
        </w:rPr>
        <w:t>sociad</w:t>
      </w:r>
      <w:r w:rsidR="00272EB3" w:rsidRPr="00E66BDC">
        <w:rPr>
          <w:rFonts w:ascii="Times New Roman" w:hAnsi="Times New Roman" w:cs="Times New Roman"/>
          <w:sz w:val="24"/>
          <w:szCs w:val="24"/>
          <w:lang w:val="es-ES"/>
        </w:rPr>
        <w:t>o a</w:t>
      </w:r>
      <w:r w:rsidRPr="00E66BDC">
        <w:rPr>
          <w:rFonts w:ascii="Times New Roman" w:hAnsi="Times New Roman" w:cs="Times New Roman"/>
          <w:sz w:val="24"/>
          <w:szCs w:val="24"/>
          <w:lang w:val="es-ES"/>
        </w:rPr>
        <w:t xml:space="preserve"> la restricción de sal</w:t>
      </w:r>
      <w:r w:rsidR="00CB4EED" w:rsidRPr="00E66BDC">
        <w:rPr>
          <w:rFonts w:ascii="Times New Roman" w:hAnsi="Times New Roman" w:cs="Times New Roman"/>
          <w:sz w:val="24"/>
          <w:szCs w:val="24"/>
          <w:lang w:val="es-ES"/>
        </w:rPr>
        <w:t xml:space="preserve">. </w:t>
      </w:r>
      <w:r w:rsidRPr="00E66BDC">
        <w:rPr>
          <w:rFonts w:ascii="Times New Roman" w:hAnsi="Times New Roman" w:cs="Times New Roman"/>
          <w:sz w:val="24"/>
          <w:szCs w:val="24"/>
        </w:rPr>
        <w:t xml:space="preserve">Y en adultos con DT 1, la baja ingesta de sodio se asoció con un aumento del riesgo de mortalidad por cualquier causa y desarrollo de eventos cardiovasculares. </w:t>
      </w:r>
      <w:r w:rsidR="004D37C0" w:rsidRPr="00E66BDC">
        <w:rPr>
          <w:rFonts w:ascii="Times New Roman" w:hAnsi="Times New Roman" w:cs="Times New Roman"/>
          <w:sz w:val="24"/>
          <w:szCs w:val="24"/>
        </w:rPr>
        <w:t>Esto</w:t>
      </w:r>
      <w:r w:rsidRPr="00E66BDC">
        <w:rPr>
          <w:rFonts w:ascii="Times New Roman" w:hAnsi="Times New Roman" w:cs="Times New Roman"/>
          <w:sz w:val="24"/>
          <w:szCs w:val="24"/>
        </w:rPr>
        <w:t xml:space="preserve"> sugiere que la asociación entre la ingesta de </w:t>
      </w:r>
      <w:proofErr w:type="spellStart"/>
      <w:r w:rsidR="00CB4EED" w:rsidRPr="00E66BDC">
        <w:rPr>
          <w:rFonts w:ascii="Times New Roman" w:hAnsi="Times New Roman" w:cs="Times New Roman"/>
          <w:sz w:val="24"/>
          <w:szCs w:val="24"/>
        </w:rPr>
        <w:t>Na</w:t>
      </w:r>
      <w:proofErr w:type="spellEnd"/>
      <w:r w:rsidR="00CB4EED" w:rsidRPr="00E66BDC">
        <w:rPr>
          <w:rFonts w:ascii="Times New Roman" w:hAnsi="Times New Roman" w:cs="Times New Roman"/>
          <w:sz w:val="24"/>
          <w:szCs w:val="24"/>
        </w:rPr>
        <w:t xml:space="preserve"> </w:t>
      </w:r>
      <w:r w:rsidRPr="00E66BDC">
        <w:rPr>
          <w:rFonts w:ascii="Times New Roman" w:hAnsi="Times New Roman" w:cs="Times New Roman"/>
          <w:sz w:val="24"/>
          <w:szCs w:val="24"/>
        </w:rPr>
        <w:t>y los r</w:t>
      </w:r>
      <w:r w:rsidR="00CB4EED" w:rsidRPr="00E66BDC">
        <w:rPr>
          <w:rFonts w:ascii="Times New Roman" w:hAnsi="Times New Roman" w:cs="Times New Roman"/>
          <w:sz w:val="24"/>
          <w:szCs w:val="24"/>
        </w:rPr>
        <w:t>esultados cardiovasculares en</w:t>
      </w:r>
      <w:r w:rsidRPr="00E66BDC">
        <w:rPr>
          <w:rFonts w:ascii="Times New Roman" w:hAnsi="Times New Roman" w:cs="Times New Roman"/>
          <w:sz w:val="24"/>
          <w:szCs w:val="24"/>
        </w:rPr>
        <w:t xml:space="preserve"> diabetes es más complicada que simplemente </w:t>
      </w:r>
      <w:r w:rsidR="00CB4EED" w:rsidRPr="00E66BDC">
        <w:rPr>
          <w:rFonts w:ascii="Times New Roman" w:hAnsi="Times New Roman" w:cs="Times New Roman"/>
          <w:sz w:val="24"/>
          <w:szCs w:val="24"/>
        </w:rPr>
        <w:t>por la</w:t>
      </w:r>
      <w:r w:rsidRPr="00E66BDC">
        <w:rPr>
          <w:rFonts w:ascii="Times New Roman" w:hAnsi="Times New Roman" w:cs="Times New Roman"/>
          <w:sz w:val="24"/>
          <w:szCs w:val="24"/>
        </w:rPr>
        <w:t xml:space="preserve"> elevación de la PA</w:t>
      </w:r>
      <w:r w:rsidRPr="00E66BDC">
        <w:rPr>
          <w:rFonts w:ascii="Times New Roman" w:hAnsi="Times New Roman" w:cs="Times New Roman"/>
          <w:sz w:val="24"/>
          <w:szCs w:val="24"/>
          <w:lang w:val="es-ES"/>
        </w:rPr>
        <w:t xml:space="preserve"> </w:t>
      </w:r>
      <w:r w:rsidRPr="00E66BDC">
        <w:rPr>
          <w:rFonts w:ascii="Times New Roman" w:hAnsi="Times New Roman" w:cs="Times New Roman"/>
          <w:sz w:val="24"/>
          <w:szCs w:val="24"/>
        </w:rPr>
        <w:t>(</w:t>
      </w:r>
      <w:proofErr w:type="spellStart"/>
      <w:r w:rsidRPr="00E66BDC">
        <w:rPr>
          <w:rFonts w:ascii="Times New Roman" w:hAnsi="Times New Roman" w:cs="Times New Roman"/>
          <w:sz w:val="24"/>
          <w:szCs w:val="24"/>
        </w:rPr>
        <w:t>Tikellis</w:t>
      </w:r>
      <w:proofErr w:type="spellEnd"/>
      <w:r w:rsidRPr="00E66BDC">
        <w:rPr>
          <w:rFonts w:ascii="Times New Roman" w:hAnsi="Times New Roman" w:cs="Times New Roman"/>
          <w:sz w:val="24"/>
          <w:szCs w:val="24"/>
        </w:rPr>
        <w:t xml:space="preserve"> C</w:t>
      </w:r>
      <w:r w:rsidR="004D37C0" w:rsidRPr="00E66BDC">
        <w:rPr>
          <w:rFonts w:ascii="Times New Roman" w:hAnsi="Times New Roman" w:cs="Times New Roman"/>
          <w:sz w:val="24"/>
          <w:szCs w:val="24"/>
        </w:rPr>
        <w:t>.</w:t>
      </w:r>
      <w:r w:rsidRPr="00E66BDC">
        <w:rPr>
          <w:rFonts w:ascii="Times New Roman" w:hAnsi="Times New Roman" w:cs="Times New Roman"/>
          <w:sz w:val="24"/>
          <w:szCs w:val="24"/>
        </w:rPr>
        <w:t>,</w:t>
      </w:r>
      <w:r w:rsidR="00051EC1" w:rsidRPr="00E66BDC">
        <w:rPr>
          <w:rFonts w:ascii="Times New Roman" w:hAnsi="Times New Roman" w:cs="Times New Roman"/>
          <w:sz w:val="24"/>
          <w:szCs w:val="24"/>
        </w:rPr>
        <w:t xml:space="preserve"> </w:t>
      </w:r>
      <w:r w:rsidRPr="00E66BDC">
        <w:rPr>
          <w:rFonts w:ascii="Times New Roman" w:hAnsi="Times New Roman" w:cs="Times New Roman"/>
          <w:sz w:val="24"/>
          <w:szCs w:val="24"/>
        </w:rPr>
        <w:t>2013)</w:t>
      </w:r>
      <w:r w:rsidR="004D37C0" w:rsidRPr="00E66BDC">
        <w:rPr>
          <w:rFonts w:ascii="Times New Roman" w:hAnsi="Times New Roman" w:cs="Times New Roman"/>
          <w:sz w:val="24"/>
          <w:szCs w:val="24"/>
        </w:rPr>
        <w:t>.</w:t>
      </w:r>
      <w:r w:rsidRPr="00E66BDC">
        <w:rPr>
          <w:rFonts w:ascii="Times New Roman" w:hAnsi="Times New Roman" w:cs="Times New Roman"/>
          <w:i/>
          <w:sz w:val="24"/>
          <w:szCs w:val="24"/>
        </w:rPr>
        <w:t xml:space="preserve"> </w:t>
      </w:r>
    </w:p>
    <w:p w:rsidR="00CC60E5" w:rsidRPr="00E66BDC" w:rsidRDefault="006776D4"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lang w:val="es-ES"/>
        </w:rPr>
        <w:t>Algunos autores han manifestado que no existe evidencia concluyente de que una dieta baja en sodio reduzca los eventos CV</w:t>
      </w:r>
      <w:r w:rsidR="007B558A" w:rsidRPr="00E66BDC">
        <w:rPr>
          <w:rFonts w:ascii="Times New Roman" w:hAnsi="Times New Roman" w:cs="Times New Roman"/>
          <w:sz w:val="24"/>
          <w:szCs w:val="24"/>
          <w:lang w:val="es-ES"/>
        </w:rPr>
        <w:t xml:space="preserve"> en pacientes </w:t>
      </w:r>
      <w:proofErr w:type="spellStart"/>
      <w:r w:rsidR="007B558A" w:rsidRPr="00E66BDC">
        <w:rPr>
          <w:rFonts w:ascii="Times New Roman" w:hAnsi="Times New Roman" w:cs="Times New Roman"/>
          <w:sz w:val="24"/>
          <w:szCs w:val="24"/>
          <w:lang w:val="es-ES"/>
        </w:rPr>
        <w:t>normotensos</w:t>
      </w:r>
      <w:proofErr w:type="spellEnd"/>
      <w:r w:rsidR="007B558A" w:rsidRPr="00E66BDC">
        <w:rPr>
          <w:rFonts w:ascii="Times New Roman" w:hAnsi="Times New Roman" w:cs="Times New Roman"/>
          <w:sz w:val="24"/>
          <w:szCs w:val="24"/>
          <w:lang w:val="es-ES"/>
        </w:rPr>
        <w:t xml:space="preserve"> y pre</w:t>
      </w:r>
      <w:r w:rsidR="004D37C0" w:rsidRPr="00E66BDC">
        <w:rPr>
          <w:rFonts w:ascii="Times New Roman" w:hAnsi="Times New Roman" w:cs="Times New Roman"/>
          <w:sz w:val="24"/>
          <w:szCs w:val="24"/>
          <w:lang w:val="es-ES"/>
        </w:rPr>
        <w:t>-</w:t>
      </w:r>
      <w:r w:rsidRPr="00E66BDC">
        <w:rPr>
          <w:rFonts w:ascii="Times New Roman" w:hAnsi="Times New Roman" w:cs="Times New Roman"/>
          <w:sz w:val="24"/>
          <w:szCs w:val="24"/>
          <w:lang w:val="es-ES"/>
        </w:rPr>
        <w:t xml:space="preserve">hipertensos e incluso hipertensos; </w:t>
      </w:r>
      <w:r w:rsidR="00272EB3" w:rsidRPr="00E66BDC">
        <w:rPr>
          <w:rFonts w:ascii="Times New Roman" w:hAnsi="Times New Roman" w:cs="Times New Roman"/>
          <w:sz w:val="24"/>
          <w:szCs w:val="24"/>
          <w:lang w:val="es-ES"/>
        </w:rPr>
        <w:t>p</w:t>
      </w:r>
      <w:r w:rsidRPr="00E66BDC">
        <w:rPr>
          <w:rFonts w:ascii="Times New Roman" w:hAnsi="Times New Roman" w:cs="Times New Roman"/>
          <w:sz w:val="24"/>
          <w:szCs w:val="24"/>
          <w:lang w:val="es-ES"/>
        </w:rPr>
        <w:t xml:space="preserve">or el contrario, </w:t>
      </w:r>
      <w:r w:rsidR="004D37C0" w:rsidRPr="00E66BDC">
        <w:rPr>
          <w:rFonts w:ascii="Times New Roman" w:hAnsi="Times New Roman" w:cs="Times New Roman"/>
          <w:sz w:val="24"/>
          <w:szCs w:val="24"/>
          <w:lang w:val="es-ES"/>
        </w:rPr>
        <w:t>existen</w:t>
      </w:r>
      <w:r w:rsidRPr="00E66BDC">
        <w:rPr>
          <w:rFonts w:ascii="Times New Roman" w:hAnsi="Times New Roman" w:cs="Times New Roman"/>
          <w:sz w:val="24"/>
          <w:szCs w:val="24"/>
          <w:lang w:val="es-ES"/>
        </w:rPr>
        <w:t xml:space="preserve"> pruebas de que una dieta baja en sodio conduce a un peor pronóstico cardiovascular en pacientes con ICC y DT1 y 2 (</w:t>
      </w:r>
      <w:proofErr w:type="spellStart"/>
      <w:r w:rsidRPr="00E66BDC">
        <w:rPr>
          <w:rFonts w:ascii="Times New Roman" w:hAnsi="Times New Roman" w:cs="Times New Roman"/>
          <w:sz w:val="24"/>
          <w:szCs w:val="24"/>
          <w:lang w:val="es-ES"/>
        </w:rPr>
        <w:t>DiNicolantonio</w:t>
      </w:r>
      <w:proofErr w:type="spellEnd"/>
      <w:r w:rsidR="00BA0137" w:rsidRPr="00E66BDC">
        <w:rPr>
          <w:rFonts w:ascii="Times New Roman" w:hAnsi="Times New Roman" w:cs="Times New Roman"/>
          <w:sz w:val="24"/>
          <w:szCs w:val="24"/>
          <w:lang w:val="es-ES"/>
        </w:rPr>
        <w:t>,</w:t>
      </w:r>
      <w:r w:rsidRPr="00E66BDC">
        <w:rPr>
          <w:rFonts w:ascii="Times New Roman" w:hAnsi="Times New Roman" w:cs="Times New Roman"/>
          <w:sz w:val="24"/>
          <w:szCs w:val="24"/>
          <w:lang w:val="es-ES"/>
        </w:rPr>
        <w:t xml:space="preserve"> J</w:t>
      </w:r>
      <w:r w:rsidR="00BA0137" w:rsidRPr="00E66BDC">
        <w:rPr>
          <w:rFonts w:ascii="Times New Roman" w:hAnsi="Times New Roman" w:cs="Times New Roman"/>
          <w:sz w:val="24"/>
          <w:szCs w:val="24"/>
          <w:lang w:val="es-ES"/>
        </w:rPr>
        <w:t xml:space="preserve">. </w:t>
      </w:r>
      <w:r w:rsidRPr="00E66BDC">
        <w:rPr>
          <w:rFonts w:ascii="Times New Roman" w:hAnsi="Times New Roman" w:cs="Times New Roman"/>
          <w:sz w:val="24"/>
          <w:szCs w:val="24"/>
          <w:lang w:val="es-ES"/>
        </w:rPr>
        <w:t>J</w:t>
      </w:r>
      <w:r w:rsidR="004D37C0" w:rsidRPr="00E66BDC">
        <w:rPr>
          <w:rFonts w:ascii="Times New Roman" w:hAnsi="Times New Roman" w:cs="Times New Roman"/>
          <w:sz w:val="24"/>
          <w:szCs w:val="24"/>
          <w:lang w:val="es-ES"/>
        </w:rPr>
        <w:t>.</w:t>
      </w:r>
      <w:r w:rsidR="00CC60E5" w:rsidRPr="00E66BDC">
        <w:rPr>
          <w:rFonts w:ascii="Times New Roman" w:hAnsi="Times New Roman" w:cs="Times New Roman"/>
          <w:sz w:val="24"/>
          <w:szCs w:val="24"/>
          <w:lang w:val="es-ES"/>
        </w:rPr>
        <w:t>)</w:t>
      </w:r>
      <w:r w:rsidR="004D37C0" w:rsidRPr="00E66BDC">
        <w:rPr>
          <w:rFonts w:ascii="Times New Roman" w:hAnsi="Times New Roman" w:cs="Times New Roman"/>
          <w:sz w:val="24"/>
          <w:szCs w:val="24"/>
          <w:lang w:val="es-ES"/>
        </w:rPr>
        <w:t>.</w:t>
      </w:r>
    </w:p>
    <w:p w:rsidR="00774FB5" w:rsidRPr="00E66BDC" w:rsidRDefault="00350244"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rPr>
        <w:t>Se ha propuesto que a</w:t>
      </w:r>
      <w:r w:rsidR="004D37C0" w:rsidRPr="00E66BDC">
        <w:rPr>
          <w:rFonts w:ascii="Times New Roman" w:hAnsi="Times New Roman" w:cs="Times New Roman"/>
          <w:sz w:val="24"/>
          <w:szCs w:val="24"/>
        </w:rPr>
        <w:t>u</w:t>
      </w:r>
      <w:r w:rsidRPr="00E66BDC">
        <w:rPr>
          <w:rFonts w:ascii="Times New Roman" w:hAnsi="Times New Roman" w:cs="Times New Roman"/>
          <w:sz w:val="24"/>
          <w:szCs w:val="24"/>
        </w:rPr>
        <w:t>n</w:t>
      </w:r>
      <w:r w:rsidR="00CB4EED" w:rsidRPr="00E66BDC">
        <w:rPr>
          <w:rFonts w:ascii="Times New Roman" w:hAnsi="Times New Roman" w:cs="Times New Roman"/>
          <w:sz w:val="24"/>
          <w:szCs w:val="24"/>
        </w:rPr>
        <w:t xml:space="preserve"> si existiese una reducción de </w:t>
      </w:r>
      <w:r w:rsidRPr="00E66BDC">
        <w:rPr>
          <w:rFonts w:ascii="Times New Roman" w:hAnsi="Times New Roman" w:cs="Times New Roman"/>
          <w:sz w:val="24"/>
          <w:szCs w:val="24"/>
        </w:rPr>
        <w:t xml:space="preserve">1 a 2 mm Hg en la PA por cada 75 a 100 </w:t>
      </w:r>
      <w:proofErr w:type="spellStart"/>
      <w:r w:rsidRPr="00E66BDC">
        <w:rPr>
          <w:rFonts w:ascii="Times New Roman" w:hAnsi="Times New Roman" w:cs="Times New Roman"/>
          <w:sz w:val="24"/>
          <w:szCs w:val="24"/>
        </w:rPr>
        <w:t>mmol</w:t>
      </w:r>
      <w:proofErr w:type="spellEnd"/>
      <w:r w:rsidRPr="00E66BDC">
        <w:rPr>
          <w:rFonts w:ascii="Times New Roman" w:hAnsi="Times New Roman" w:cs="Times New Roman"/>
          <w:sz w:val="24"/>
          <w:szCs w:val="24"/>
        </w:rPr>
        <w:t xml:space="preserve"> de disminución de la ingesta de </w:t>
      </w:r>
      <w:proofErr w:type="spellStart"/>
      <w:r w:rsidRPr="00E66BDC">
        <w:rPr>
          <w:rFonts w:ascii="Times New Roman" w:hAnsi="Times New Roman" w:cs="Times New Roman"/>
          <w:sz w:val="24"/>
          <w:szCs w:val="24"/>
        </w:rPr>
        <w:t>Na</w:t>
      </w:r>
      <w:proofErr w:type="spellEnd"/>
      <w:r w:rsidRPr="00E66BDC">
        <w:rPr>
          <w:rFonts w:ascii="Times New Roman" w:hAnsi="Times New Roman" w:cs="Times New Roman"/>
          <w:sz w:val="24"/>
          <w:szCs w:val="24"/>
        </w:rPr>
        <w:t xml:space="preserve">, habría que considerar el riesgo-beneficio de disminuir </w:t>
      </w:r>
      <w:r w:rsidRPr="00E66BDC">
        <w:rPr>
          <w:rFonts w:ascii="Times New Roman" w:hAnsi="Times New Roman" w:cs="Times New Roman"/>
          <w:sz w:val="24"/>
          <w:szCs w:val="24"/>
        </w:rPr>
        <w:lastRenderedPageBreak/>
        <w:t>la ingesta en toda la población, pues la modificación</w:t>
      </w:r>
      <w:r w:rsidR="00BB69EA" w:rsidRPr="00E66BDC">
        <w:rPr>
          <w:rFonts w:ascii="Times New Roman" w:hAnsi="Times New Roman" w:cs="Times New Roman"/>
          <w:sz w:val="24"/>
          <w:szCs w:val="24"/>
        </w:rPr>
        <w:t xml:space="preserve"> </w:t>
      </w:r>
      <w:r w:rsidRPr="00E66BDC">
        <w:rPr>
          <w:rFonts w:ascii="Times New Roman" w:hAnsi="Times New Roman" w:cs="Times New Roman"/>
          <w:sz w:val="24"/>
          <w:szCs w:val="24"/>
        </w:rPr>
        <w:t>pu</w:t>
      </w:r>
      <w:r w:rsidR="004D37C0" w:rsidRPr="00E66BDC">
        <w:rPr>
          <w:rFonts w:ascii="Times New Roman" w:hAnsi="Times New Roman" w:cs="Times New Roman"/>
          <w:sz w:val="24"/>
          <w:szCs w:val="24"/>
        </w:rPr>
        <w:t>ede</w:t>
      </w:r>
      <w:r w:rsidRPr="00E66BDC">
        <w:rPr>
          <w:rFonts w:ascii="Times New Roman" w:hAnsi="Times New Roman" w:cs="Times New Roman"/>
          <w:sz w:val="24"/>
          <w:szCs w:val="24"/>
        </w:rPr>
        <w:t xml:space="preserve"> traer consigo efectos adversos</w:t>
      </w:r>
      <w:r w:rsidR="00652079" w:rsidRPr="00E66BDC">
        <w:rPr>
          <w:rFonts w:ascii="Times New Roman" w:hAnsi="Times New Roman" w:cs="Times New Roman"/>
          <w:sz w:val="24"/>
          <w:szCs w:val="24"/>
        </w:rPr>
        <w:t xml:space="preserve"> (</w:t>
      </w:r>
      <w:r w:rsidRPr="00E66BDC">
        <w:rPr>
          <w:rFonts w:ascii="Times New Roman" w:hAnsi="Times New Roman" w:cs="Times New Roman"/>
          <w:sz w:val="24"/>
          <w:szCs w:val="24"/>
        </w:rPr>
        <w:t>Alderman</w:t>
      </w:r>
      <w:r w:rsidR="00BA0137" w:rsidRPr="00E66BDC">
        <w:rPr>
          <w:rFonts w:ascii="Times New Roman" w:hAnsi="Times New Roman" w:cs="Times New Roman"/>
          <w:sz w:val="24"/>
          <w:szCs w:val="24"/>
        </w:rPr>
        <w:t>,</w:t>
      </w:r>
      <w:r w:rsidRPr="00E66BDC">
        <w:rPr>
          <w:rFonts w:ascii="Times New Roman" w:hAnsi="Times New Roman" w:cs="Times New Roman"/>
          <w:sz w:val="24"/>
          <w:szCs w:val="24"/>
        </w:rPr>
        <w:t xml:space="preserve"> M</w:t>
      </w:r>
      <w:r w:rsidR="00BA0137" w:rsidRPr="00E66BDC">
        <w:rPr>
          <w:rFonts w:ascii="Times New Roman" w:hAnsi="Times New Roman" w:cs="Times New Roman"/>
          <w:sz w:val="24"/>
          <w:szCs w:val="24"/>
        </w:rPr>
        <w:t xml:space="preserve">. </w:t>
      </w:r>
      <w:r w:rsidRPr="00E66BDC">
        <w:rPr>
          <w:rFonts w:ascii="Times New Roman" w:hAnsi="Times New Roman" w:cs="Times New Roman"/>
          <w:sz w:val="24"/>
          <w:szCs w:val="24"/>
        </w:rPr>
        <w:t>H</w:t>
      </w:r>
      <w:r w:rsidR="00BA0137" w:rsidRPr="00E66BDC">
        <w:rPr>
          <w:rFonts w:ascii="Times New Roman" w:hAnsi="Times New Roman" w:cs="Times New Roman"/>
          <w:sz w:val="24"/>
          <w:szCs w:val="24"/>
        </w:rPr>
        <w:t>.</w:t>
      </w:r>
      <w:r w:rsidRPr="00E66BDC">
        <w:rPr>
          <w:rFonts w:ascii="Times New Roman" w:hAnsi="Times New Roman" w:cs="Times New Roman"/>
          <w:sz w:val="24"/>
          <w:szCs w:val="24"/>
        </w:rPr>
        <w:t xml:space="preserve">, </w:t>
      </w:r>
      <w:r w:rsidR="00BA0137" w:rsidRPr="00E66BDC">
        <w:rPr>
          <w:rFonts w:ascii="Times New Roman" w:hAnsi="Times New Roman" w:cs="Times New Roman"/>
          <w:sz w:val="24"/>
          <w:szCs w:val="24"/>
        </w:rPr>
        <w:t>2000</w:t>
      </w:r>
      <w:r w:rsidR="00652079" w:rsidRPr="00E66BDC">
        <w:rPr>
          <w:rFonts w:ascii="Times New Roman" w:hAnsi="Times New Roman" w:cs="Times New Roman"/>
          <w:sz w:val="24"/>
          <w:szCs w:val="24"/>
        </w:rPr>
        <w:t>)</w:t>
      </w:r>
      <w:r w:rsidR="004D37C0" w:rsidRPr="00E66BDC">
        <w:rPr>
          <w:rFonts w:ascii="Times New Roman" w:hAnsi="Times New Roman" w:cs="Times New Roman"/>
          <w:sz w:val="24"/>
          <w:szCs w:val="24"/>
        </w:rPr>
        <w:t>.</w:t>
      </w:r>
      <w:r w:rsidRPr="00E66BDC">
        <w:rPr>
          <w:rFonts w:ascii="Times New Roman" w:hAnsi="Times New Roman" w:cs="Times New Roman"/>
          <w:sz w:val="24"/>
          <w:szCs w:val="24"/>
        </w:rPr>
        <w:t xml:space="preserve"> </w:t>
      </w:r>
    </w:p>
    <w:p w:rsidR="00C41CFD" w:rsidRPr="00E66BDC" w:rsidRDefault="00C4382B" w:rsidP="00E66BDC">
      <w:pPr>
        <w:spacing w:line="360" w:lineRule="auto"/>
        <w:jc w:val="both"/>
        <w:rPr>
          <w:rFonts w:ascii="Times New Roman" w:hAnsi="Times New Roman" w:cs="Times New Roman"/>
          <w:i/>
          <w:sz w:val="24"/>
          <w:szCs w:val="24"/>
        </w:rPr>
      </w:pPr>
      <w:r w:rsidRPr="00E66BDC">
        <w:rPr>
          <w:rFonts w:ascii="Times New Roman" w:hAnsi="Times New Roman" w:cs="Times New Roman"/>
          <w:sz w:val="24"/>
          <w:szCs w:val="24"/>
          <w:lang w:val="es-ES"/>
        </w:rPr>
        <w:t xml:space="preserve">Debido a los efectos relativamente pequeños y a la naturaleza antagónica de los efectos (disminución de la </w:t>
      </w:r>
      <w:r w:rsidR="00CB4EED" w:rsidRPr="00E66BDC">
        <w:rPr>
          <w:rFonts w:ascii="Times New Roman" w:hAnsi="Times New Roman" w:cs="Times New Roman"/>
          <w:sz w:val="24"/>
          <w:szCs w:val="24"/>
          <w:lang w:val="es-ES"/>
        </w:rPr>
        <w:t>PA</w:t>
      </w:r>
      <w:r w:rsidRPr="00E66BDC">
        <w:rPr>
          <w:rFonts w:ascii="Times New Roman" w:hAnsi="Times New Roman" w:cs="Times New Roman"/>
          <w:sz w:val="24"/>
          <w:szCs w:val="24"/>
          <w:lang w:val="es-ES"/>
        </w:rPr>
        <w:t xml:space="preserve">, aumento de las hormonas y lípidos), estos resultados no </w:t>
      </w:r>
      <w:r w:rsidR="00CC60E5" w:rsidRPr="00E66BDC">
        <w:rPr>
          <w:rFonts w:ascii="Times New Roman" w:hAnsi="Times New Roman" w:cs="Times New Roman"/>
          <w:sz w:val="24"/>
          <w:szCs w:val="24"/>
          <w:lang w:val="es-ES"/>
        </w:rPr>
        <w:t>sustentan</w:t>
      </w:r>
      <w:r w:rsidRPr="00E66BDC">
        <w:rPr>
          <w:rFonts w:ascii="Times New Roman" w:hAnsi="Times New Roman" w:cs="Times New Roman"/>
          <w:sz w:val="24"/>
          <w:szCs w:val="24"/>
          <w:lang w:val="es-ES"/>
        </w:rPr>
        <w:t xml:space="preserve"> que la reducción de sodio </w:t>
      </w:r>
      <w:r w:rsidR="007B558A" w:rsidRPr="00E66BDC">
        <w:rPr>
          <w:rFonts w:ascii="Times New Roman" w:hAnsi="Times New Roman" w:cs="Times New Roman"/>
          <w:sz w:val="24"/>
          <w:szCs w:val="24"/>
          <w:lang w:val="es-ES"/>
        </w:rPr>
        <w:t>tenga</w:t>
      </w:r>
      <w:r w:rsidRPr="00E66BDC">
        <w:rPr>
          <w:rFonts w:ascii="Times New Roman" w:hAnsi="Times New Roman" w:cs="Times New Roman"/>
          <w:sz w:val="24"/>
          <w:szCs w:val="24"/>
          <w:lang w:val="es-ES"/>
        </w:rPr>
        <w:t xml:space="preserve"> efectos beneficiosos netos</w:t>
      </w:r>
      <w:r w:rsidR="00CC60E5" w:rsidRPr="00E66BDC">
        <w:rPr>
          <w:rFonts w:ascii="Times New Roman" w:hAnsi="Times New Roman" w:cs="Times New Roman"/>
          <w:sz w:val="24"/>
          <w:szCs w:val="24"/>
          <w:lang w:val="es-ES"/>
        </w:rPr>
        <w:t>,</w:t>
      </w:r>
      <w:r w:rsidRPr="00E66BDC">
        <w:rPr>
          <w:rFonts w:ascii="Times New Roman" w:hAnsi="Times New Roman" w:cs="Times New Roman"/>
          <w:sz w:val="24"/>
          <w:szCs w:val="24"/>
          <w:lang w:val="es-ES"/>
        </w:rPr>
        <w:t xml:space="preserve"> </w:t>
      </w:r>
      <w:r w:rsidR="00CB4EED" w:rsidRPr="00E66BDC">
        <w:rPr>
          <w:rFonts w:ascii="Times New Roman" w:hAnsi="Times New Roman" w:cs="Times New Roman"/>
          <w:sz w:val="24"/>
          <w:szCs w:val="24"/>
          <w:lang w:val="es-ES"/>
        </w:rPr>
        <w:t xml:space="preserve">por ejemplo, </w:t>
      </w:r>
      <w:r w:rsidRPr="00E66BDC">
        <w:rPr>
          <w:rFonts w:ascii="Times New Roman" w:hAnsi="Times New Roman" w:cs="Times New Roman"/>
          <w:sz w:val="24"/>
          <w:szCs w:val="24"/>
          <w:lang w:val="es-ES"/>
        </w:rPr>
        <w:t xml:space="preserve">en </w:t>
      </w:r>
      <w:r w:rsidR="007B558A" w:rsidRPr="00E66BDC">
        <w:rPr>
          <w:rFonts w:ascii="Times New Roman" w:hAnsi="Times New Roman" w:cs="Times New Roman"/>
          <w:sz w:val="24"/>
          <w:szCs w:val="24"/>
          <w:lang w:val="es-ES"/>
        </w:rPr>
        <w:t>caucásicos</w:t>
      </w:r>
      <w:r w:rsidRPr="00E66BDC">
        <w:rPr>
          <w:rFonts w:ascii="Times New Roman" w:hAnsi="Times New Roman" w:cs="Times New Roman"/>
          <w:sz w:val="24"/>
          <w:szCs w:val="24"/>
          <w:lang w:val="es-ES"/>
        </w:rPr>
        <w:t xml:space="preserve"> (</w:t>
      </w:r>
      <w:proofErr w:type="spellStart"/>
      <w:r w:rsidRPr="00E66BDC">
        <w:rPr>
          <w:rFonts w:ascii="Times New Roman" w:hAnsi="Times New Roman" w:cs="Times New Roman"/>
          <w:sz w:val="24"/>
          <w:szCs w:val="24"/>
        </w:rPr>
        <w:t>Graudal</w:t>
      </w:r>
      <w:proofErr w:type="spellEnd"/>
      <w:r w:rsidR="007049D0" w:rsidRPr="00E66BDC">
        <w:rPr>
          <w:rFonts w:ascii="Times New Roman" w:hAnsi="Times New Roman" w:cs="Times New Roman"/>
          <w:sz w:val="24"/>
          <w:szCs w:val="24"/>
        </w:rPr>
        <w:t>,</w:t>
      </w:r>
      <w:r w:rsidRPr="00E66BDC">
        <w:rPr>
          <w:rFonts w:ascii="Times New Roman" w:hAnsi="Times New Roman" w:cs="Times New Roman"/>
          <w:sz w:val="24"/>
          <w:szCs w:val="24"/>
        </w:rPr>
        <w:t xml:space="preserve"> N</w:t>
      </w:r>
      <w:r w:rsidR="007049D0" w:rsidRPr="00E66BDC">
        <w:rPr>
          <w:rFonts w:ascii="Times New Roman" w:hAnsi="Times New Roman" w:cs="Times New Roman"/>
          <w:sz w:val="24"/>
          <w:szCs w:val="24"/>
        </w:rPr>
        <w:t xml:space="preserve">. </w:t>
      </w:r>
      <w:r w:rsidRPr="00E66BDC">
        <w:rPr>
          <w:rFonts w:ascii="Times New Roman" w:hAnsi="Times New Roman" w:cs="Times New Roman"/>
          <w:sz w:val="24"/>
          <w:szCs w:val="24"/>
        </w:rPr>
        <w:t>A</w:t>
      </w:r>
      <w:r w:rsidR="007049D0" w:rsidRPr="00E66BDC">
        <w:rPr>
          <w:rFonts w:ascii="Times New Roman" w:hAnsi="Times New Roman" w:cs="Times New Roman"/>
          <w:sz w:val="24"/>
          <w:szCs w:val="24"/>
        </w:rPr>
        <w:t>.</w:t>
      </w:r>
      <w:r w:rsidRPr="00E66BDC">
        <w:rPr>
          <w:rFonts w:ascii="Times New Roman" w:hAnsi="Times New Roman" w:cs="Times New Roman"/>
          <w:sz w:val="24"/>
          <w:szCs w:val="24"/>
        </w:rPr>
        <w:t>,</w:t>
      </w:r>
      <w:r w:rsidR="007049D0" w:rsidRPr="00E66BDC">
        <w:rPr>
          <w:rFonts w:ascii="Times New Roman" w:hAnsi="Times New Roman" w:cs="Times New Roman"/>
          <w:sz w:val="24"/>
          <w:szCs w:val="24"/>
        </w:rPr>
        <w:t xml:space="preserve"> et al, 2012)</w:t>
      </w:r>
      <w:r w:rsidR="007B558A" w:rsidRPr="00E66BDC">
        <w:rPr>
          <w:rFonts w:ascii="Times New Roman" w:hAnsi="Times New Roman" w:cs="Times New Roman"/>
          <w:sz w:val="24"/>
          <w:szCs w:val="24"/>
        </w:rPr>
        <w:t>,</w:t>
      </w:r>
      <w:r w:rsidR="00CB4EED" w:rsidRPr="00E66BDC">
        <w:rPr>
          <w:rFonts w:ascii="Times New Roman" w:hAnsi="Times New Roman" w:cs="Times New Roman"/>
          <w:sz w:val="24"/>
          <w:szCs w:val="24"/>
          <w:lang w:val="es-ES"/>
        </w:rPr>
        <w:t xml:space="preserve"> adultos mayores</w:t>
      </w:r>
      <w:r w:rsidR="00CB4EED" w:rsidRPr="00E66BDC">
        <w:rPr>
          <w:rFonts w:ascii="Times New Roman" w:hAnsi="Times New Roman" w:cs="Times New Roman"/>
          <w:sz w:val="24"/>
          <w:szCs w:val="24"/>
        </w:rPr>
        <w:t xml:space="preserve"> (</w:t>
      </w:r>
      <w:proofErr w:type="spellStart"/>
      <w:r w:rsidR="00CB4EED" w:rsidRPr="00E66BDC">
        <w:rPr>
          <w:rFonts w:ascii="Times New Roman" w:hAnsi="Times New Roman" w:cs="Times New Roman"/>
          <w:sz w:val="24"/>
          <w:szCs w:val="24"/>
        </w:rPr>
        <w:t>Kalogeropoulos</w:t>
      </w:r>
      <w:proofErr w:type="spellEnd"/>
      <w:r w:rsidR="00CB4EED" w:rsidRPr="00E66BDC">
        <w:rPr>
          <w:rFonts w:ascii="Times New Roman" w:hAnsi="Times New Roman" w:cs="Times New Roman"/>
          <w:sz w:val="24"/>
          <w:szCs w:val="24"/>
        </w:rPr>
        <w:t>, A. P, 2015)</w:t>
      </w:r>
      <w:r w:rsidR="00CC60E5" w:rsidRPr="00E66BDC">
        <w:rPr>
          <w:rFonts w:ascii="Times New Roman" w:hAnsi="Times New Roman" w:cs="Times New Roman"/>
          <w:sz w:val="24"/>
          <w:szCs w:val="24"/>
        </w:rPr>
        <w:t xml:space="preserve"> o en pacientes diabéticos (Thomas M</w:t>
      </w:r>
      <w:r w:rsidR="00DC73F2" w:rsidRPr="00E66BDC">
        <w:rPr>
          <w:rFonts w:ascii="Times New Roman" w:hAnsi="Times New Roman" w:cs="Times New Roman"/>
          <w:sz w:val="24"/>
          <w:szCs w:val="24"/>
        </w:rPr>
        <w:t>.</w:t>
      </w:r>
      <w:r w:rsidR="00CC60E5" w:rsidRPr="00E66BDC">
        <w:rPr>
          <w:rFonts w:ascii="Times New Roman" w:hAnsi="Times New Roman" w:cs="Times New Roman"/>
          <w:sz w:val="24"/>
          <w:szCs w:val="24"/>
        </w:rPr>
        <w:t>C</w:t>
      </w:r>
      <w:r w:rsidR="00DC73F2" w:rsidRPr="00E66BDC">
        <w:rPr>
          <w:rFonts w:ascii="Times New Roman" w:hAnsi="Times New Roman" w:cs="Times New Roman"/>
          <w:sz w:val="24"/>
          <w:szCs w:val="24"/>
        </w:rPr>
        <w:t>.</w:t>
      </w:r>
      <w:r w:rsidR="00CC60E5" w:rsidRPr="00E66BDC">
        <w:rPr>
          <w:rFonts w:ascii="Times New Roman" w:hAnsi="Times New Roman" w:cs="Times New Roman"/>
          <w:sz w:val="24"/>
          <w:szCs w:val="24"/>
        </w:rPr>
        <w:t>, 2011)</w:t>
      </w:r>
      <w:r w:rsidR="00CB4EED" w:rsidRPr="00E66BDC">
        <w:rPr>
          <w:rFonts w:ascii="Times New Roman" w:hAnsi="Times New Roman" w:cs="Times New Roman"/>
          <w:sz w:val="24"/>
          <w:szCs w:val="24"/>
        </w:rPr>
        <w:t xml:space="preserve">, quienes tal vez no requieran una </w:t>
      </w:r>
      <w:r w:rsidR="00C41CFD" w:rsidRPr="00E66BDC">
        <w:rPr>
          <w:rFonts w:ascii="Times New Roman" w:hAnsi="Times New Roman" w:cs="Times New Roman"/>
          <w:sz w:val="24"/>
          <w:szCs w:val="24"/>
          <w:lang w:val="es-ES"/>
        </w:rPr>
        <w:t xml:space="preserve">restricción de sodio </w:t>
      </w:r>
      <w:r w:rsidR="00CB4EED" w:rsidRPr="00E66BDC">
        <w:rPr>
          <w:rFonts w:ascii="Times New Roman" w:hAnsi="Times New Roman" w:cs="Times New Roman"/>
          <w:sz w:val="24"/>
          <w:szCs w:val="24"/>
          <w:lang w:val="es-ES"/>
        </w:rPr>
        <w:t>mayor a</w:t>
      </w:r>
      <w:r w:rsidR="00C41CFD" w:rsidRPr="00E66BDC">
        <w:rPr>
          <w:rFonts w:ascii="Times New Roman" w:hAnsi="Times New Roman" w:cs="Times New Roman"/>
          <w:sz w:val="24"/>
          <w:szCs w:val="24"/>
          <w:lang w:val="es-ES"/>
        </w:rPr>
        <w:t xml:space="preserve"> la recomendación actual para l</w:t>
      </w:r>
      <w:r w:rsidR="007049D0" w:rsidRPr="00E66BDC">
        <w:rPr>
          <w:rFonts w:ascii="Times New Roman" w:hAnsi="Times New Roman" w:cs="Times New Roman"/>
          <w:sz w:val="24"/>
          <w:szCs w:val="24"/>
          <w:lang w:val="es-ES"/>
        </w:rPr>
        <w:t>a pobl</w:t>
      </w:r>
      <w:r w:rsidR="00BA0137" w:rsidRPr="00E66BDC">
        <w:rPr>
          <w:rFonts w:ascii="Times New Roman" w:hAnsi="Times New Roman" w:cs="Times New Roman"/>
          <w:sz w:val="24"/>
          <w:szCs w:val="24"/>
          <w:lang w:val="es-ES"/>
        </w:rPr>
        <w:t>ación adulta en general</w:t>
      </w:r>
      <w:r w:rsidR="00CB4EED" w:rsidRPr="00E66BDC">
        <w:rPr>
          <w:rFonts w:ascii="Times New Roman" w:hAnsi="Times New Roman" w:cs="Times New Roman"/>
          <w:sz w:val="24"/>
          <w:szCs w:val="24"/>
          <w:lang w:val="es-ES"/>
        </w:rPr>
        <w:t xml:space="preserve">. </w:t>
      </w:r>
    </w:p>
    <w:p w:rsidR="006776D4" w:rsidRPr="00E66BDC" w:rsidRDefault="006776D4" w:rsidP="00E66BDC">
      <w:pPr>
        <w:spacing w:line="360" w:lineRule="auto"/>
        <w:jc w:val="both"/>
        <w:rPr>
          <w:rFonts w:ascii="Times New Roman" w:hAnsi="Times New Roman" w:cs="Times New Roman"/>
          <w:sz w:val="24"/>
          <w:szCs w:val="24"/>
          <w:lang w:val="es-ES"/>
        </w:rPr>
      </w:pPr>
      <w:r w:rsidRPr="00E66BDC">
        <w:rPr>
          <w:rFonts w:ascii="Times New Roman" w:hAnsi="Times New Roman" w:cs="Times New Roman"/>
          <w:sz w:val="24"/>
          <w:szCs w:val="24"/>
          <w:lang w:val="es-ES"/>
        </w:rPr>
        <w:t xml:space="preserve">En el caso de </w:t>
      </w:r>
      <w:r w:rsidR="00540FB1" w:rsidRPr="00E66BDC">
        <w:rPr>
          <w:rFonts w:ascii="Times New Roman" w:hAnsi="Times New Roman" w:cs="Times New Roman"/>
          <w:sz w:val="24"/>
          <w:szCs w:val="24"/>
          <w:lang w:val="es-ES"/>
        </w:rPr>
        <w:t xml:space="preserve">la </w:t>
      </w:r>
      <w:r w:rsidRPr="00E66BDC">
        <w:rPr>
          <w:rFonts w:ascii="Times New Roman" w:hAnsi="Times New Roman" w:cs="Times New Roman"/>
          <w:sz w:val="24"/>
          <w:szCs w:val="24"/>
          <w:lang w:val="es-ES"/>
        </w:rPr>
        <w:t xml:space="preserve">insuficiencia cardíaca, la restricción de </w:t>
      </w:r>
      <w:proofErr w:type="spellStart"/>
      <w:r w:rsidR="007B558A" w:rsidRPr="00E66BDC">
        <w:rPr>
          <w:rFonts w:ascii="Times New Roman" w:hAnsi="Times New Roman" w:cs="Times New Roman"/>
          <w:sz w:val="24"/>
          <w:szCs w:val="24"/>
          <w:lang w:val="es-ES"/>
        </w:rPr>
        <w:t>Na</w:t>
      </w:r>
      <w:proofErr w:type="spellEnd"/>
      <w:r w:rsidRPr="00E66BDC">
        <w:rPr>
          <w:rFonts w:ascii="Times New Roman" w:hAnsi="Times New Roman" w:cs="Times New Roman"/>
          <w:sz w:val="24"/>
          <w:szCs w:val="24"/>
          <w:lang w:val="es-ES"/>
        </w:rPr>
        <w:t xml:space="preserve"> es una medida estándar en el tratamiento</w:t>
      </w:r>
      <w:r w:rsidR="00DC73F2" w:rsidRPr="00E66BDC">
        <w:rPr>
          <w:rFonts w:ascii="Times New Roman" w:hAnsi="Times New Roman" w:cs="Times New Roman"/>
          <w:sz w:val="24"/>
          <w:szCs w:val="24"/>
          <w:lang w:val="es-ES"/>
        </w:rPr>
        <w:t>.</w:t>
      </w:r>
      <w:r w:rsidRPr="00E66BDC">
        <w:rPr>
          <w:rFonts w:ascii="Times New Roman" w:hAnsi="Times New Roman" w:cs="Times New Roman"/>
          <w:sz w:val="24"/>
          <w:szCs w:val="24"/>
          <w:lang w:val="es-ES"/>
        </w:rPr>
        <w:t xml:space="preserve"> </w:t>
      </w:r>
      <w:r w:rsidR="0070370C" w:rsidRPr="00E66BDC">
        <w:rPr>
          <w:rFonts w:ascii="Times New Roman" w:hAnsi="Times New Roman" w:cs="Times New Roman"/>
          <w:sz w:val="24"/>
          <w:szCs w:val="24"/>
          <w:lang w:val="es-ES"/>
        </w:rPr>
        <w:t>No obstante, muchos</w:t>
      </w:r>
      <w:r w:rsidRPr="00E66BDC">
        <w:rPr>
          <w:rFonts w:ascii="Times New Roman" w:hAnsi="Times New Roman" w:cs="Times New Roman"/>
          <w:sz w:val="24"/>
          <w:szCs w:val="24"/>
          <w:lang w:val="es-ES"/>
        </w:rPr>
        <w:t xml:space="preserve"> </w:t>
      </w:r>
      <w:r w:rsidR="0070370C" w:rsidRPr="00E66BDC">
        <w:rPr>
          <w:rFonts w:ascii="Times New Roman" w:hAnsi="Times New Roman" w:cs="Times New Roman"/>
          <w:sz w:val="24"/>
          <w:szCs w:val="24"/>
          <w:lang w:val="es-ES"/>
        </w:rPr>
        <w:t xml:space="preserve">profesionales de la salud </w:t>
      </w:r>
      <w:r w:rsidRPr="00E66BDC">
        <w:rPr>
          <w:rFonts w:ascii="Times New Roman" w:hAnsi="Times New Roman" w:cs="Times New Roman"/>
          <w:sz w:val="24"/>
          <w:szCs w:val="24"/>
          <w:lang w:val="es-ES"/>
        </w:rPr>
        <w:t xml:space="preserve">no </w:t>
      </w:r>
      <w:r w:rsidR="003A5B17" w:rsidRPr="00E66BDC">
        <w:rPr>
          <w:rFonts w:ascii="Times New Roman" w:hAnsi="Times New Roman" w:cs="Times New Roman"/>
          <w:sz w:val="24"/>
          <w:szCs w:val="24"/>
          <w:lang w:val="es-ES"/>
        </w:rPr>
        <w:t>están informados</w:t>
      </w:r>
      <w:r w:rsidR="00DC73F2" w:rsidRPr="00E66BDC">
        <w:rPr>
          <w:rFonts w:ascii="Times New Roman" w:hAnsi="Times New Roman" w:cs="Times New Roman"/>
          <w:sz w:val="24"/>
          <w:szCs w:val="24"/>
          <w:lang w:val="es-ES"/>
        </w:rPr>
        <w:t xml:space="preserve"> sobre</w:t>
      </w:r>
      <w:r w:rsidR="0070370C" w:rsidRPr="00E66BDC">
        <w:rPr>
          <w:rFonts w:ascii="Times New Roman" w:hAnsi="Times New Roman" w:cs="Times New Roman"/>
          <w:sz w:val="24"/>
          <w:szCs w:val="24"/>
          <w:lang w:val="es-ES"/>
        </w:rPr>
        <w:t xml:space="preserve"> </w:t>
      </w:r>
      <w:r w:rsidR="00DC73F2" w:rsidRPr="00E66BDC">
        <w:rPr>
          <w:rFonts w:ascii="Times New Roman" w:hAnsi="Times New Roman" w:cs="Times New Roman"/>
          <w:sz w:val="24"/>
          <w:szCs w:val="24"/>
          <w:lang w:val="es-ES"/>
        </w:rPr>
        <w:t>la</w:t>
      </w:r>
      <w:r w:rsidRPr="00E66BDC">
        <w:rPr>
          <w:rFonts w:ascii="Times New Roman" w:hAnsi="Times New Roman" w:cs="Times New Roman"/>
          <w:sz w:val="24"/>
          <w:szCs w:val="24"/>
          <w:lang w:val="es-ES"/>
        </w:rPr>
        <w:t xml:space="preserve"> controversia </w:t>
      </w:r>
      <w:r w:rsidR="00DC73F2" w:rsidRPr="00E66BDC">
        <w:rPr>
          <w:rFonts w:ascii="Times New Roman" w:hAnsi="Times New Roman" w:cs="Times New Roman"/>
          <w:sz w:val="24"/>
          <w:szCs w:val="24"/>
          <w:lang w:val="es-ES"/>
        </w:rPr>
        <w:t>acerca d</w:t>
      </w:r>
      <w:r w:rsidRPr="00E66BDC">
        <w:rPr>
          <w:rFonts w:ascii="Times New Roman" w:hAnsi="Times New Roman" w:cs="Times New Roman"/>
          <w:sz w:val="24"/>
          <w:szCs w:val="24"/>
          <w:lang w:val="es-ES"/>
        </w:rPr>
        <w:t>el grado de</w:t>
      </w:r>
      <w:r w:rsidR="0070370C" w:rsidRPr="00E66BDC">
        <w:rPr>
          <w:rFonts w:ascii="Times New Roman" w:hAnsi="Times New Roman" w:cs="Times New Roman"/>
          <w:sz w:val="24"/>
          <w:szCs w:val="24"/>
          <w:lang w:val="es-ES"/>
        </w:rPr>
        <w:t xml:space="preserve"> restricción de la </w:t>
      </w:r>
      <w:r w:rsidRPr="00E66BDC">
        <w:rPr>
          <w:rFonts w:ascii="Times New Roman" w:hAnsi="Times New Roman" w:cs="Times New Roman"/>
          <w:sz w:val="24"/>
          <w:szCs w:val="24"/>
          <w:lang w:val="es-ES"/>
        </w:rPr>
        <w:t>ingesta de sodio</w:t>
      </w:r>
      <w:r w:rsidR="00DC73F2" w:rsidRPr="00E66BDC">
        <w:rPr>
          <w:rFonts w:ascii="Times New Roman" w:hAnsi="Times New Roman" w:cs="Times New Roman"/>
          <w:sz w:val="24"/>
          <w:szCs w:val="24"/>
          <w:lang w:val="es-ES"/>
        </w:rPr>
        <w:t>,</w:t>
      </w:r>
      <w:r w:rsidR="0070370C" w:rsidRPr="00E66BDC">
        <w:rPr>
          <w:rFonts w:ascii="Times New Roman" w:hAnsi="Times New Roman" w:cs="Times New Roman"/>
          <w:sz w:val="24"/>
          <w:szCs w:val="24"/>
          <w:lang w:val="es-ES"/>
        </w:rPr>
        <w:t xml:space="preserve"> </w:t>
      </w:r>
      <w:r w:rsidR="00CC60E5" w:rsidRPr="00E66BDC">
        <w:rPr>
          <w:rFonts w:ascii="Times New Roman" w:hAnsi="Times New Roman" w:cs="Times New Roman"/>
          <w:sz w:val="24"/>
          <w:szCs w:val="24"/>
          <w:lang w:val="es-ES"/>
        </w:rPr>
        <w:t>dado que una restricción severa puede</w:t>
      </w:r>
      <w:r w:rsidR="0070370C" w:rsidRPr="00E66BDC">
        <w:rPr>
          <w:rFonts w:ascii="Times New Roman" w:hAnsi="Times New Roman" w:cs="Times New Roman"/>
          <w:sz w:val="24"/>
          <w:szCs w:val="24"/>
          <w:lang w:val="es-ES"/>
        </w:rPr>
        <w:t xml:space="preserve"> conducir </w:t>
      </w:r>
      <w:r w:rsidR="00DC73F2" w:rsidRPr="00E66BDC">
        <w:rPr>
          <w:rFonts w:ascii="Times New Roman" w:hAnsi="Times New Roman" w:cs="Times New Roman"/>
          <w:sz w:val="24"/>
          <w:szCs w:val="24"/>
          <w:lang w:val="es-ES"/>
        </w:rPr>
        <w:t xml:space="preserve">a </w:t>
      </w:r>
      <w:r w:rsidR="00CC60E5" w:rsidRPr="00E66BDC">
        <w:rPr>
          <w:rFonts w:ascii="Times New Roman" w:hAnsi="Times New Roman" w:cs="Times New Roman"/>
          <w:sz w:val="24"/>
          <w:szCs w:val="24"/>
          <w:lang w:val="es-ES"/>
        </w:rPr>
        <w:t>peores pronósticos</w:t>
      </w:r>
      <w:r w:rsidR="0070370C" w:rsidRPr="00E66BDC">
        <w:rPr>
          <w:rFonts w:ascii="Times New Roman" w:hAnsi="Times New Roman" w:cs="Times New Roman"/>
          <w:sz w:val="24"/>
          <w:szCs w:val="24"/>
          <w:lang w:val="es-ES"/>
        </w:rPr>
        <w:t xml:space="preserve"> </w:t>
      </w:r>
      <w:r w:rsidR="0070370C" w:rsidRPr="00E66BDC">
        <w:rPr>
          <w:rFonts w:ascii="Times New Roman" w:hAnsi="Times New Roman" w:cs="Times New Roman"/>
          <w:sz w:val="24"/>
          <w:szCs w:val="24"/>
        </w:rPr>
        <w:t>(</w:t>
      </w:r>
      <w:proofErr w:type="spellStart"/>
      <w:r w:rsidR="0070370C" w:rsidRPr="00E66BDC">
        <w:rPr>
          <w:rFonts w:ascii="Times New Roman" w:hAnsi="Times New Roman" w:cs="Times New Roman"/>
          <w:sz w:val="24"/>
          <w:szCs w:val="24"/>
        </w:rPr>
        <w:t>Weiss</w:t>
      </w:r>
      <w:proofErr w:type="spellEnd"/>
      <w:r w:rsidR="002D226A" w:rsidRPr="00E66BDC">
        <w:rPr>
          <w:rFonts w:ascii="Times New Roman" w:hAnsi="Times New Roman" w:cs="Times New Roman"/>
          <w:sz w:val="24"/>
          <w:szCs w:val="24"/>
        </w:rPr>
        <w:t>,</w:t>
      </w:r>
      <w:r w:rsidR="0070370C" w:rsidRPr="00E66BDC">
        <w:rPr>
          <w:rFonts w:ascii="Times New Roman" w:hAnsi="Times New Roman" w:cs="Times New Roman"/>
          <w:sz w:val="24"/>
          <w:szCs w:val="24"/>
        </w:rPr>
        <w:t xml:space="preserve"> B</w:t>
      </w:r>
      <w:r w:rsidR="002D226A" w:rsidRPr="00E66BDC">
        <w:rPr>
          <w:rFonts w:ascii="Times New Roman" w:hAnsi="Times New Roman" w:cs="Times New Roman"/>
          <w:sz w:val="24"/>
          <w:szCs w:val="24"/>
        </w:rPr>
        <w:t xml:space="preserve">. </w:t>
      </w:r>
      <w:r w:rsidR="0070370C" w:rsidRPr="00E66BDC">
        <w:rPr>
          <w:rFonts w:ascii="Times New Roman" w:hAnsi="Times New Roman" w:cs="Times New Roman"/>
          <w:sz w:val="24"/>
          <w:szCs w:val="24"/>
        </w:rPr>
        <w:t>D.</w:t>
      </w:r>
      <w:r w:rsidR="002D226A" w:rsidRPr="00E66BDC">
        <w:rPr>
          <w:rFonts w:ascii="Times New Roman" w:hAnsi="Times New Roman" w:cs="Times New Roman"/>
          <w:sz w:val="24"/>
          <w:szCs w:val="24"/>
        </w:rPr>
        <w:t>,</w:t>
      </w:r>
      <w:r w:rsidR="0070370C" w:rsidRPr="00E66BDC">
        <w:rPr>
          <w:rFonts w:ascii="Times New Roman" w:hAnsi="Times New Roman" w:cs="Times New Roman"/>
          <w:sz w:val="24"/>
          <w:szCs w:val="24"/>
        </w:rPr>
        <w:t xml:space="preserve"> </w:t>
      </w:r>
      <w:r w:rsidR="002D226A" w:rsidRPr="00E66BDC">
        <w:rPr>
          <w:rFonts w:ascii="Times New Roman" w:hAnsi="Times New Roman" w:cs="Times New Roman"/>
          <w:sz w:val="24"/>
          <w:szCs w:val="24"/>
          <w:lang w:val="es-ES"/>
        </w:rPr>
        <w:t>2014)</w:t>
      </w:r>
      <w:r w:rsidR="00DC73F2" w:rsidRPr="00E66BDC">
        <w:rPr>
          <w:rFonts w:ascii="Times New Roman" w:hAnsi="Times New Roman" w:cs="Times New Roman"/>
          <w:sz w:val="24"/>
          <w:szCs w:val="24"/>
          <w:lang w:val="es-ES"/>
        </w:rPr>
        <w:t>.</w:t>
      </w:r>
    </w:p>
    <w:p w:rsidR="003A5B17" w:rsidRPr="00E66BDC" w:rsidRDefault="0078383F" w:rsidP="00E66BDC">
      <w:pPr>
        <w:spacing w:line="360" w:lineRule="auto"/>
        <w:jc w:val="both"/>
        <w:rPr>
          <w:rFonts w:ascii="Times New Roman" w:hAnsi="Times New Roman" w:cs="Times New Roman"/>
          <w:sz w:val="24"/>
          <w:szCs w:val="24"/>
          <w:lang w:val="es-ES"/>
        </w:rPr>
      </w:pPr>
      <w:r w:rsidRPr="00E66BDC">
        <w:rPr>
          <w:rFonts w:ascii="Times New Roman" w:hAnsi="Times New Roman" w:cs="Times New Roman"/>
          <w:sz w:val="24"/>
          <w:szCs w:val="24"/>
          <w:lang w:val="es-ES"/>
        </w:rPr>
        <w:t>A</w:t>
      </w:r>
      <w:r w:rsidR="007C347C" w:rsidRPr="00E66BDC">
        <w:rPr>
          <w:rFonts w:ascii="Times New Roman" w:hAnsi="Times New Roman" w:cs="Times New Roman"/>
          <w:sz w:val="24"/>
          <w:szCs w:val="24"/>
          <w:lang w:val="es-ES"/>
        </w:rPr>
        <w:t xml:space="preserve">lgunos </w:t>
      </w:r>
      <w:r w:rsidRPr="00E66BDC">
        <w:rPr>
          <w:rFonts w:ascii="Times New Roman" w:hAnsi="Times New Roman" w:cs="Times New Roman"/>
          <w:sz w:val="24"/>
          <w:szCs w:val="24"/>
          <w:lang w:val="es-ES"/>
        </w:rPr>
        <w:t xml:space="preserve">investigadores </w:t>
      </w:r>
      <w:r w:rsidR="007C347C" w:rsidRPr="00E66BDC">
        <w:rPr>
          <w:rFonts w:ascii="Times New Roman" w:hAnsi="Times New Roman" w:cs="Times New Roman"/>
          <w:sz w:val="24"/>
          <w:szCs w:val="24"/>
        </w:rPr>
        <w:t>(</w:t>
      </w:r>
      <w:proofErr w:type="spellStart"/>
      <w:r w:rsidR="007C347C" w:rsidRPr="00E66BDC">
        <w:rPr>
          <w:rFonts w:ascii="Times New Roman" w:hAnsi="Times New Roman" w:cs="Times New Roman"/>
          <w:sz w:val="24"/>
          <w:szCs w:val="24"/>
        </w:rPr>
        <w:t>Penner</w:t>
      </w:r>
      <w:proofErr w:type="spellEnd"/>
      <w:r w:rsidR="007C347C" w:rsidRPr="00E66BDC">
        <w:rPr>
          <w:rFonts w:ascii="Times New Roman" w:hAnsi="Times New Roman" w:cs="Times New Roman"/>
          <w:sz w:val="24"/>
          <w:szCs w:val="24"/>
        </w:rPr>
        <w:t xml:space="preserve">, S. B. et al, 2007 </w:t>
      </w:r>
      <w:r w:rsidR="00F5446E" w:rsidRPr="00E66BDC">
        <w:rPr>
          <w:rFonts w:ascii="Times New Roman" w:hAnsi="Times New Roman" w:cs="Times New Roman"/>
          <w:sz w:val="24"/>
          <w:szCs w:val="24"/>
        </w:rPr>
        <w:t>y</w:t>
      </w:r>
      <w:r w:rsidR="007C347C" w:rsidRPr="00E66BDC">
        <w:rPr>
          <w:rFonts w:ascii="Times New Roman" w:hAnsi="Times New Roman" w:cs="Times New Roman"/>
          <w:sz w:val="24"/>
          <w:szCs w:val="24"/>
        </w:rPr>
        <w:t xml:space="preserve"> </w:t>
      </w:r>
      <w:proofErr w:type="spellStart"/>
      <w:r w:rsidR="007C347C" w:rsidRPr="00E66BDC">
        <w:rPr>
          <w:rFonts w:ascii="Times New Roman" w:hAnsi="Times New Roman" w:cs="Times New Roman"/>
          <w:iCs/>
          <w:sz w:val="24"/>
          <w:szCs w:val="24"/>
        </w:rPr>
        <w:t>Farquhar</w:t>
      </w:r>
      <w:proofErr w:type="spellEnd"/>
      <w:r w:rsidR="007C347C" w:rsidRPr="00E66BDC">
        <w:rPr>
          <w:rFonts w:ascii="Times New Roman" w:hAnsi="Times New Roman" w:cs="Times New Roman"/>
          <w:iCs/>
          <w:sz w:val="24"/>
          <w:szCs w:val="24"/>
        </w:rPr>
        <w:t xml:space="preserve">, W. B. et al, 2015), </w:t>
      </w:r>
      <w:r w:rsidRPr="00E66BDC">
        <w:rPr>
          <w:rFonts w:ascii="Times New Roman" w:hAnsi="Times New Roman" w:cs="Times New Roman"/>
          <w:sz w:val="24"/>
          <w:szCs w:val="24"/>
          <w:lang w:val="es-ES"/>
        </w:rPr>
        <w:t>han manifestado que estos estudios pu</w:t>
      </w:r>
      <w:r w:rsidR="00F5446E" w:rsidRPr="00E66BDC">
        <w:rPr>
          <w:rFonts w:ascii="Times New Roman" w:hAnsi="Times New Roman" w:cs="Times New Roman"/>
          <w:sz w:val="24"/>
          <w:szCs w:val="24"/>
          <w:lang w:val="es-ES"/>
        </w:rPr>
        <w:t>eden</w:t>
      </w:r>
      <w:r w:rsidRPr="00E66BDC">
        <w:rPr>
          <w:rFonts w:ascii="Times New Roman" w:hAnsi="Times New Roman" w:cs="Times New Roman"/>
          <w:sz w:val="24"/>
          <w:szCs w:val="24"/>
          <w:lang w:val="es-ES"/>
        </w:rPr>
        <w:t xml:space="preserve"> tener deficiencias metodológicas</w:t>
      </w:r>
      <w:r w:rsidR="003A5B17" w:rsidRPr="00E66BDC">
        <w:rPr>
          <w:rFonts w:ascii="Times New Roman" w:hAnsi="Times New Roman" w:cs="Times New Roman"/>
          <w:sz w:val="24"/>
          <w:szCs w:val="24"/>
          <w:lang w:val="es-ES"/>
        </w:rPr>
        <w:t>.</w:t>
      </w:r>
    </w:p>
    <w:p w:rsidR="007C347C" w:rsidRPr="00E66BDC" w:rsidRDefault="003A5B17" w:rsidP="00E66BDC">
      <w:pPr>
        <w:spacing w:line="360" w:lineRule="auto"/>
        <w:jc w:val="both"/>
        <w:rPr>
          <w:rFonts w:ascii="Times New Roman" w:hAnsi="Times New Roman" w:cs="Times New Roman"/>
          <w:iCs/>
          <w:sz w:val="24"/>
          <w:szCs w:val="24"/>
        </w:rPr>
      </w:pPr>
      <w:r w:rsidRPr="00E66BDC">
        <w:rPr>
          <w:rFonts w:ascii="Times New Roman" w:hAnsi="Times New Roman" w:cs="Times New Roman"/>
          <w:sz w:val="24"/>
          <w:szCs w:val="24"/>
          <w:lang w:val="es-ES"/>
        </w:rPr>
        <w:t>Por su parte</w:t>
      </w:r>
      <w:r w:rsidR="00F5446E" w:rsidRPr="00E66BDC">
        <w:rPr>
          <w:rFonts w:ascii="Times New Roman" w:hAnsi="Times New Roman" w:cs="Times New Roman"/>
          <w:sz w:val="24"/>
          <w:szCs w:val="24"/>
          <w:lang w:val="es-ES"/>
        </w:rPr>
        <w:t>,</w:t>
      </w:r>
      <w:r w:rsidRPr="00E66BDC">
        <w:rPr>
          <w:rFonts w:ascii="Times New Roman" w:hAnsi="Times New Roman" w:cs="Times New Roman"/>
          <w:sz w:val="24"/>
          <w:szCs w:val="24"/>
          <w:lang w:val="es-ES"/>
        </w:rPr>
        <w:t xml:space="preserve"> </w:t>
      </w:r>
      <w:r w:rsidRPr="00E66BDC">
        <w:rPr>
          <w:rFonts w:ascii="Times New Roman" w:hAnsi="Times New Roman" w:cs="Times New Roman"/>
          <w:iCs/>
          <w:sz w:val="24"/>
          <w:szCs w:val="24"/>
        </w:rPr>
        <w:t>Wang C</w:t>
      </w:r>
      <w:r w:rsidR="00F5446E" w:rsidRPr="00E66BDC">
        <w:rPr>
          <w:rFonts w:ascii="Times New Roman" w:hAnsi="Times New Roman" w:cs="Times New Roman"/>
          <w:iCs/>
          <w:sz w:val="24"/>
          <w:szCs w:val="24"/>
        </w:rPr>
        <w:t>.</w:t>
      </w:r>
      <w:r w:rsidRPr="00E66BDC">
        <w:rPr>
          <w:rFonts w:ascii="Times New Roman" w:hAnsi="Times New Roman" w:cs="Times New Roman"/>
          <w:iCs/>
          <w:sz w:val="24"/>
          <w:szCs w:val="24"/>
        </w:rPr>
        <w:t>Y</w:t>
      </w:r>
      <w:r w:rsidR="00F5446E" w:rsidRPr="00E66BDC">
        <w:rPr>
          <w:rFonts w:ascii="Times New Roman" w:hAnsi="Times New Roman" w:cs="Times New Roman"/>
          <w:iCs/>
          <w:sz w:val="24"/>
          <w:szCs w:val="24"/>
        </w:rPr>
        <w:t>.</w:t>
      </w:r>
      <w:r w:rsidRPr="00E66BDC">
        <w:rPr>
          <w:rFonts w:ascii="Times New Roman" w:hAnsi="Times New Roman" w:cs="Times New Roman"/>
          <w:iCs/>
          <w:sz w:val="24"/>
          <w:szCs w:val="24"/>
        </w:rPr>
        <w:t xml:space="preserve"> et al., 2015 </w:t>
      </w:r>
      <w:r w:rsidR="00F5446E" w:rsidRPr="00E66BDC">
        <w:rPr>
          <w:rFonts w:ascii="Times New Roman" w:hAnsi="Times New Roman" w:cs="Times New Roman"/>
          <w:iCs/>
          <w:sz w:val="24"/>
          <w:szCs w:val="24"/>
        </w:rPr>
        <w:t>y</w:t>
      </w:r>
      <w:r w:rsidRPr="00E66BDC">
        <w:rPr>
          <w:rFonts w:ascii="Times New Roman" w:hAnsi="Times New Roman" w:cs="Times New Roman"/>
          <w:iCs/>
          <w:sz w:val="24"/>
          <w:szCs w:val="24"/>
        </w:rPr>
        <w:t xml:space="preserve"> </w:t>
      </w:r>
      <w:proofErr w:type="spellStart"/>
      <w:r w:rsidRPr="00E66BDC">
        <w:rPr>
          <w:rFonts w:ascii="Times New Roman" w:hAnsi="Times New Roman" w:cs="Times New Roman"/>
          <w:iCs/>
          <w:sz w:val="24"/>
          <w:szCs w:val="24"/>
        </w:rPr>
        <w:t>Huang</w:t>
      </w:r>
      <w:proofErr w:type="spellEnd"/>
      <w:r w:rsidRPr="00E66BDC">
        <w:rPr>
          <w:rFonts w:ascii="Times New Roman" w:hAnsi="Times New Roman" w:cs="Times New Roman"/>
          <w:iCs/>
          <w:sz w:val="24"/>
          <w:szCs w:val="24"/>
        </w:rPr>
        <w:t xml:space="preserve">, L. et al. 2015, </w:t>
      </w:r>
      <w:r w:rsidRPr="00E66BDC">
        <w:rPr>
          <w:rFonts w:ascii="Times New Roman" w:hAnsi="Times New Roman" w:cs="Times New Roman"/>
          <w:sz w:val="24"/>
          <w:szCs w:val="24"/>
          <w:lang w:val="es-ES"/>
        </w:rPr>
        <w:t xml:space="preserve">muestran que </w:t>
      </w:r>
      <w:r w:rsidR="0078383F" w:rsidRPr="00E66BDC">
        <w:rPr>
          <w:rFonts w:ascii="Times New Roman" w:hAnsi="Times New Roman" w:cs="Times New Roman"/>
          <w:iCs/>
          <w:sz w:val="24"/>
          <w:szCs w:val="24"/>
        </w:rPr>
        <w:t xml:space="preserve">estudios que emplean </w:t>
      </w:r>
      <w:r w:rsidR="00557124" w:rsidRPr="00E66BDC">
        <w:rPr>
          <w:rFonts w:ascii="Times New Roman" w:hAnsi="Times New Roman" w:cs="Times New Roman"/>
          <w:iCs/>
          <w:sz w:val="24"/>
          <w:szCs w:val="24"/>
        </w:rPr>
        <w:t>s</w:t>
      </w:r>
      <w:r w:rsidR="00F5446E" w:rsidRPr="00E66BDC">
        <w:rPr>
          <w:rFonts w:ascii="Times New Roman" w:hAnsi="Times New Roman" w:cs="Times New Roman"/>
          <w:iCs/>
          <w:sz w:val="24"/>
          <w:szCs w:val="24"/>
        </w:rPr>
        <w:t>o</w:t>
      </w:r>
      <w:r w:rsidR="00557124" w:rsidRPr="00E66BDC">
        <w:rPr>
          <w:rFonts w:ascii="Times New Roman" w:hAnsi="Times New Roman" w:cs="Times New Roman"/>
          <w:iCs/>
          <w:sz w:val="24"/>
          <w:szCs w:val="24"/>
        </w:rPr>
        <w:t xml:space="preserve">lo una muestra de </w:t>
      </w:r>
      <w:r w:rsidRPr="00E66BDC">
        <w:rPr>
          <w:rFonts w:ascii="Times New Roman" w:hAnsi="Times New Roman" w:cs="Times New Roman"/>
          <w:iCs/>
          <w:sz w:val="24"/>
          <w:szCs w:val="24"/>
        </w:rPr>
        <w:t xml:space="preserve">orina </w:t>
      </w:r>
      <w:proofErr w:type="spellStart"/>
      <w:r w:rsidRPr="00E66BDC">
        <w:rPr>
          <w:rFonts w:ascii="Times New Roman" w:hAnsi="Times New Roman" w:cs="Times New Roman"/>
          <w:iCs/>
          <w:sz w:val="24"/>
          <w:szCs w:val="24"/>
        </w:rPr>
        <w:t>UNaE</w:t>
      </w:r>
      <w:proofErr w:type="spellEnd"/>
      <w:r w:rsidRPr="00E66BDC">
        <w:rPr>
          <w:rFonts w:ascii="Times New Roman" w:hAnsi="Times New Roman" w:cs="Times New Roman"/>
          <w:iCs/>
          <w:sz w:val="24"/>
          <w:szCs w:val="24"/>
        </w:rPr>
        <w:t xml:space="preserve"> 24 </w:t>
      </w:r>
      <w:proofErr w:type="spellStart"/>
      <w:r w:rsidRPr="00E66BDC">
        <w:rPr>
          <w:rFonts w:ascii="Times New Roman" w:hAnsi="Times New Roman" w:cs="Times New Roman"/>
          <w:iCs/>
          <w:sz w:val="24"/>
          <w:szCs w:val="24"/>
        </w:rPr>
        <w:t>hr</w:t>
      </w:r>
      <w:proofErr w:type="spellEnd"/>
      <w:r w:rsidRPr="00E66BDC">
        <w:rPr>
          <w:rFonts w:ascii="Times New Roman" w:hAnsi="Times New Roman" w:cs="Times New Roman"/>
          <w:iCs/>
          <w:sz w:val="24"/>
          <w:szCs w:val="24"/>
        </w:rPr>
        <w:t xml:space="preserve">, aportan </w:t>
      </w:r>
      <w:r w:rsidR="00A86316" w:rsidRPr="00E66BDC">
        <w:rPr>
          <w:rFonts w:ascii="Times New Roman" w:hAnsi="Times New Roman" w:cs="Times New Roman"/>
          <w:iCs/>
          <w:sz w:val="24"/>
          <w:szCs w:val="24"/>
        </w:rPr>
        <w:t xml:space="preserve">información confiable </w:t>
      </w:r>
      <w:r w:rsidR="00F5446E" w:rsidRPr="00E66BDC">
        <w:rPr>
          <w:rFonts w:ascii="Times New Roman" w:hAnsi="Times New Roman" w:cs="Times New Roman"/>
          <w:iCs/>
          <w:sz w:val="24"/>
          <w:szCs w:val="24"/>
        </w:rPr>
        <w:t>sobre</w:t>
      </w:r>
      <w:r w:rsidR="00A86316" w:rsidRPr="00E66BDC">
        <w:rPr>
          <w:rFonts w:ascii="Times New Roman" w:hAnsi="Times New Roman" w:cs="Times New Roman"/>
          <w:iCs/>
          <w:sz w:val="24"/>
          <w:szCs w:val="24"/>
        </w:rPr>
        <w:t xml:space="preserve"> la ingesta</w:t>
      </w:r>
      <w:r w:rsidRPr="00E66BDC">
        <w:rPr>
          <w:rFonts w:ascii="Times New Roman" w:hAnsi="Times New Roman" w:cs="Times New Roman"/>
          <w:iCs/>
          <w:sz w:val="24"/>
          <w:szCs w:val="24"/>
        </w:rPr>
        <w:t xml:space="preserve"> de sodio. R</w:t>
      </w:r>
      <w:r w:rsidR="007C347C" w:rsidRPr="00E66BDC">
        <w:rPr>
          <w:rFonts w:ascii="Times New Roman" w:hAnsi="Times New Roman" w:cs="Times New Roman"/>
          <w:iCs/>
          <w:sz w:val="24"/>
          <w:szCs w:val="24"/>
        </w:rPr>
        <w:t>ecientemente</w:t>
      </w:r>
      <w:r w:rsidR="00F5446E" w:rsidRPr="00E66BDC">
        <w:rPr>
          <w:rFonts w:ascii="Times New Roman" w:hAnsi="Times New Roman" w:cs="Times New Roman"/>
          <w:iCs/>
          <w:sz w:val="24"/>
          <w:szCs w:val="24"/>
        </w:rPr>
        <w:t>,</w:t>
      </w:r>
      <w:r w:rsidR="007C347C" w:rsidRPr="00E66BDC">
        <w:rPr>
          <w:rFonts w:ascii="Times New Roman" w:hAnsi="Times New Roman" w:cs="Times New Roman"/>
          <w:iCs/>
          <w:sz w:val="24"/>
          <w:szCs w:val="24"/>
        </w:rPr>
        <w:t xml:space="preserve"> </w:t>
      </w:r>
      <w:proofErr w:type="spellStart"/>
      <w:r w:rsidRPr="00E66BDC">
        <w:rPr>
          <w:rFonts w:ascii="Times New Roman" w:hAnsi="Times New Roman" w:cs="Times New Roman"/>
          <w:iCs/>
          <w:sz w:val="24"/>
          <w:szCs w:val="24"/>
        </w:rPr>
        <w:t>Graudal</w:t>
      </w:r>
      <w:proofErr w:type="spellEnd"/>
      <w:r w:rsidRPr="00E66BDC">
        <w:rPr>
          <w:rFonts w:ascii="Times New Roman" w:hAnsi="Times New Roman" w:cs="Times New Roman"/>
          <w:iCs/>
          <w:sz w:val="24"/>
          <w:szCs w:val="24"/>
        </w:rPr>
        <w:t xml:space="preserve"> </w:t>
      </w:r>
      <w:r w:rsidR="00F5446E" w:rsidRPr="00E66BDC">
        <w:rPr>
          <w:rFonts w:ascii="Times New Roman" w:hAnsi="Times New Roman" w:cs="Times New Roman"/>
          <w:iCs/>
          <w:sz w:val="24"/>
          <w:szCs w:val="24"/>
        </w:rPr>
        <w:t>et al.</w:t>
      </w:r>
      <w:r w:rsidRPr="00E66BDC">
        <w:rPr>
          <w:rFonts w:ascii="Times New Roman" w:hAnsi="Times New Roman" w:cs="Times New Roman"/>
          <w:iCs/>
          <w:sz w:val="24"/>
          <w:szCs w:val="24"/>
        </w:rPr>
        <w:t xml:space="preserve">, 2015 describieron </w:t>
      </w:r>
      <w:r w:rsidR="00A86316" w:rsidRPr="00E66BDC">
        <w:rPr>
          <w:rFonts w:ascii="Times New Roman" w:hAnsi="Times New Roman" w:cs="Times New Roman"/>
          <w:iCs/>
          <w:sz w:val="24"/>
          <w:szCs w:val="24"/>
        </w:rPr>
        <w:t xml:space="preserve">en un meta-análisis de 15 estudios, </w:t>
      </w:r>
      <w:r w:rsidR="007C347C" w:rsidRPr="00E66BDC">
        <w:rPr>
          <w:rFonts w:ascii="Times New Roman" w:hAnsi="Times New Roman" w:cs="Times New Roman"/>
          <w:iCs/>
          <w:sz w:val="24"/>
          <w:szCs w:val="24"/>
        </w:rPr>
        <w:t xml:space="preserve">que el efecto de la reducción de </w:t>
      </w:r>
      <w:proofErr w:type="spellStart"/>
      <w:r w:rsidR="007C347C" w:rsidRPr="00E66BDC">
        <w:rPr>
          <w:rFonts w:ascii="Times New Roman" w:hAnsi="Times New Roman" w:cs="Times New Roman"/>
          <w:iCs/>
          <w:sz w:val="24"/>
          <w:szCs w:val="24"/>
        </w:rPr>
        <w:t>Na</w:t>
      </w:r>
      <w:proofErr w:type="spellEnd"/>
      <w:r w:rsidR="007C347C" w:rsidRPr="00E66BDC">
        <w:rPr>
          <w:rFonts w:ascii="Times New Roman" w:hAnsi="Times New Roman" w:cs="Times New Roman"/>
          <w:iCs/>
          <w:sz w:val="24"/>
          <w:szCs w:val="24"/>
        </w:rPr>
        <w:t xml:space="preserve"> existe en personas con PA en “</w:t>
      </w:r>
      <w:proofErr w:type="spellStart"/>
      <w:r w:rsidR="007C347C" w:rsidRPr="00E66BDC">
        <w:rPr>
          <w:rFonts w:ascii="Times New Roman" w:hAnsi="Times New Roman" w:cs="Times New Roman"/>
          <w:iCs/>
          <w:sz w:val="24"/>
          <w:szCs w:val="24"/>
        </w:rPr>
        <w:t>borderline</w:t>
      </w:r>
      <w:proofErr w:type="spellEnd"/>
      <w:r w:rsidR="007C347C" w:rsidRPr="00E66BDC">
        <w:rPr>
          <w:rFonts w:ascii="Times New Roman" w:hAnsi="Times New Roman" w:cs="Times New Roman"/>
          <w:iCs/>
          <w:sz w:val="24"/>
          <w:szCs w:val="24"/>
        </w:rPr>
        <w:t>” e hipertensas</w:t>
      </w:r>
      <w:r w:rsidR="00F5446E" w:rsidRPr="00E66BDC">
        <w:rPr>
          <w:rFonts w:ascii="Times New Roman" w:hAnsi="Times New Roman" w:cs="Times New Roman"/>
          <w:iCs/>
          <w:sz w:val="24"/>
          <w:szCs w:val="24"/>
        </w:rPr>
        <w:t xml:space="preserve">, y que </w:t>
      </w:r>
      <w:r w:rsidRPr="00E66BDC">
        <w:rPr>
          <w:rFonts w:ascii="Times New Roman" w:hAnsi="Times New Roman" w:cs="Times New Roman"/>
          <w:iCs/>
          <w:sz w:val="24"/>
          <w:szCs w:val="24"/>
        </w:rPr>
        <w:t xml:space="preserve">alcanza su </w:t>
      </w:r>
      <w:r w:rsidR="007C347C" w:rsidRPr="00E66BDC">
        <w:rPr>
          <w:rFonts w:ascii="Times New Roman" w:hAnsi="Times New Roman" w:cs="Times New Roman"/>
          <w:iCs/>
          <w:sz w:val="24"/>
          <w:szCs w:val="24"/>
        </w:rPr>
        <w:t xml:space="preserve">máxima eficacia en </w:t>
      </w:r>
      <w:r w:rsidR="00A86316" w:rsidRPr="00E66BDC">
        <w:rPr>
          <w:rFonts w:ascii="Times New Roman" w:hAnsi="Times New Roman" w:cs="Times New Roman"/>
          <w:iCs/>
          <w:sz w:val="24"/>
          <w:szCs w:val="24"/>
        </w:rPr>
        <w:t>s</w:t>
      </w:r>
      <w:r w:rsidR="00F5446E" w:rsidRPr="00E66BDC">
        <w:rPr>
          <w:rFonts w:ascii="Times New Roman" w:hAnsi="Times New Roman" w:cs="Times New Roman"/>
          <w:iCs/>
          <w:sz w:val="24"/>
          <w:szCs w:val="24"/>
        </w:rPr>
        <w:t>o</w:t>
      </w:r>
      <w:r w:rsidR="00A86316" w:rsidRPr="00E66BDC">
        <w:rPr>
          <w:rFonts w:ascii="Times New Roman" w:hAnsi="Times New Roman" w:cs="Times New Roman"/>
          <w:iCs/>
          <w:sz w:val="24"/>
          <w:szCs w:val="24"/>
        </w:rPr>
        <w:t xml:space="preserve">lo </w:t>
      </w:r>
      <w:r w:rsidR="007C347C" w:rsidRPr="00E66BDC">
        <w:rPr>
          <w:rFonts w:ascii="Times New Roman" w:hAnsi="Times New Roman" w:cs="Times New Roman"/>
          <w:iCs/>
          <w:sz w:val="24"/>
          <w:szCs w:val="24"/>
        </w:rPr>
        <w:t>una semana y permanec</w:t>
      </w:r>
      <w:r w:rsidR="00C34D26" w:rsidRPr="00E66BDC">
        <w:rPr>
          <w:rFonts w:ascii="Times New Roman" w:hAnsi="Times New Roman" w:cs="Times New Roman"/>
          <w:iCs/>
          <w:sz w:val="24"/>
          <w:szCs w:val="24"/>
        </w:rPr>
        <w:t xml:space="preserve">e </w:t>
      </w:r>
      <w:r w:rsidR="007C347C" w:rsidRPr="00E66BDC">
        <w:rPr>
          <w:rFonts w:ascii="Times New Roman" w:hAnsi="Times New Roman" w:cs="Times New Roman"/>
          <w:iCs/>
          <w:sz w:val="24"/>
          <w:szCs w:val="24"/>
        </w:rPr>
        <w:t xml:space="preserve">estable, </w:t>
      </w:r>
      <w:r w:rsidR="00C34D26" w:rsidRPr="00E66BDC">
        <w:rPr>
          <w:rFonts w:ascii="Times New Roman" w:hAnsi="Times New Roman" w:cs="Times New Roman"/>
          <w:iCs/>
          <w:sz w:val="24"/>
          <w:szCs w:val="24"/>
        </w:rPr>
        <w:t xml:space="preserve">mientras </w:t>
      </w:r>
      <w:r w:rsidR="007C347C" w:rsidRPr="00E66BDC">
        <w:rPr>
          <w:rFonts w:ascii="Times New Roman" w:hAnsi="Times New Roman" w:cs="Times New Roman"/>
          <w:iCs/>
          <w:sz w:val="24"/>
          <w:szCs w:val="24"/>
        </w:rPr>
        <w:t xml:space="preserve">que en </w:t>
      </w:r>
      <w:proofErr w:type="spellStart"/>
      <w:r w:rsidR="007C347C" w:rsidRPr="00E66BDC">
        <w:rPr>
          <w:rFonts w:ascii="Times New Roman" w:hAnsi="Times New Roman" w:cs="Times New Roman"/>
          <w:iCs/>
          <w:sz w:val="24"/>
          <w:szCs w:val="24"/>
        </w:rPr>
        <w:t>normotensos</w:t>
      </w:r>
      <w:proofErr w:type="spellEnd"/>
      <w:r w:rsidR="007C347C" w:rsidRPr="00E66BDC">
        <w:rPr>
          <w:rFonts w:ascii="Times New Roman" w:hAnsi="Times New Roman" w:cs="Times New Roman"/>
          <w:iCs/>
          <w:sz w:val="24"/>
          <w:szCs w:val="24"/>
        </w:rPr>
        <w:t xml:space="preserve"> </w:t>
      </w:r>
      <w:r w:rsidR="00A86316" w:rsidRPr="00E66BDC">
        <w:rPr>
          <w:rFonts w:ascii="Times New Roman" w:hAnsi="Times New Roman" w:cs="Times New Roman"/>
          <w:iCs/>
          <w:sz w:val="24"/>
          <w:szCs w:val="24"/>
        </w:rPr>
        <w:t>únicamente se</w:t>
      </w:r>
      <w:r w:rsidR="007C347C" w:rsidRPr="00E66BDC">
        <w:rPr>
          <w:rFonts w:ascii="Times New Roman" w:hAnsi="Times New Roman" w:cs="Times New Roman"/>
          <w:iCs/>
          <w:sz w:val="24"/>
          <w:szCs w:val="24"/>
        </w:rPr>
        <w:t xml:space="preserve"> observan efecto</w:t>
      </w:r>
      <w:r w:rsidR="00A86316" w:rsidRPr="00E66BDC">
        <w:rPr>
          <w:rFonts w:ascii="Times New Roman" w:hAnsi="Times New Roman" w:cs="Times New Roman"/>
          <w:iCs/>
          <w:sz w:val="24"/>
          <w:szCs w:val="24"/>
        </w:rPr>
        <w:t>s</w:t>
      </w:r>
      <w:r w:rsidR="007C347C" w:rsidRPr="00E66BDC">
        <w:rPr>
          <w:rFonts w:ascii="Times New Roman" w:hAnsi="Times New Roman" w:cs="Times New Roman"/>
          <w:iCs/>
          <w:sz w:val="24"/>
          <w:szCs w:val="24"/>
        </w:rPr>
        <w:t xml:space="preserve"> con una disminución muy grande en la ingesta (&gt; 248 </w:t>
      </w:r>
      <w:proofErr w:type="spellStart"/>
      <w:r w:rsidR="007C347C" w:rsidRPr="00E66BDC">
        <w:rPr>
          <w:rFonts w:ascii="Times New Roman" w:hAnsi="Times New Roman" w:cs="Times New Roman"/>
          <w:iCs/>
          <w:sz w:val="24"/>
          <w:szCs w:val="24"/>
        </w:rPr>
        <w:t>mmol</w:t>
      </w:r>
      <w:proofErr w:type="spellEnd"/>
      <w:r w:rsidR="007C347C" w:rsidRPr="00E66BDC">
        <w:rPr>
          <w:rFonts w:ascii="Times New Roman" w:hAnsi="Times New Roman" w:cs="Times New Roman"/>
          <w:iCs/>
          <w:sz w:val="24"/>
          <w:szCs w:val="24"/>
        </w:rPr>
        <w:t xml:space="preserve"> /d, 5.600 mg </w:t>
      </w:r>
      <w:proofErr w:type="spellStart"/>
      <w:r w:rsidR="007C347C" w:rsidRPr="00E66BDC">
        <w:rPr>
          <w:rFonts w:ascii="Times New Roman" w:hAnsi="Times New Roman" w:cs="Times New Roman"/>
          <w:iCs/>
          <w:sz w:val="24"/>
          <w:szCs w:val="24"/>
        </w:rPr>
        <w:t>Na</w:t>
      </w:r>
      <w:proofErr w:type="spellEnd"/>
      <w:r w:rsidR="007C347C" w:rsidRPr="00E66BDC">
        <w:rPr>
          <w:rFonts w:ascii="Times New Roman" w:hAnsi="Times New Roman" w:cs="Times New Roman"/>
          <w:iCs/>
          <w:sz w:val="24"/>
          <w:szCs w:val="24"/>
        </w:rPr>
        <w:t>/ d</w:t>
      </w:r>
      <w:r w:rsidR="00A86316" w:rsidRPr="00E66BDC">
        <w:rPr>
          <w:rFonts w:ascii="Times New Roman" w:hAnsi="Times New Roman" w:cs="Times New Roman"/>
          <w:iCs/>
          <w:sz w:val="24"/>
          <w:szCs w:val="24"/>
        </w:rPr>
        <w:t>).</w:t>
      </w:r>
    </w:p>
    <w:p w:rsidR="008638B1" w:rsidRPr="00E66BDC" w:rsidRDefault="00C34D26" w:rsidP="00E66BDC">
      <w:pPr>
        <w:spacing w:line="360" w:lineRule="auto"/>
        <w:jc w:val="both"/>
        <w:rPr>
          <w:rFonts w:ascii="Times New Roman" w:hAnsi="Times New Roman" w:cs="Times New Roman"/>
          <w:i/>
          <w:iCs/>
          <w:sz w:val="24"/>
          <w:szCs w:val="24"/>
        </w:rPr>
      </w:pPr>
      <w:r w:rsidRPr="00E66BDC">
        <w:rPr>
          <w:rFonts w:ascii="Times New Roman" w:hAnsi="Times New Roman" w:cs="Times New Roman"/>
          <w:sz w:val="24"/>
          <w:szCs w:val="24"/>
          <w:lang w:val="es-ES"/>
        </w:rPr>
        <w:t xml:space="preserve">Los resultados anteriores sugieren que se requieren </w:t>
      </w:r>
      <w:r w:rsidR="00F37646" w:rsidRPr="00E66BDC">
        <w:rPr>
          <w:rFonts w:ascii="Times New Roman" w:hAnsi="Times New Roman" w:cs="Times New Roman"/>
          <w:sz w:val="24"/>
          <w:szCs w:val="24"/>
          <w:lang w:val="es-ES"/>
        </w:rPr>
        <w:t xml:space="preserve">más estudios </w:t>
      </w:r>
      <w:r w:rsidRPr="00E66BDC">
        <w:rPr>
          <w:rFonts w:ascii="Times New Roman" w:hAnsi="Times New Roman" w:cs="Times New Roman"/>
          <w:sz w:val="24"/>
          <w:szCs w:val="24"/>
          <w:lang w:val="es-ES"/>
        </w:rPr>
        <w:t xml:space="preserve">que permitan </w:t>
      </w:r>
      <w:r w:rsidR="008638B1" w:rsidRPr="00E66BDC">
        <w:rPr>
          <w:rFonts w:ascii="Times New Roman" w:hAnsi="Times New Roman" w:cs="Times New Roman"/>
          <w:sz w:val="24"/>
          <w:szCs w:val="24"/>
          <w:lang w:val="es-ES"/>
        </w:rPr>
        <w:t xml:space="preserve"> conclusiones </w:t>
      </w:r>
      <w:r w:rsidRPr="00E66BDC">
        <w:rPr>
          <w:rFonts w:ascii="Times New Roman" w:hAnsi="Times New Roman" w:cs="Times New Roman"/>
          <w:sz w:val="24"/>
          <w:szCs w:val="24"/>
          <w:lang w:val="es-ES"/>
        </w:rPr>
        <w:t xml:space="preserve">objetivas </w:t>
      </w:r>
      <w:r w:rsidR="008638B1" w:rsidRPr="00E66BDC">
        <w:rPr>
          <w:rFonts w:ascii="Times New Roman" w:hAnsi="Times New Roman" w:cs="Times New Roman"/>
          <w:sz w:val="24"/>
          <w:szCs w:val="24"/>
          <w:lang w:val="es-ES"/>
        </w:rPr>
        <w:t xml:space="preserve">acerca de </w:t>
      </w:r>
      <w:r w:rsidR="00F37646" w:rsidRPr="00E66BDC">
        <w:rPr>
          <w:rFonts w:ascii="Times New Roman" w:hAnsi="Times New Roman" w:cs="Times New Roman"/>
          <w:sz w:val="24"/>
          <w:szCs w:val="24"/>
          <w:lang w:val="es-ES"/>
        </w:rPr>
        <w:t>los beneficios o perjuicios de un</w:t>
      </w:r>
      <w:r w:rsidR="008638B1" w:rsidRPr="00E66BDC">
        <w:rPr>
          <w:rFonts w:ascii="Times New Roman" w:hAnsi="Times New Roman" w:cs="Times New Roman"/>
          <w:sz w:val="24"/>
          <w:szCs w:val="24"/>
          <w:lang w:val="es-ES"/>
        </w:rPr>
        <w:t xml:space="preserve">a reducción del sodio </w:t>
      </w:r>
      <w:r w:rsidR="00F37646" w:rsidRPr="00E66BDC">
        <w:rPr>
          <w:rFonts w:ascii="Times New Roman" w:hAnsi="Times New Roman" w:cs="Times New Roman"/>
          <w:sz w:val="24"/>
          <w:szCs w:val="24"/>
          <w:lang w:val="es-ES"/>
        </w:rPr>
        <w:t>(por ejemplo, por debajo de 1.5 o 1.</w:t>
      </w:r>
      <w:r w:rsidR="008638B1" w:rsidRPr="00E66BDC">
        <w:rPr>
          <w:rFonts w:ascii="Times New Roman" w:hAnsi="Times New Roman" w:cs="Times New Roman"/>
          <w:sz w:val="24"/>
          <w:szCs w:val="24"/>
          <w:lang w:val="es-ES"/>
        </w:rPr>
        <w:t xml:space="preserve">0 g / d), ya sea en poblaciones generales o subgrupos de pacientes de alto riesgo </w:t>
      </w:r>
      <w:r w:rsidR="008638B1" w:rsidRPr="00E66BDC">
        <w:rPr>
          <w:rFonts w:ascii="Times New Roman" w:hAnsi="Times New Roman" w:cs="Times New Roman"/>
          <w:sz w:val="24"/>
          <w:szCs w:val="24"/>
        </w:rPr>
        <w:t>(</w:t>
      </w:r>
      <w:proofErr w:type="spellStart"/>
      <w:r w:rsidR="008638B1" w:rsidRPr="00E66BDC">
        <w:rPr>
          <w:rFonts w:ascii="Times New Roman" w:hAnsi="Times New Roman" w:cs="Times New Roman"/>
          <w:sz w:val="24"/>
          <w:szCs w:val="24"/>
        </w:rPr>
        <w:t>Mozaffarian</w:t>
      </w:r>
      <w:proofErr w:type="spellEnd"/>
      <w:r w:rsidR="008638B1" w:rsidRPr="00E66BDC">
        <w:rPr>
          <w:rFonts w:ascii="Times New Roman" w:hAnsi="Times New Roman" w:cs="Times New Roman"/>
          <w:sz w:val="24"/>
          <w:szCs w:val="24"/>
        </w:rPr>
        <w:t xml:space="preserve"> D</w:t>
      </w:r>
      <w:r w:rsidR="00566395" w:rsidRPr="00E66BDC">
        <w:rPr>
          <w:rFonts w:ascii="Times New Roman" w:hAnsi="Times New Roman" w:cs="Times New Roman"/>
          <w:sz w:val="24"/>
          <w:szCs w:val="24"/>
        </w:rPr>
        <w:t>.</w:t>
      </w:r>
      <w:r w:rsidR="008638B1" w:rsidRPr="00E66BDC">
        <w:rPr>
          <w:rFonts w:ascii="Times New Roman" w:hAnsi="Times New Roman" w:cs="Times New Roman"/>
          <w:sz w:val="24"/>
          <w:szCs w:val="24"/>
        </w:rPr>
        <w:t xml:space="preserve">, </w:t>
      </w:r>
      <w:r w:rsidR="002D226A" w:rsidRPr="00E66BDC">
        <w:rPr>
          <w:rFonts w:ascii="Times New Roman" w:hAnsi="Times New Roman" w:cs="Times New Roman"/>
          <w:sz w:val="24"/>
          <w:szCs w:val="24"/>
        </w:rPr>
        <w:t>2014</w:t>
      </w:r>
      <w:r w:rsidR="008638B1" w:rsidRPr="00E66BDC">
        <w:rPr>
          <w:rFonts w:ascii="Times New Roman" w:hAnsi="Times New Roman" w:cs="Times New Roman"/>
          <w:sz w:val="24"/>
          <w:szCs w:val="24"/>
        </w:rPr>
        <w:t>)</w:t>
      </w:r>
      <w:r w:rsidR="00566395" w:rsidRPr="00E66BDC">
        <w:rPr>
          <w:rFonts w:ascii="Times New Roman" w:hAnsi="Times New Roman" w:cs="Times New Roman"/>
          <w:sz w:val="24"/>
          <w:szCs w:val="24"/>
        </w:rPr>
        <w:t>.</w:t>
      </w:r>
    </w:p>
    <w:p w:rsidR="00812815" w:rsidRPr="00E66BDC" w:rsidRDefault="003870A1" w:rsidP="00E66BDC">
      <w:pPr>
        <w:spacing w:line="360" w:lineRule="auto"/>
        <w:jc w:val="both"/>
        <w:rPr>
          <w:rFonts w:ascii="Times New Roman" w:hAnsi="Times New Roman" w:cs="Times New Roman"/>
          <w:iCs/>
          <w:sz w:val="24"/>
          <w:szCs w:val="24"/>
        </w:rPr>
      </w:pPr>
      <w:r w:rsidRPr="00E66BDC">
        <w:rPr>
          <w:rFonts w:ascii="Times New Roman" w:hAnsi="Times New Roman" w:cs="Times New Roman"/>
          <w:sz w:val="24"/>
          <w:szCs w:val="24"/>
        </w:rPr>
        <w:t>En este sentido</w:t>
      </w:r>
      <w:r w:rsidR="000C2720" w:rsidRPr="00E66BDC">
        <w:rPr>
          <w:rFonts w:ascii="Times New Roman" w:hAnsi="Times New Roman" w:cs="Times New Roman"/>
          <w:sz w:val="24"/>
          <w:szCs w:val="24"/>
        </w:rPr>
        <w:t xml:space="preserve">, el </w:t>
      </w:r>
      <w:r w:rsidR="00566395" w:rsidRPr="00E66BDC">
        <w:rPr>
          <w:rFonts w:ascii="Times New Roman" w:hAnsi="Times New Roman" w:cs="Times New Roman"/>
          <w:sz w:val="24"/>
          <w:szCs w:val="24"/>
        </w:rPr>
        <w:t>c</w:t>
      </w:r>
      <w:proofErr w:type="spellStart"/>
      <w:r w:rsidR="000C2720" w:rsidRPr="00E66BDC">
        <w:rPr>
          <w:rFonts w:ascii="Times New Roman" w:hAnsi="Times New Roman" w:cs="Times New Roman"/>
          <w:sz w:val="24"/>
          <w:szCs w:val="24"/>
          <w:lang w:val="es-ES"/>
        </w:rPr>
        <w:t>omité</w:t>
      </w:r>
      <w:proofErr w:type="spellEnd"/>
      <w:r w:rsidR="000C2720" w:rsidRPr="00E66BDC">
        <w:rPr>
          <w:rFonts w:ascii="Times New Roman" w:hAnsi="Times New Roman" w:cs="Times New Roman"/>
          <w:sz w:val="24"/>
          <w:szCs w:val="24"/>
          <w:lang w:val="es-ES"/>
        </w:rPr>
        <w:t xml:space="preserve"> </w:t>
      </w:r>
      <w:r w:rsidR="00C34D26" w:rsidRPr="00E66BDC">
        <w:rPr>
          <w:rFonts w:ascii="Times New Roman" w:hAnsi="Times New Roman" w:cs="Times New Roman"/>
          <w:sz w:val="24"/>
          <w:szCs w:val="24"/>
          <w:lang w:val="es-ES"/>
        </w:rPr>
        <w:t xml:space="preserve">que evalúa </w:t>
      </w:r>
      <w:r w:rsidR="000C2720" w:rsidRPr="00E66BDC">
        <w:rPr>
          <w:rFonts w:ascii="Times New Roman" w:hAnsi="Times New Roman" w:cs="Times New Roman"/>
          <w:sz w:val="24"/>
          <w:szCs w:val="24"/>
          <w:lang w:val="es-ES"/>
        </w:rPr>
        <w:t>las consecuencias de la reducción de sodio en poblaciones de E</w:t>
      </w:r>
      <w:r w:rsidR="00566395" w:rsidRPr="00E66BDC">
        <w:rPr>
          <w:rFonts w:ascii="Times New Roman" w:hAnsi="Times New Roman" w:cs="Times New Roman"/>
          <w:sz w:val="24"/>
          <w:szCs w:val="24"/>
          <w:lang w:val="es-ES"/>
        </w:rPr>
        <w:t xml:space="preserve">stados </w:t>
      </w:r>
      <w:r w:rsidR="000C2720" w:rsidRPr="00E66BDC">
        <w:rPr>
          <w:rFonts w:ascii="Times New Roman" w:hAnsi="Times New Roman" w:cs="Times New Roman"/>
          <w:sz w:val="24"/>
          <w:szCs w:val="24"/>
          <w:lang w:val="es-ES"/>
        </w:rPr>
        <w:t>U</w:t>
      </w:r>
      <w:r w:rsidR="00566395" w:rsidRPr="00E66BDC">
        <w:rPr>
          <w:rFonts w:ascii="Times New Roman" w:hAnsi="Times New Roman" w:cs="Times New Roman"/>
          <w:sz w:val="24"/>
          <w:szCs w:val="24"/>
          <w:lang w:val="es-ES"/>
        </w:rPr>
        <w:t>nidos</w:t>
      </w:r>
      <w:r w:rsidR="000C2720" w:rsidRPr="00E66BDC">
        <w:rPr>
          <w:rFonts w:ascii="Times New Roman" w:hAnsi="Times New Roman" w:cs="Times New Roman"/>
          <w:sz w:val="24"/>
          <w:szCs w:val="24"/>
          <w:lang w:val="es-ES"/>
        </w:rPr>
        <w:t>, ha dictaminado que es necesario realizar más ensayos clínicos controlados para determina</w:t>
      </w:r>
      <w:r w:rsidR="00566395" w:rsidRPr="00E66BDC">
        <w:rPr>
          <w:rFonts w:ascii="Times New Roman" w:hAnsi="Times New Roman" w:cs="Times New Roman"/>
          <w:sz w:val="24"/>
          <w:szCs w:val="24"/>
          <w:lang w:val="es-ES"/>
        </w:rPr>
        <w:t xml:space="preserve">r </w:t>
      </w:r>
      <w:r w:rsidR="000C2720" w:rsidRPr="00E66BDC">
        <w:rPr>
          <w:rFonts w:ascii="Times New Roman" w:hAnsi="Times New Roman" w:cs="Times New Roman"/>
          <w:sz w:val="24"/>
          <w:szCs w:val="24"/>
          <w:lang w:val="es-ES"/>
        </w:rPr>
        <w:t>el efecto del sodio sobre la salud</w:t>
      </w:r>
      <w:r w:rsidR="003422AB" w:rsidRPr="00E66BDC">
        <w:rPr>
          <w:rFonts w:ascii="Times New Roman" w:hAnsi="Times New Roman" w:cs="Times New Roman"/>
          <w:sz w:val="24"/>
          <w:szCs w:val="24"/>
          <w:lang w:val="es-ES"/>
        </w:rPr>
        <w:t xml:space="preserve">, considerando que la evidencia con ingestas </w:t>
      </w:r>
      <w:r w:rsidR="003422AB" w:rsidRPr="00E66BDC">
        <w:rPr>
          <w:rFonts w:ascii="Times New Roman" w:hAnsi="Times New Roman" w:cs="Times New Roman"/>
          <w:sz w:val="24"/>
          <w:szCs w:val="24"/>
          <w:lang w:val="es-ES"/>
        </w:rPr>
        <w:lastRenderedPageBreak/>
        <w:t xml:space="preserve">menores a 2300 o a 1500 mg/d, que son las recomendadas por las guías de salud en </w:t>
      </w:r>
      <w:r w:rsidR="00566395" w:rsidRPr="00E66BDC">
        <w:rPr>
          <w:rFonts w:ascii="Times New Roman" w:hAnsi="Times New Roman" w:cs="Times New Roman"/>
          <w:sz w:val="24"/>
          <w:szCs w:val="24"/>
          <w:lang w:val="es-ES"/>
        </w:rPr>
        <w:t>e</w:t>
      </w:r>
      <w:r w:rsidR="003422AB" w:rsidRPr="00E66BDC">
        <w:rPr>
          <w:rFonts w:ascii="Times New Roman" w:hAnsi="Times New Roman" w:cs="Times New Roman"/>
          <w:sz w:val="24"/>
          <w:szCs w:val="24"/>
          <w:lang w:val="es-ES"/>
        </w:rPr>
        <w:t xml:space="preserve">ste país, </w:t>
      </w:r>
      <w:r w:rsidR="00566395" w:rsidRPr="00E66BDC">
        <w:rPr>
          <w:rFonts w:ascii="Times New Roman" w:hAnsi="Times New Roman" w:cs="Times New Roman"/>
          <w:sz w:val="24"/>
          <w:szCs w:val="24"/>
          <w:lang w:val="es-ES"/>
        </w:rPr>
        <w:t>es</w:t>
      </w:r>
      <w:r w:rsidR="003422AB" w:rsidRPr="00E66BDC">
        <w:rPr>
          <w:rFonts w:ascii="Times New Roman" w:hAnsi="Times New Roman" w:cs="Times New Roman"/>
          <w:sz w:val="24"/>
          <w:szCs w:val="24"/>
          <w:lang w:val="es-ES"/>
        </w:rPr>
        <w:t xml:space="preserve"> aún insuficiente</w:t>
      </w:r>
      <w:r w:rsidR="000C2720" w:rsidRPr="00E66BDC">
        <w:rPr>
          <w:rFonts w:ascii="Times New Roman" w:hAnsi="Times New Roman" w:cs="Times New Roman"/>
          <w:sz w:val="24"/>
          <w:szCs w:val="24"/>
          <w:lang w:val="es-ES"/>
        </w:rPr>
        <w:t xml:space="preserve">. </w:t>
      </w:r>
      <w:r w:rsidR="00566395" w:rsidRPr="00E66BDC">
        <w:rPr>
          <w:rFonts w:ascii="Times New Roman" w:hAnsi="Times New Roman" w:cs="Times New Roman"/>
          <w:sz w:val="24"/>
          <w:szCs w:val="24"/>
          <w:lang w:val="es-ES"/>
        </w:rPr>
        <w:t>Por tanto, pr</w:t>
      </w:r>
      <w:r w:rsidR="003422AB" w:rsidRPr="00E66BDC">
        <w:rPr>
          <w:rFonts w:ascii="Times New Roman" w:hAnsi="Times New Roman" w:cs="Times New Roman"/>
          <w:sz w:val="24"/>
          <w:szCs w:val="24"/>
          <w:lang w:val="es-ES"/>
        </w:rPr>
        <w:t>oponen el diseño de</w:t>
      </w:r>
      <w:r w:rsidR="000C2720" w:rsidRPr="00E66BDC">
        <w:rPr>
          <w:rFonts w:ascii="Times New Roman" w:hAnsi="Times New Roman" w:cs="Times New Roman"/>
          <w:sz w:val="24"/>
          <w:szCs w:val="24"/>
          <w:lang w:val="es-ES"/>
        </w:rPr>
        <w:t xml:space="preserve"> ensayos </w:t>
      </w:r>
      <w:r w:rsidR="003422AB" w:rsidRPr="00E66BDC">
        <w:rPr>
          <w:rFonts w:ascii="Times New Roman" w:hAnsi="Times New Roman" w:cs="Times New Roman"/>
          <w:sz w:val="24"/>
          <w:szCs w:val="24"/>
          <w:lang w:val="es-ES"/>
        </w:rPr>
        <w:t>controlados para evaluar</w:t>
      </w:r>
      <w:r w:rsidR="000C2720" w:rsidRPr="00E66BDC">
        <w:rPr>
          <w:rFonts w:ascii="Times New Roman" w:hAnsi="Times New Roman" w:cs="Times New Roman"/>
          <w:sz w:val="24"/>
          <w:szCs w:val="24"/>
          <w:lang w:val="es-ES"/>
        </w:rPr>
        <w:t xml:space="preserve"> los efectos de una variedad de niveles de ingesta de sodio </w:t>
      </w:r>
      <w:r w:rsidR="00566395" w:rsidRPr="00E66BDC">
        <w:rPr>
          <w:rFonts w:ascii="Times New Roman" w:hAnsi="Times New Roman" w:cs="Times New Roman"/>
          <w:sz w:val="24"/>
          <w:szCs w:val="24"/>
          <w:lang w:val="es-ES"/>
        </w:rPr>
        <w:t>y de esa manera</w:t>
      </w:r>
      <w:r w:rsidR="00D94391" w:rsidRPr="00E66BDC">
        <w:rPr>
          <w:rFonts w:ascii="Times New Roman" w:hAnsi="Times New Roman" w:cs="Times New Roman"/>
          <w:sz w:val="24"/>
          <w:szCs w:val="24"/>
          <w:lang w:val="es-ES"/>
        </w:rPr>
        <w:t xml:space="preserve"> estimar la meta de reducción de la ingesta idónea</w:t>
      </w:r>
      <w:r w:rsidR="00566395" w:rsidRPr="00E66BDC">
        <w:rPr>
          <w:rFonts w:ascii="Times New Roman" w:hAnsi="Times New Roman" w:cs="Times New Roman"/>
          <w:sz w:val="24"/>
          <w:szCs w:val="24"/>
          <w:lang w:val="es-ES"/>
        </w:rPr>
        <w:t xml:space="preserve"> y </w:t>
      </w:r>
      <w:r w:rsidR="00D94391" w:rsidRPr="00E66BDC">
        <w:rPr>
          <w:rFonts w:ascii="Times New Roman" w:hAnsi="Times New Roman" w:cs="Times New Roman"/>
          <w:sz w:val="24"/>
          <w:szCs w:val="24"/>
          <w:lang w:val="es-ES"/>
        </w:rPr>
        <w:t>determinar el</w:t>
      </w:r>
      <w:r w:rsidR="003422AB" w:rsidRPr="00E66BDC">
        <w:rPr>
          <w:rFonts w:ascii="Times New Roman" w:hAnsi="Times New Roman" w:cs="Times New Roman"/>
          <w:sz w:val="24"/>
          <w:szCs w:val="24"/>
          <w:lang w:val="es-ES"/>
        </w:rPr>
        <w:t xml:space="preserve"> riesgo de</w:t>
      </w:r>
      <w:r w:rsidR="00D94391" w:rsidRPr="00E66BDC">
        <w:rPr>
          <w:rFonts w:ascii="Times New Roman" w:hAnsi="Times New Roman" w:cs="Times New Roman"/>
          <w:sz w:val="24"/>
          <w:szCs w:val="24"/>
          <w:lang w:val="es-ES"/>
        </w:rPr>
        <w:t xml:space="preserve"> desarrollar</w:t>
      </w:r>
      <w:r w:rsidR="003422AB" w:rsidRPr="00E66BDC">
        <w:rPr>
          <w:rFonts w:ascii="Times New Roman" w:hAnsi="Times New Roman" w:cs="Times New Roman"/>
          <w:sz w:val="24"/>
          <w:szCs w:val="24"/>
          <w:lang w:val="es-ES"/>
        </w:rPr>
        <w:t xml:space="preserve"> ECV,</w:t>
      </w:r>
      <w:r w:rsidR="000C2720" w:rsidRPr="00E66BDC">
        <w:rPr>
          <w:rFonts w:ascii="Times New Roman" w:hAnsi="Times New Roman" w:cs="Times New Roman"/>
          <w:sz w:val="24"/>
          <w:szCs w:val="24"/>
          <w:lang w:val="es-ES"/>
        </w:rPr>
        <w:t xml:space="preserve"> </w:t>
      </w:r>
      <w:r w:rsidR="003422AB" w:rsidRPr="00E66BDC">
        <w:rPr>
          <w:rFonts w:ascii="Times New Roman" w:hAnsi="Times New Roman" w:cs="Times New Roman"/>
          <w:sz w:val="24"/>
          <w:szCs w:val="24"/>
          <w:lang w:val="es-ES"/>
        </w:rPr>
        <w:t xml:space="preserve">ACV y </w:t>
      </w:r>
      <w:r w:rsidR="00D94391" w:rsidRPr="00E66BDC">
        <w:rPr>
          <w:rFonts w:ascii="Times New Roman" w:hAnsi="Times New Roman" w:cs="Times New Roman"/>
          <w:sz w:val="24"/>
          <w:szCs w:val="24"/>
          <w:lang w:val="es-ES"/>
        </w:rPr>
        <w:t xml:space="preserve">la asociación con </w:t>
      </w:r>
      <w:r w:rsidR="003422AB" w:rsidRPr="00E66BDC">
        <w:rPr>
          <w:rFonts w:ascii="Times New Roman" w:hAnsi="Times New Roman" w:cs="Times New Roman"/>
          <w:sz w:val="24"/>
          <w:szCs w:val="24"/>
          <w:lang w:val="es-ES"/>
        </w:rPr>
        <w:t>mortalidad</w:t>
      </w:r>
      <w:r w:rsidR="00D94391" w:rsidRPr="00E66BDC">
        <w:rPr>
          <w:rFonts w:ascii="Times New Roman" w:hAnsi="Times New Roman" w:cs="Times New Roman"/>
          <w:sz w:val="24"/>
          <w:szCs w:val="24"/>
          <w:lang w:val="es-ES"/>
        </w:rPr>
        <w:t xml:space="preserve"> general y CV</w:t>
      </w:r>
      <w:r w:rsidR="000C2720" w:rsidRPr="00E66BDC">
        <w:rPr>
          <w:rFonts w:ascii="Times New Roman" w:hAnsi="Times New Roman" w:cs="Times New Roman"/>
          <w:sz w:val="24"/>
          <w:szCs w:val="24"/>
          <w:lang w:val="es-ES"/>
        </w:rPr>
        <w:t xml:space="preserve"> </w:t>
      </w:r>
      <w:r w:rsidR="00A71F09" w:rsidRPr="00E66BDC">
        <w:rPr>
          <w:rFonts w:ascii="Times New Roman" w:hAnsi="Times New Roman" w:cs="Times New Roman"/>
          <w:sz w:val="24"/>
          <w:szCs w:val="24"/>
        </w:rPr>
        <w:t xml:space="preserve">(IOM, </w:t>
      </w:r>
      <w:r w:rsidR="000C2720" w:rsidRPr="00E66BDC">
        <w:rPr>
          <w:rFonts w:ascii="Times New Roman" w:hAnsi="Times New Roman" w:cs="Times New Roman"/>
          <w:iCs/>
          <w:sz w:val="24"/>
          <w:szCs w:val="24"/>
        </w:rPr>
        <w:t>2013)</w:t>
      </w:r>
      <w:r w:rsidR="00566395" w:rsidRPr="00E66BDC">
        <w:rPr>
          <w:rFonts w:ascii="Times New Roman" w:hAnsi="Times New Roman" w:cs="Times New Roman"/>
          <w:iCs/>
          <w:sz w:val="24"/>
          <w:szCs w:val="24"/>
        </w:rPr>
        <w:t xml:space="preserve">. </w:t>
      </w:r>
      <w:r w:rsidR="00D86612" w:rsidRPr="00E66BDC">
        <w:rPr>
          <w:rFonts w:ascii="Times New Roman" w:hAnsi="Times New Roman" w:cs="Times New Roman"/>
          <w:iCs/>
          <w:sz w:val="24"/>
          <w:szCs w:val="24"/>
        </w:rPr>
        <w:t>Asimismo</w:t>
      </w:r>
      <w:r w:rsidR="00D94391" w:rsidRPr="00E66BDC">
        <w:rPr>
          <w:rFonts w:ascii="Times New Roman" w:hAnsi="Times New Roman" w:cs="Times New Roman"/>
          <w:sz w:val="24"/>
          <w:szCs w:val="24"/>
          <w:lang w:val="es-ES"/>
        </w:rPr>
        <w:t xml:space="preserve"> se ha propuesto determinar el efecto de la reducción del sodio &lt; 1.2 g /día sobre la PA y los efectos adversos (cambios en lípidos sanguíneos y niveles de catecolaminas) en adultos y niños</w:t>
      </w:r>
      <w:r w:rsidR="00D94391" w:rsidRPr="00E66BDC">
        <w:rPr>
          <w:rFonts w:ascii="Times New Roman" w:hAnsi="Times New Roman" w:cs="Times New Roman"/>
          <w:sz w:val="24"/>
          <w:szCs w:val="24"/>
        </w:rPr>
        <w:t xml:space="preserve"> (</w:t>
      </w:r>
      <w:r w:rsidR="00344EF5" w:rsidRPr="00E66BDC">
        <w:rPr>
          <w:rFonts w:ascii="Times New Roman" w:hAnsi="Times New Roman" w:cs="Times New Roman"/>
          <w:sz w:val="24"/>
          <w:szCs w:val="24"/>
        </w:rPr>
        <w:t>WHO,</w:t>
      </w:r>
      <w:r w:rsidR="00D94391" w:rsidRPr="00E66BDC">
        <w:rPr>
          <w:rFonts w:ascii="Times New Roman" w:hAnsi="Times New Roman" w:cs="Times New Roman"/>
          <w:sz w:val="24"/>
          <w:szCs w:val="24"/>
        </w:rPr>
        <w:t xml:space="preserve"> 2012</w:t>
      </w:r>
      <w:r w:rsidR="00344EF5" w:rsidRPr="00E66BDC">
        <w:rPr>
          <w:rFonts w:ascii="Times New Roman" w:hAnsi="Times New Roman" w:cs="Times New Roman"/>
          <w:sz w:val="24"/>
          <w:szCs w:val="24"/>
        </w:rPr>
        <w:t>)</w:t>
      </w:r>
      <w:r w:rsidR="00D94391" w:rsidRPr="00E66BDC">
        <w:rPr>
          <w:rFonts w:ascii="Times New Roman" w:hAnsi="Times New Roman" w:cs="Times New Roman"/>
          <w:sz w:val="24"/>
          <w:szCs w:val="24"/>
        </w:rPr>
        <w:t>;</w:t>
      </w:r>
      <w:r w:rsidR="00D94391" w:rsidRPr="00E66BDC">
        <w:rPr>
          <w:rFonts w:ascii="Times New Roman" w:hAnsi="Times New Roman" w:cs="Times New Roman"/>
          <w:i/>
          <w:sz w:val="24"/>
          <w:szCs w:val="24"/>
        </w:rPr>
        <w:t xml:space="preserve"> </w:t>
      </w:r>
      <w:r w:rsidR="00540FB1" w:rsidRPr="00E66BDC">
        <w:rPr>
          <w:rFonts w:ascii="Times New Roman" w:hAnsi="Times New Roman" w:cs="Times New Roman"/>
          <w:sz w:val="24"/>
          <w:szCs w:val="24"/>
        </w:rPr>
        <w:t xml:space="preserve">así, </w:t>
      </w:r>
      <w:r w:rsidR="00636CBF" w:rsidRPr="00E66BDC">
        <w:rPr>
          <w:rFonts w:ascii="Times New Roman" w:hAnsi="Times New Roman" w:cs="Times New Roman"/>
          <w:iCs/>
          <w:sz w:val="24"/>
          <w:szCs w:val="24"/>
        </w:rPr>
        <w:t xml:space="preserve">resalta la necesidad de </w:t>
      </w:r>
      <w:r w:rsidR="00636CBF" w:rsidRPr="00E66BDC">
        <w:rPr>
          <w:rFonts w:ascii="Times New Roman" w:hAnsi="Times New Roman" w:cs="Times New Roman"/>
          <w:iCs/>
          <w:sz w:val="24"/>
          <w:szCs w:val="24"/>
          <w:lang w:val="es-ES"/>
        </w:rPr>
        <w:t xml:space="preserve">colectar evidencia de alta calidad sobre los riesgos y </w:t>
      </w:r>
      <w:r w:rsidR="007B558A" w:rsidRPr="00E66BDC">
        <w:rPr>
          <w:rFonts w:ascii="Times New Roman" w:hAnsi="Times New Roman" w:cs="Times New Roman"/>
          <w:iCs/>
          <w:sz w:val="24"/>
          <w:szCs w:val="24"/>
          <w:lang w:val="es-ES"/>
        </w:rPr>
        <w:t>beneficios de la disminución de</w:t>
      </w:r>
      <w:r w:rsidR="00636CBF" w:rsidRPr="00E66BDC">
        <w:rPr>
          <w:rFonts w:ascii="Times New Roman" w:hAnsi="Times New Roman" w:cs="Times New Roman"/>
          <w:iCs/>
          <w:sz w:val="24"/>
          <w:szCs w:val="24"/>
          <w:lang w:val="es-ES"/>
        </w:rPr>
        <w:t xml:space="preserve"> sodio </w:t>
      </w:r>
      <w:r w:rsidR="00344EF5" w:rsidRPr="00E66BDC">
        <w:rPr>
          <w:rFonts w:ascii="Times New Roman" w:hAnsi="Times New Roman" w:cs="Times New Roman"/>
          <w:iCs/>
          <w:sz w:val="24"/>
          <w:szCs w:val="24"/>
        </w:rPr>
        <w:t>(</w:t>
      </w:r>
      <w:proofErr w:type="spellStart"/>
      <w:r w:rsidR="00344EF5" w:rsidRPr="00E66BDC">
        <w:rPr>
          <w:rFonts w:ascii="Times New Roman" w:hAnsi="Times New Roman" w:cs="Times New Roman"/>
          <w:iCs/>
          <w:sz w:val="24"/>
          <w:szCs w:val="24"/>
        </w:rPr>
        <w:t>Oparil</w:t>
      </w:r>
      <w:proofErr w:type="spellEnd"/>
      <w:r w:rsidR="00344EF5" w:rsidRPr="00E66BDC">
        <w:rPr>
          <w:rFonts w:ascii="Times New Roman" w:hAnsi="Times New Roman" w:cs="Times New Roman"/>
          <w:iCs/>
          <w:sz w:val="24"/>
          <w:szCs w:val="24"/>
        </w:rPr>
        <w:t>, S.,</w:t>
      </w:r>
      <w:r w:rsidR="00636CBF" w:rsidRPr="00E66BDC">
        <w:rPr>
          <w:rFonts w:ascii="Times New Roman" w:hAnsi="Times New Roman" w:cs="Times New Roman"/>
          <w:iCs/>
          <w:sz w:val="24"/>
          <w:szCs w:val="24"/>
        </w:rPr>
        <w:t xml:space="preserve"> </w:t>
      </w:r>
      <w:r w:rsidR="00344EF5" w:rsidRPr="00E66BDC">
        <w:rPr>
          <w:rFonts w:ascii="Times New Roman" w:hAnsi="Times New Roman" w:cs="Times New Roman"/>
          <w:iCs/>
          <w:sz w:val="24"/>
          <w:szCs w:val="24"/>
        </w:rPr>
        <w:t>2014</w:t>
      </w:r>
      <w:r w:rsidR="00636CBF" w:rsidRPr="00E66BDC">
        <w:rPr>
          <w:rFonts w:ascii="Times New Roman" w:hAnsi="Times New Roman" w:cs="Times New Roman"/>
          <w:iCs/>
          <w:sz w:val="24"/>
          <w:szCs w:val="24"/>
        </w:rPr>
        <w:t>)</w:t>
      </w:r>
      <w:r w:rsidR="00566395" w:rsidRPr="00E66BDC">
        <w:rPr>
          <w:rFonts w:ascii="Times New Roman" w:hAnsi="Times New Roman" w:cs="Times New Roman"/>
          <w:iCs/>
          <w:sz w:val="24"/>
          <w:szCs w:val="24"/>
        </w:rPr>
        <w:t>.</w:t>
      </w:r>
    </w:p>
    <w:p w:rsidR="00051EC1" w:rsidRDefault="00051EC1" w:rsidP="00E66BDC">
      <w:pPr>
        <w:spacing w:line="360" w:lineRule="auto"/>
        <w:jc w:val="both"/>
        <w:rPr>
          <w:rFonts w:ascii="Times New Roman" w:hAnsi="Times New Roman" w:cs="Times New Roman"/>
          <w:iCs/>
          <w:sz w:val="24"/>
          <w:szCs w:val="24"/>
        </w:rPr>
      </w:pPr>
      <w:r w:rsidRPr="00E66BDC">
        <w:rPr>
          <w:rFonts w:ascii="Times New Roman" w:hAnsi="Times New Roman" w:cs="Times New Roman"/>
          <w:iCs/>
          <w:sz w:val="24"/>
          <w:szCs w:val="24"/>
        </w:rPr>
        <w:t xml:space="preserve">Sin embargo, a pesar de existir tal discusión a nivel internacional y </w:t>
      </w:r>
      <w:r w:rsidR="0027210C" w:rsidRPr="00E66BDC">
        <w:rPr>
          <w:rFonts w:ascii="Times New Roman" w:hAnsi="Times New Roman" w:cs="Times New Roman"/>
          <w:iCs/>
          <w:sz w:val="24"/>
          <w:szCs w:val="24"/>
        </w:rPr>
        <w:t>de haber</w:t>
      </w:r>
      <w:r w:rsidRPr="00E66BDC">
        <w:rPr>
          <w:rFonts w:ascii="Times New Roman" w:hAnsi="Times New Roman" w:cs="Times New Roman"/>
          <w:iCs/>
          <w:sz w:val="24"/>
          <w:szCs w:val="24"/>
        </w:rPr>
        <w:t xml:space="preserve"> ap</w:t>
      </w:r>
      <w:r w:rsidR="0027210C" w:rsidRPr="00E66BDC">
        <w:rPr>
          <w:rFonts w:ascii="Times New Roman" w:hAnsi="Times New Roman" w:cs="Times New Roman"/>
          <w:iCs/>
          <w:sz w:val="24"/>
          <w:szCs w:val="24"/>
        </w:rPr>
        <w:t>ostado</w:t>
      </w:r>
      <w:r w:rsidRPr="00E66BDC">
        <w:rPr>
          <w:rFonts w:ascii="Times New Roman" w:hAnsi="Times New Roman" w:cs="Times New Roman"/>
          <w:iCs/>
          <w:sz w:val="24"/>
          <w:szCs w:val="24"/>
        </w:rPr>
        <w:t xml:space="preserve"> </w:t>
      </w:r>
      <w:r w:rsidR="00D86612" w:rsidRPr="00E66BDC">
        <w:rPr>
          <w:rFonts w:ascii="Times New Roman" w:hAnsi="Times New Roman" w:cs="Times New Roman"/>
          <w:iCs/>
          <w:sz w:val="24"/>
          <w:szCs w:val="24"/>
        </w:rPr>
        <w:t>por</w:t>
      </w:r>
      <w:r w:rsidRPr="00E66BDC">
        <w:rPr>
          <w:rFonts w:ascii="Times New Roman" w:hAnsi="Times New Roman" w:cs="Times New Roman"/>
          <w:iCs/>
          <w:sz w:val="24"/>
          <w:szCs w:val="24"/>
        </w:rPr>
        <w:t xml:space="preserve"> la necesidad de obtener información confiable</w:t>
      </w:r>
      <w:r w:rsidR="00D86612" w:rsidRPr="00E66BDC">
        <w:rPr>
          <w:rFonts w:ascii="Times New Roman" w:hAnsi="Times New Roman" w:cs="Times New Roman"/>
          <w:iCs/>
          <w:sz w:val="24"/>
          <w:szCs w:val="24"/>
        </w:rPr>
        <w:t xml:space="preserve"> —</w:t>
      </w:r>
      <w:r w:rsidRPr="00E66BDC">
        <w:rPr>
          <w:rFonts w:ascii="Times New Roman" w:hAnsi="Times New Roman" w:cs="Times New Roman"/>
          <w:iCs/>
          <w:sz w:val="24"/>
          <w:szCs w:val="24"/>
        </w:rPr>
        <w:t>sobre la cual estimar las pautas para la restricción o no en la ingesta de sodio, según las regiones, razas, estados de salud, edad y género</w:t>
      </w:r>
      <w:r w:rsidR="00D86612" w:rsidRPr="00E66BDC">
        <w:rPr>
          <w:rFonts w:ascii="Times New Roman" w:hAnsi="Times New Roman" w:cs="Times New Roman"/>
          <w:iCs/>
          <w:sz w:val="24"/>
          <w:szCs w:val="24"/>
        </w:rPr>
        <w:t>—</w:t>
      </w:r>
      <w:r w:rsidRPr="00E66BDC">
        <w:rPr>
          <w:rFonts w:ascii="Times New Roman" w:hAnsi="Times New Roman" w:cs="Times New Roman"/>
          <w:iCs/>
          <w:sz w:val="24"/>
          <w:szCs w:val="24"/>
        </w:rPr>
        <w:t xml:space="preserve">, las guías de práctica clínica actuales siguen </w:t>
      </w:r>
      <w:r w:rsidR="00C34D26" w:rsidRPr="00E66BDC">
        <w:rPr>
          <w:rFonts w:ascii="Times New Roman" w:hAnsi="Times New Roman" w:cs="Times New Roman"/>
          <w:iCs/>
          <w:sz w:val="24"/>
          <w:szCs w:val="24"/>
        </w:rPr>
        <w:t xml:space="preserve">recomendando </w:t>
      </w:r>
      <w:r w:rsidRPr="00E66BDC">
        <w:rPr>
          <w:rFonts w:ascii="Times New Roman" w:hAnsi="Times New Roman" w:cs="Times New Roman"/>
          <w:iCs/>
          <w:sz w:val="24"/>
          <w:szCs w:val="24"/>
        </w:rPr>
        <w:t>la restricción de sodio como una pauta terapéutica obligada respecto al tratamiento no farmacológico en ciertas patologías y como una medida generalizada a nivel poblacional</w:t>
      </w:r>
      <w:r w:rsidR="00D86612" w:rsidRPr="00E66BDC">
        <w:rPr>
          <w:rFonts w:ascii="Times New Roman" w:hAnsi="Times New Roman" w:cs="Times New Roman"/>
          <w:iCs/>
          <w:sz w:val="24"/>
          <w:szCs w:val="24"/>
        </w:rPr>
        <w:t>. V</w:t>
      </w:r>
      <w:r w:rsidRPr="00E66BDC">
        <w:rPr>
          <w:rFonts w:ascii="Times New Roman" w:hAnsi="Times New Roman" w:cs="Times New Roman"/>
          <w:iCs/>
          <w:sz w:val="24"/>
          <w:szCs w:val="24"/>
        </w:rPr>
        <w:t xml:space="preserve">er tabla </w:t>
      </w:r>
      <w:r w:rsidR="007B558A" w:rsidRPr="00E66BDC">
        <w:rPr>
          <w:rFonts w:ascii="Times New Roman" w:hAnsi="Times New Roman" w:cs="Times New Roman"/>
          <w:iCs/>
          <w:sz w:val="24"/>
          <w:szCs w:val="24"/>
        </w:rPr>
        <w:t>2</w:t>
      </w:r>
      <w:r w:rsidRPr="00E66BDC">
        <w:rPr>
          <w:rFonts w:ascii="Times New Roman" w:hAnsi="Times New Roman" w:cs="Times New Roman"/>
          <w:iCs/>
          <w:sz w:val="24"/>
          <w:szCs w:val="24"/>
        </w:rPr>
        <w:t>.</w:t>
      </w:r>
    </w:p>
    <w:p w:rsidR="00E66BDC" w:rsidRDefault="00E66BDC" w:rsidP="00E66BDC">
      <w:pPr>
        <w:spacing w:line="360" w:lineRule="auto"/>
        <w:jc w:val="both"/>
        <w:rPr>
          <w:rFonts w:ascii="Times New Roman" w:hAnsi="Times New Roman" w:cs="Times New Roman"/>
          <w:iCs/>
          <w:sz w:val="24"/>
          <w:szCs w:val="24"/>
        </w:rPr>
      </w:pPr>
    </w:p>
    <w:p w:rsidR="00E66BDC" w:rsidRDefault="00E66BDC" w:rsidP="00E66BDC">
      <w:pPr>
        <w:spacing w:line="360" w:lineRule="auto"/>
        <w:jc w:val="both"/>
        <w:rPr>
          <w:rFonts w:ascii="Times New Roman" w:hAnsi="Times New Roman" w:cs="Times New Roman"/>
          <w:iCs/>
          <w:sz w:val="24"/>
          <w:szCs w:val="24"/>
        </w:rPr>
      </w:pPr>
    </w:p>
    <w:p w:rsidR="00E66BDC" w:rsidRDefault="00E66BDC" w:rsidP="00E66BDC">
      <w:pPr>
        <w:spacing w:line="360" w:lineRule="auto"/>
        <w:jc w:val="both"/>
        <w:rPr>
          <w:rFonts w:ascii="Times New Roman" w:hAnsi="Times New Roman" w:cs="Times New Roman"/>
          <w:iCs/>
          <w:sz w:val="24"/>
          <w:szCs w:val="24"/>
        </w:rPr>
      </w:pPr>
    </w:p>
    <w:p w:rsidR="00E66BDC" w:rsidRDefault="00E66BDC" w:rsidP="00E66BDC">
      <w:pPr>
        <w:spacing w:line="360" w:lineRule="auto"/>
        <w:jc w:val="both"/>
        <w:rPr>
          <w:rFonts w:ascii="Times New Roman" w:hAnsi="Times New Roman" w:cs="Times New Roman"/>
          <w:iCs/>
          <w:sz w:val="24"/>
          <w:szCs w:val="24"/>
        </w:rPr>
      </w:pPr>
    </w:p>
    <w:p w:rsidR="00E66BDC" w:rsidRDefault="00E66BDC" w:rsidP="00E66BDC">
      <w:pPr>
        <w:spacing w:line="360" w:lineRule="auto"/>
        <w:jc w:val="both"/>
        <w:rPr>
          <w:rFonts w:ascii="Times New Roman" w:hAnsi="Times New Roman" w:cs="Times New Roman"/>
          <w:iCs/>
          <w:sz w:val="24"/>
          <w:szCs w:val="24"/>
        </w:rPr>
      </w:pPr>
    </w:p>
    <w:p w:rsidR="00E66BDC" w:rsidRDefault="00E66BDC" w:rsidP="00E66BDC">
      <w:pPr>
        <w:spacing w:line="360" w:lineRule="auto"/>
        <w:jc w:val="both"/>
        <w:rPr>
          <w:rFonts w:ascii="Times New Roman" w:hAnsi="Times New Roman" w:cs="Times New Roman"/>
          <w:iCs/>
          <w:sz w:val="24"/>
          <w:szCs w:val="24"/>
        </w:rPr>
      </w:pPr>
    </w:p>
    <w:p w:rsidR="00E66BDC" w:rsidRDefault="00E66BDC" w:rsidP="00E66BDC">
      <w:pPr>
        <w:spacing w:line="360" w:lineRule="auto"/>
        <w:jc w:val="both"/>
        <w:rPr>
          <w:rFonts w:ascii="Times New Roman" w:hAnsi="Times New Roman" w:cs="Times New Roman"/>
          <w:iCs/>
          <w:sz w:val="24"/>
          <w:szCs w:val="24"/>
        </w:rPr>
      </w:pPr>
    </w:p>
    <w:p w:rsidR="00E66BDC" w:rsidRDefault="00E66BDC" w:rsidP="00E66BDC">
      <w:pPr>
        <w:spacing w:line="360" w:lineRule="auto"/>
        <w:jc w:val="both"/>
        <w:rPr>
          <w:rFonts w:ascii="Times New Roman" w:hAnsi="Times New Roman" w:cs="Times New Roman"/>
          <w:iCs/>
          <w:sz w:val="24"/>
          <w:szCs w:val="24"/>
        </w:rPr>
      </w:pPr>
    </w:p>
    <w:p w:rsidR="00E66BDC" w:rsidRDefault="00E66BDC" w:rsidP="00E66BDC">
      <w:pPr>
        <w:spacing w:line="360" w:lineRule="auto"/>
        <w:jc w:val="both"/>
        <w:rPr>
          <w:rFonts w:ascii="Times New Roman" w:hAnsi="Times New Roman" w:cs="Times New Roman"/>
          <w:iCs/>
          <w:sz w:val="24"/>
          <w:szCs w:val="24"/>
        </w:rPr>
      </w:pPr>
    </w:p>
    <w:p w:rsidR="00E66BDC" w:rsidRDefault="00E66BDC" w:rsidP="00E66BDC">
      <w:pPr>
        <w:spacing w:line="360" w:lineRule="auto"/>
        <w:jc w:val="both"/>
        <w:rPr>
          <w:rFonts w:ascii="Times New Roman" w:hAnsi="Times New Roman" w:cs="Times New Roman"/>
          <w:iCs/>
          <w:sz w:val="24"/>
          <w:szCs w:val="24"/>
        </w:rPr>
      </w:pPr>
    </w:p>
    <w:p w:rsidR="00E66BDC" w:rsidRDefault="00E66BDC" w:rsidP="00E66BDC">
      <w:pPr>
        <w:spacing w:line="360" w:lineRule="auto"/>
        <w:jc w:val="both"/>
        <w:rPr>
          <w:rFonts w:ascii="Arial" w:hAnsi="Arial" w:cs="Arial"/>
          <w:iCs/>
          <w:sz w:val="24"/>
          <w:szCs w:val="24"/>
        </w:rPr>
      </w:pPr>
    </w:p>
    <w:p w:rsidR="00051EC1" w:rsidRPr="00C92610" w:rsidRDefault="007B558A" w:rsidP="00C92610">
      <w:pPr>
        <w:spacing w:after="0" w:line="480" w:lineRule="auto"/>
        <w:jc w:val="center"/>
        <w:rPr>
          <w:rFonts w:ascii="Arial" w:hAnsi="Arial" w:cs="Arial"/>
          <w:b/>
          <w:sz w:val="20"/>
          <w:szCs w:val="24"/>
        </w:rPr>
      </w:pPr>
      <w:r w:rsidRPr="00C92610">
        <w:rPr>
          <w:rFonts w:ascii="Arial" w:hAnsi="Arial" w:cs="Arial"/>
          <w:b/>
          <w:sz w:val="20"/>
          <w:szCs w:val="24"/>
        </w:rPr>
        <w:lastRenderedPageBreak/>
        <w:t>Tabla 2</w:t>
      </w:r>
      <w:r w:rsidR="00051EC1" w:rsidRPr="00C92610">
        <w:rPr>
          <w:rFonts w:ascii="Arial" w:hAnsi="Arial" w:cs="Arial"/>
          <w:b/>
          <w:sz w:val="20"/>
          <w:szCs w:val="24"/>
        </w:rPr>
        <w:t>. Recomendaciones actuales de ingesta de sodio en población adulta.</w:t>
      </w:r>
    </w:p>
    <w:tbl>
      <w:tblPr>
        <w:tblStyle w:val="Cuadrculamedia3-nfasis4"/>
        <w:tblW w:w="9039" w:type="dxa"/>
        <w:tblLayout w:type="fixed"/>
        <w:tblLook w:val="0000" w:firstRow="0" w:lastRow="0" w:firstColumn="0" w:lastColumn="0" w:noHBand="0" w:noVBand="0"/>
      </w:tblPr>
      <w:tblGrid>
        <w:gridCol w:w="1951"/>
        <w:gridCol w:w="1418"/>
        <w:gridCol w:w="708"/>
        <w:gridCol w:w="709"/>
        <w:gridCol w:w="4253"/>
      </w:tblGrid>
      <w:tr w:rsidR="00051EC1" w:rsidRPr="005A27C7" w:rsidTr="007B558A">
        <w:trPr>
          <w:cnfStyle w:val="000000100000" w:firstRow="0" w:lastRow="0" w:firstColumn="0" w:lastColumn="0" w:oddVBand="0" w:evenVBand="0" w:oddHBand="1" w:evenHBand="0" w:firstRowFirstColumn="0" w:firstRowLastColumn="0" w:lastRowFirstColumn="0" w:lastRowLastColumn="0"/>
          <w:trHeight w:hRule="exact" w:val="395"/>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051EC1" w:rsidRPr="005A27C7" w:rsidRDefault="00051EC1" w:rsidP="003D6BAF">
            <w:pPr>
              <w:spacing w:line="480" w:lineRule="auto"/>
              <w:jc w:val="both"/>
              <w:rPr>
                <w:rFonts w:ascii="Arial" w:hAnsi="Arial" w:cs="Arial"/>
                <w:b/>
                <w:sz w:val="20"/>
                <w:szCs w:val="20"/>
                <w:lang w:val="es-ES"/>
              </w:rPr>
            </w:pPr>
            <w:r w:rsidRPr="005A27C7">
              <w:rPr>
                <w:rFonts w:ascii="Arial" w:hAnsi="Arial" w:cs="Arial"/>
                <w:b/>
                <w:sz w:val="20"/>
                <w:szCs w:val="20"/>
                <w:lang w:val="es-ES"/>
              </w:rPr>
              <w:t>Población</w:t>
            </w:r>
          </w:p>
        </w:tc>
        <w:tc>
          <w:tcPr>
            <w:tcW w:w="1418" w:type="dxa"/>
            <w:tcBorders>
              <w:left w:val="single" w:sz="4" w:space="0" w:color="auto"/>
            </w:tcBorders>
          </w:tcPr>
          <w:p w:rsidR="00051EC1" w:rsidRPr="005A27C7" w:rsidRDefault="00051EC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5A27C7">
              <w:rPr>
                <w:rFonts w:ascii="Arial" w:hAnsi="Arial" w:cs="Arial"/>
                <w:b/>
                <w:bCs/>
                <w:sz w:val="20"/>
                <w:szCs w:val="20"/>
                <w:lang w:val="es-ES"/>
              </w:rPr>
              <w:t>Referencia</w:t>
            </w:r>
          </w:p>
        </w:tc>
        <w:tc>
          <w:tcPr>
            <w:cnfStyle w:val="000010000000" w:firstRow="0" w:lastRow="0" w:firstColumn="0" w:lastColumn="0" w:oddVBand="1" w:evenVBand="0" w:oddHBand="0" w:evenHBand="0" w:firstRowFirstColumn="0" w:firstRowLastColumn="0" w:lastRowFirstColumn="0" w:lastRowLastColumn="0"/>
            <w:tcW w:w="708" w:type="dxa"/>
          </w:tcPr>
          <w:p w:rsidR="00051EC1" w:rsidRPr="005A27C7" w:rsidRDefault="00051EC1" w:rsidP="00051EC1">
            <w:pPr>
              <w:spacing w:after="200" w:line="480" w:lineRule="auto"/>
              <w:jc w:val="center"/>
              <w:rPr>
                <w:rFonts w:ascii="Arial" w:hAnsi="Arial" w:cs="Arial"/>
                <w:sz w:val="20"/>
                <w:szCs w:val="20"/>
                <w:lang w:val="es-ES"/>
              </w:rPr>
            </w:pPr>
            <w:r w:rsidRPr="005A27C7">
              <w:rPr>
                <w:rFonts w:ascii="Arial" w:hAnsi="Arial" w:cs="Arial"/>
                <w:b/>
                <w:bCs/>
                <w:sz w:val="20"/>
                <w:szCs w:val="20"/>
                <w:lang w:val="es-ES"/>
              </w:rPr>
              <w:t>País</w:t>
            </w:r>
          </w:p>
        </w:tc>
        <w:tc>
          <w:tcPr>
            <w:tcW w:w="709" w:type="dxa"/>
          </w:tcPr>
          <w:p w:rsidR="00051EC1" w:rsidRPr="005A27C7" w:rsidRDefault="00051EC1" w:rsidP="00051EC1">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5A27C7">
              <w:rPr>
                <w:rFonts w:ascii="Arial" w:hAnsi="Arial" w:cs="Arial"/>
                <w:b/>
                <w:bCs/>
                <w:sz w:val="20"/>
                <w:szCs w:val="20"/>
                <w:lang w:val="es-ES"/>
              </w:rPr>
              <w:t>Año</w:t>
            </w:r>
          </w:p>
        </w:tc>
        <w:tc>
          <w:tcPr>
            <w:cnfStyle w:val="000010000000" w:firstRow="0" w:lastRow="0" w:firstColumn="0" w:lastColumn="0" w:oddVBand="1" w:evenVBand="0" w:oddHBand="0" w:evenHBand="0" w:firstRowFirstColumn="0" w:firstRowLastColumn="0" w:lastRowFirstColumn="0" w:lastRowLastColumn="0"/>
            <w:tcW w:w="4253" w:type="dxa"/>
          </w:tcPr>
          <w:p w:rsidR="00051EC1" w:rsidRPr="005A27C7" w:rsidRDefault="00051EC1" w:rsidP="00051EC1">
            <w:pPr>
              <w:spacing w:after="200" w:line="480" w:lineRule="auto"/>
              <w:jc w:val="center"/>
              <w:rPr>
                <w:rFonts w:ascii="Arial" w:hAnsi="Arial" w:cs="Arial"/>
                <w:sz w:val="20"/>
                <w:szCs w:val="20"/>
                <w:lang w:val="es-ES"/>
              </w:rPr>
            </w:pPr>
            <w:r w:rsidRPr="005A27C7">
              <w:rPr>
                <w:rFonts w:ascii="Arial" w:hAnsi="Arial" w:cs="Arial"/>
                <w:b/>
                <w:bCs/>
                <w:sz w:val="20"/>
                <w:szCs w:val="20"/>
                <w:lang w:val="es-ES"/>
              </w:rPr>
              <w:t>Recomendación de restricción de sodio</w:t>
            </w:r>
          </w:p>
        </w:tc>
      </w:tr>
      <w:tr w:rsidR="00051EC1" w:rsidRPr="005A27C7" w:rsidTr="007B558A">
        <w:trPr>
          <w:trHeight w:hRule="exact" w:val="457"/>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051EC1" w:rsidRPr="005A27C7" w:rsidRDefault="00051EC1" w:rsidP="00A97E8C">
            <w:pPr>
              <w:spacing w:after="200" w:line="480" w:lineRule="auto"/>
              <w:jc w:val="both"/>
              <w:rPr>
                <w:rFonts w:ascii="Arial" w:hAnsi="Arial" w:cs="Arial"/>
                <w:bCs/>
                <w:sz w:val="20"/>
                <w:szCs w:val="20"/>
                <w:lang w:val="es-ES"/>
              </w:rPr>
            </w:pPr>
            <w:r w:rsidRPr="005A27C7">
              <w:rPr>
                <w:rFonts w:ascii="Arial" w:hAnsi="Arial" w:cs="Arial"/>
                <w:bCs/>
                <w:sz w:val="20"/>
                <w:szCs w:val="20"/>
                <w:lang w:val="es-ES"/>
              </w:rPr>
              <w:t>General</w:t>
            </w:r>
          </w:p>
        </w:tc>
        <w:tc>
          <w:tcPr>
            <w:tcW w:w="1418" w:type="dxa"/>
            <w:tcBorders>
              <w:left w:val="single" w:sz="4" w:space="0" w:color="auto"/>
            </w:tcBorders>
          </w:tcPr>
          <w:p w:rsidR="00051EC1" w:rsidRPr="00173C4F" w:rsidRDefault="00051EC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OMS</w:t>
            </w:r>
          </w:p>
        </w:tc>
        <w:tc>
          <w:tcPr>
            <w:cnfStyle w:val="000010000000" w:firstRow="0" w:lastRow="0" w:firstColumn="0" w:lastColumn="0" w:oddVBand="1" w:evenVBand="0" w:oddHBand="0" w:evenHBand="0" w:firstRowFirstColumn="0" w:firstRowLastColumn="0" w:lastRowFirstColumn="0" w:lastRowLastColumn="0"/>
            <w:tcW w:w="708" w:type="dxa"/>
          </w:tcPr>
          <w:p w:rsidR="00051EC1" w:rsidRPr="005A27C7" w:rsidRDefault="00051EC1" w:rsidP="00051EC1">
            <w:pPr>
              <w:spacing w:line="480" w:lineRule="auto"/>
              <w:jc w:val="center"/>
              <w:rPr>
                <w:rFonts w:ascii="Arial" w:hAnsi="Arial" w:cs="Arial"/>
                <w:b/>
                <w:bCs/>
                <w:sz w:val="20"/>
                <w:szCs w:val="20"/>
                <w:lang w:val="es-ES"/>
              </w:rPr>
            </w:pPr>
            <w:r w:rsidRPr="005A27C7">
              <w:rPr>
                <w:rFonts w:ascii="Arial" w:hAnsi="Arial" w:cs="Arial"/>
                <w:bCs/>
                <w:sz w:val="20"/>
                <w:szCs w:val="20"/>
                <w:lang w:val="es-ES"/>
              </w:rPr>
              <w:t>-l</w:t>
            </w:r>
          </w:p>
        </w:tc>
        <w:tc>
          <w:tcPr>
            <w:tcW w:w="709" w:type="dxa"/>
          </w:tcPr>
          <w:p w:rsidR="00051EC1" w:rsidRPr="005A27C7" w:rsidRDefault="00051EC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ES"/>
              </w:rPr>
            </w:pPr>
            <w:r w:rsidRPr="005A27C7">
              <w:rPr>
                <w:rFonts w:ascii="Arial" w:hAnsi="Arial" w:cs="Arial"/>
                <w:bCs/>
                <w:sz w:val="20"/>
                <w:szCs w:val="20"/>
                <w:lang w:val="es-ES"/>
              </w:rPr>
              <w:t>2012</w:t>
            </w:r>
          </w:p>
        </w:tc>
        <w:tc>
          <w:tcPr>
            <w:cnfStyle w:val="000010000000" w:firstRow="0" w:lastRow="0" w:firstColumn="0" w:lastColumn="0" w:oddVBand="1" w:evenVBand="0" w:oddHBand="0" w:evenHBand="0" w:firstRowFirstColumn="0" w:firstRowLastColumn="0" w:lastRowFirstColumn="0" w:lastRowLastColumn="0"/>
            <w:tcW w:w="4253" w:type="dxa"/>
          </w:tcPr>
          <w:p w:rsidR="00051EC1" w:rsidRPr="005A27C7" w:rsidRDefault="007C2C5B" w:rsidP="00051EC1">
            <w:pPr>
              <w:spacing w:line="480" w:lineRule="auto"/>
              <w:jc w:val="center"/>
              <w:rPr>
                <w:rFonts w:ascii="Arial" w:hAnsi="Arial" w:cs="Arial"/>
                <w:bCs/>
                <w:sz w:val="20"/>
                <w:szCs w:val="20"/>
                <w:lang w:val="es-ES"/>
              </w:rPr>
            </w:pPr>
            <w:r>
              <w:rPr>
                <w:rFonts w:ascii="Arial" w:hAnsi="Arial" w:cs="Arial"/>
                <w:bCs/>
                <w:sz w:val="20"/>
                <w:szCs w:val="20"/>
                <w:lang w:val="es-ES"/>
              </w:rPr>
              <w:t xml:space="preserve">&lt; </w:t>
            </w:r>
            <w:r w:rsidR="00051EC1" w:rsidRPr="005A27C7">
              <w:rPr>
                <w:rFonts w:ascii="Arial" w:hAnsi="Arial" w:cs="Arial"/>
                <w:bCs/>
                <w:sz w:val="20"/>
                <w:szCs w:val="20"/>
                <w:lang w:val="es-ES"/>
              </w:rPr>
              <w:t>2000 mg/d</w:t>
            </w:r>
          </w:p>
        </w:tc>
      </w:tr>
      <w:tr w:rsidR="00051EC1" w:rsidRPr="005A27C7" w:rsidTr="007B558A">
        <w:trPr>
          <w:cnfStyle w:val="000000100000" w:firstRow="0" w:lastRow="0" w:firstColumn="0" w:lastColumn="0" w:oddVBand="0" w:evenVBand="0" w:oddHBand="1" w:evenHBand="0" w:firstRowFirstColumn="0" w:firstRowLastColumn="0" w:lastRowFirstColumn="0" w:lastRowLastColumn="0"/>
          <w:trHeight w:hRule="exact" w:val="386"/>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051EC1" w:rsidRPr="005A27C7" w:rsidRDefault="00051EC1" w:rsidP="00A97E8C">
            <w:pPr>
              <w:spacing w:after="200" w:line="480" w:lineRule="auto"/>
              <w:jc w:val="both"/>
              <w:rPr>
                <w:rFonts w:ascii="Arial" w:hAnsi="Arial" w:cs="Arial"/>
                <w:sz w:val="20"/>
                <w:szCs w:val="20"/>
                <w:lang w:val="es-ES"/>
              </w:rPr>
            </w:pPr>
            <w:r w:rsidRPr="005A27C7">
              <w:rPr>
                <w:rFonts w:ascii="Arial" w:hAnsi="Arial" w:cs="Arial"/>
                <w:sz w:val="20"/>
                <w:szCs w:val="20"/>
                <w:lang w:val="es-ES"/>
              </w:rPr>
              <w:t>General</w:t>
            </w:r>
          </w:p>
        </w:tc>
        <w:tc>
          <w:tcPr>
            <w:tcW w:w="1418" w:type="dxa"/>
            <w:vMerge w:val="restart"/>
            <w:tcBorders>
              <w:left w:val="single" w:sz="4" w:space="0" w:color="auto"/>
            </w:tcBorders>
          </w:tcPr>
          <w:p w:rsidR="00051EC1" w:rsidRPr="00173C4F" w:rsidRDefault="00051EC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HHS</w:t>
            </w:r>
          </w:p>
          <w:p w:rsidR="00051EC1" w:rsidRPr="00173C4F" w:rsidRDefault="00051EC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USDA</w:t>
            </w:r>
          </w:p>
        </w:tc>
        <w:tc>
          <w:tcPr>
            <w:cnfStyle w:val="000010000000" w:firstRow="0" w:lastRow="0" w:firstColumn="0" w:lastColumn="0" w:oddVBand="1" w:evenVBand="0" w:oddHBand="0" w:evenHBand="0" w:firstRowFirstColumn="0" w:firstRowLastColumn="0" w:lastRowFirstColumn="0" w:lastRowLastColumn="0"/>
            <w:tcW w:w="708" w:type="dxa"/>
            <w:vMerge w:val="restart"/>
          </w:tcPr>
          <w:p w:rsidR="00051EC1" w:rsidRPr="005A27C7" w:rsidRDefault="00051EC1" w:rsidP="00051EC1">
            <w:pPr>
              <w:spacing w:after="200" w:line="480" w:lineRule="auto"/>
              <w:jc w:val="center"/>
              <w:rPr>
                <w:rFonts w:ascii="Arial" w:hAnsi="Arial" w:cs="Arial"/>
                <w:b/>
                <w:bCs/>
                <w:sz w:val="20"/>
                <w:szCs w:val="20"/>
                <w:lang w:val="es-ES"/>
              </w:rPr>
            </w:pPr>
          </w:p>
          <w:p w:rsidR="00051EC1" w:rsidRPr="005A27C7" w:rsidRDefault="00051EC1" w:rsidP="00051EC1">
            <w:pPr>
              <w:spacing w:after="200" w:line="480" w:lineRule="auto"/>
              <w:jc w:val="center"/>
              <w:rPr>
                <w:rFonts w:ascii="Arial" w:hAnsi="Arial" w:cs="Arial"/>
                <w:sz w:val="20"/>
                <w:szCs w:val="20"/>
                <w:lang w:val="es-ES"/>
              </w:rPr>
            </w:pPr>
            <w:r w:rsidRPr="005A27C7">
              <w:rPr>
                <w:rFonts w:ascii="Arial" w:hAnsi="Arial" w:cs="Arial"/>
                <w:sz w:val="20"/>
                <w:szCs w:val="20"/>
                <w:lang w:val="es-ES"/>
              </w:rPr>
              <w:t>EUA</w:t>
            </w:r>
          </w:p>
        </w:tc>
        <w:tc>
          <w:tcPr>
            <w:tcW w:w="709" w:type="dxa"/>
          </w:tcPr>
          <w:p w:rsidR="00051EC1" w:rsidRPr="005A27C7" w:rsidRDefault="00051EC1" w:rsidP="00051EC1">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2015</w:t>
            </w:r>
          </w:p>
        </w:tc>
        <w:tc>
          <w:tcPr>
            <w:cnfStyle w:val="000010000000" w:firstRow="0" w:lastRow="0" w:firstColumn="0" w:lastColumn="0" w:oddVBand="1" w:evenVBand="0" w:oddHBand="0" w:evenHBand="0" w:firstRowFirstColumn="0" w:firstRowLastColumn="0" w:lastRowFirstColumn="0" w:lastRowLastColumn="0"/>
            <w:tcW w:w="4253" w:type="dxa"/>
          </w:tcPr>
          <w:p w:rsidR="00051EC1" w:rsidRPr="005A27C7" w:rsidRDefault="00051EC1" w:rsidP="00051EC1">
            <w:pPr>
              <w:spacing w:after="200" w:line="480" w:lineRule="auto"/>
              <w:jc w:val="center"/>
              <w:rPr>
                <w:rFonts w:ascii="Arial" w:hAnsi="Arial" w:cs="Arial"/>
                <w:sz w:val="20"/>
                <w:szCs w:val="20"/>
                <w:lang w:val="es-ES"/>
              </w:rPr>
            </w:pPr>
            <w:r w:rsidRPr="005A27C7">
              <w:rPr>
                <w:rFonts w:ascii="Arial" w:hAnsi="Arial" w:cs="Arial"/>
                <w:sz w:val="20"/>
                <w:szCs w:val="20"/>
                <w:lang w:val="es-ES"/>
              </w:rPr>
              <w:t>&lt; 2300 mg/d</w:t>
            </w:r>
          </w:p>
        </w:tc>
      </w:tr>
      <w:tr w:rsidR="00051EC1" w:rsidRPr="005A27C7" w:rsidTr="007B558A">
        <w:trPr>
          <w:trHeight w:hRule="exact" w:val="426"/>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051EC1" w:rsidRPr="005A27C7" w:rsidRDefault="00051EC1" w:rsidP="00A97E8C">
            <w:pPr>
              <w:spacing w:after="200" w:line="480" w:lineRule="auto"/>
              <w:jc w:val="both"/>
              <w:rPr>
                <w:rFonts w:ascii="Arial" w:hAnsi="Arial" w:cs="Arial"/>
                <w:bCs/>
                <w:sz w:val="20"/>
                <w:szCs w:val="20"/>
                <w:lang w:val="es-ES"/>
              </w:rPr>
            </w:pPr>
            <w:r w:rsidRPr="005A27C7">
              <w:rPr>
                <w:rFonts w:ascii="Arial" w:hAnsi="Arial" w:cs="Arial"/>
                <w:bCs/>
                <w:sz w:val="20"/>
                <w:szCs w:val="20"/>
                <w:lang w:val="es-ES"/>
              </w:rPr>
              <w:t>HAS</w:t>
            </w:r>
          </w:p>
          <w:p w:rsidR="00051EC1" w:rsidRPr="005A27C7" w:rsidRDefault="00051EC1" w:rsidP="00A97E8C">
            <w:pPr>
              <w:spacing w:after="200" w:line="480" w:lineRule="auto"/>
              <w:jc w:val="both"/>
              <w:rPr>
                <w:rFonts w:ascii="Arial" w:hAnsi="Arial" w:cs="Arial"/>
                <w:sz w:val="20"/>
                <w:szCs w:val="20"/>
                <w:lang w:val="es-ES"/>
              </w:rPr>
            </w:pPr>
          </w:p>
        </w:tc>
        <w:tc>
          <w:tcPr>
            <w:tcW w:w="1418" w:type="dxa"/>
            <w:vMerge/>
            <w:tcBorders>
              <w:left w:val="single" w:sz="4" w:space="0" w:color="auto"/>
            </w:tcBorders>
          </w:tcPr>
          <w:p w:rsidR="00051EC1" w:rsidRPr="00173C4F" w:rsidRDefault="00051EC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
        </w:tc>
        <w:tc>
          <w:tcPr>
            <w:cnfStyle w:val="000010000000" w:firstRow="0" w:lastRow="0" w:firstColumn="0" w:lastColumn="0" w:oddVBand="1" w:evenVBand="0" w:oddHBand="0" w:evenHBand="0" w:firstRowFirstColumn="0" w:firstRowLastColumn="0" w:lastRowFirstColumn="0" w:lastRowLastColumn="0"/>
            <w:tcW w:w="708" w:type="dxa"/>
            <w:vMerge/>
          </w:tcPr>
          <w:p w:rsidR="00051EC1" w:rsidRPr="005A27C7" w:rsidRDefault="00051EC1" w:rsidP="00051EC1">
            <w:pPr>
              <w:spacing w:after="200" w:line="480" w:lineRule="auto"/>
              <w:jc w:val="center"/>
              <w:rPr>
                <w:rFonts w:ascii="Arial" w:hAnsi="Arial" w:cs="Arial"/>
                <w:sz w:val="20"/>
                <w:szCs w:val="20"/>
                <w:lang w:val="es-ES"/>
              </w:rPr>
            </w:pPr>
          </w:p>
        </w:tc>
        <w:tc>
          <w:tcPr>
            <w:tcW w:w="709" w:type="dxa"/>
          </w:tcPr>
          <w:p w:rsidR="00051EC1" w:rsidRPr="005A27C7" w:rsidRDefault="00051EC1" w:rsidP="00051EC1">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2015</w:t>
            </w:r>
          </w:p>
        </w:tc>
        <w:tc>
          <w:tcPr>
            <w:cnfStyle w:val="000010000000" w:firstRow="0" w:lastRow="0" w:firstColumn="0" w:lastColumn="0" w:oddVBand="1" w:evenVBand="0" w:oddHBand="0" w:evenHBand="0" w:firstRowFirstColumn="0" w:firstRowLastColumn="0" w:lastRowFirstColumn="0" w:lastRowLastColumn="0"/>
            <w:tcW w:w="4253" w:type="dxa"/>
          </w:tcPr>
          <w:p w:rsidR="00051EC1" w:rsidRPr="005A27C7" w:rsidRDefault="00051EC1" w:rsidP="00051EC1">
            <w:pPr>
              <w:spacing w:after="200" w:line="480" w:lineRule="auto"/>
              <w:jc w:val="center"/>
              <w:rPr>
                <w:rFonts w:ascii="Arial" w:hAnsi="Arial" w:cs="Arial"/>
                <w:sz w:val="20"/>
                <w:szCs w:val="20"/>
                <w:lang w:val="es-ES"/>
              </w:rPr>
            </w:pPr>
            <w:r w:rsidRPr="005A27C7">
              <w:rPr>
                <w:rFonts w:ascii="Arial" w:hAnsi="Arial" w:cs="Arial"/>
                <w:sz w:val="20"/>
                <w:szCs w:val="20"/>
                <w:lang w:val="es-ES"/>
              </w:rPr>
              <w:t>&lt; 1500 mg/d</w:t>
            </w:r>
          </w:p>
        </w:tc>
      </w:tr>
      <w:tr w:rsidR="00882A01" w:rsidRPr="005A27C7" w:rsidTr="007B558A">
        <w:trPr>
          <w:cnfStyle w:val="000000100000" w:firstRow="0" w:lastRow="0" w:firstColumn="0" w:lastColumn="0" w:oddVBand="0" w:evenVBand="0" w:oddHBand="1" w:evenHBand="0" w:firstRowFirstColumn="0" w:firstRowLastColumn="0" w:lastRowFirstColumn="0" w:lastRowLastColumn="0"/>
          <w:trHeight w:hRule="exact" w:val="426"/>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line="480" w:lineRule="auto"/>
              <w:jc w:val="both"/>
              <w:rPr>
                <w:rFonts w:ascii="Arial" w:hAnsi="Arial" w:cs="Arial"/>
                <w:bCs/>
                <w:sz w:val="20"/>
                <w:szCs w:val="20"/>
                <w:lang w:val="es-ES"/>
              </w:rPr>
            </w:pPr>
            <w:r>
              <w:rPr>
                <w:rFonts w:ascii="Arial" w:hAnsi="Arial" w:cs="Arial"/>
                <w:sz w:val="20"/>
                <w:szCs w:val="20"/>
                <w:lang w:val="es-ES"/>
              </w:rPr>
              <w:t>IC</w:t>
            </w:r>
          </w:p>
        </w:tc>
        <w:tc>
          <w:tcPr>
            <w:tcW w:w="1418" w:type="dxa"/>
            <w:tcBorders>
              <w:left w:val="single" w:sz="4" w:space="0" w:color="auto"/>
            </w:tcBorders>
          </w:tcPr>
          <w:p w:rsidR="00882A01" w:rsidRPr="00173C4F" w:rsidRDefault="00882A0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ADA</w:t>
            </w:r>
          </w:p>
        </w:tc>
        <w:tc>
          <w:tcPr>
            <w:cnfStyle w:val="000010000000" w:firstRow="0" w:lastRow="0" w:firstColumn="0" w:lastColumn="0" w:oddVBand="1" w:evenVBand="0" w:oddHBand="0" w:evenHBand="0" w:firstRowFirstColumn="0" w:firstRowLastColumn="0" w:lastRowFirstColumn="0" w:lastRowLastColumn="0"/>
            <w:tcW w:w="708" w:type="dxa"/>
            <w:vMerge/>
          </w:tcPr>
          <w:p w:rsidR="00882A01" w:rsidRPr="005A27C7" w:rsidRDefault="00882A01" w:rsidP="00051EC1">
            <w:pPr>
              <w:spacing w:line="480" w:lineRule="auto"/>
              <w:jc w:val="center"/>
              <w:rPr>
                <w:rFonts w:ascii="Arial" w:hAnsi="Arial" w:cs="Arial"/>
                <w:sz w:val="20"/>
                <w:szCs w:val="20"/>
                <w:lang w:val="es-ES"/>
              </w:rPr>
            </w:pPr>
          </w:p>
        </w:tc>
        <w:tc>
          <w:tcPr>
            <w:tcW w:w="709" w:type="dxa"/>
          </w:tcPr>
          <w:p w:rsidR="00882A01" w:rsidRPr="005A27C7" w:rsidRDefault="00882A0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Pr>
                <w:rFonts w:ascii="Arial" w:hAnsi="Arial" w:cs="Arial"/>
                <w:sz w:val="20"/>
                <w:szCs w:val="20"/>
                <w:lang w:val="es-ES"/>
              </w:rPr>
              <w:t>2016</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line="480" w:lineRule="auto"/>
              <w:jc w:val="center"/>
              <w:rPr>
                <w:rFonts w:ascii="Arial" w:hAnsi="Arial" w:cs="Arial"/>
                <w:sz w:val="20"/>
                <w:szCs w:val="20"/>
                <w:lang w:val="es-ES"/>
              </w:rPr>
            </w:pPr>
            <w:r w:rsidRPr="005A27C7">
              <w:rPr>
                <w:rFonts w:ascii="Arial" w:hAnsi="Arial" w:cs="Arial"/>
                <w:sz w:val="20"/>
                <w:szCs w:val="20"/>
                <w:lang w:val="es-ES"/>
              </w:rPr>
              <w:t>&lt; 2000 mg/d</w:t>
            </w:r>
          </w:p>
        </w:tc>
      </w:tr>
      <w:tr w:rsidR="00882A01" w:rsidRPr="005A27C7" w:rsidTr="007B558A">
        <w:trPr>
          <w:trHeight w:hRule="exact" w:val="426"/>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line="480" w:lineRule="auto"/>
              <w:jc w:val="both"/>
              <w:rPr>
                <w:rFonts w:ascii="Arial" w:hAnsi="Arial" w:cs="Arial"/>
                <w:bCs/>
                <w:sz w:val="20"/>
                <w:szCs w:val="20"/>
                <w:lang w:val="es-ES"/>
              </w:rPr>
            </w:pPr>
            <w:r>
              <w:rPr>
                <w:rFonts w:ascii="Arial" w:hAnsi="Arial" w:cs="Arial"/>
                <w:bCs/>
                <w:sz w:val="20"/>
                <w:szCs w:val="20"/>
                <w:lang w:val="es-ES"/>
              </w:rPr>
              <w:t>Diabetes</w:t>
            </w:r>
          </w:p>
        </w:tc>
        <w:tc>
          <w:tcPr>
            <w:tcW w:w="1418" w:type="dxa"/>
            <w:tcBorders>
              <w:left w:val="single" w:sz="4" w:space="0" w:color="auto"/>
            </w:tcBorders>
          </w:tcPr>
          <w:p w:rsidR="00882A01" w:rsidRPr="00173C4F" w:rsidRDefault="00882A0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ADA</w:t>
            </w:r>
          </w:p>
        </w:tc>
        <w:tc>
          <w:tcPr>
            <w:cnfStyle w:val="000010000000" w:firstRow="0" w:lastRow="0" w:firstColumn="0" w:lastColumn="0" w:oddVBand="1" w:evenVBand="0" w:oddHBand="0" w:evenHBand="0" w:firstRowFirstColumn="0" w:firstRowLastColumn="0" w:lastRowFirstColumn="0" w:lastRowLastColumn="0"/>
            <w:tcW w:w="708" w:type="dxa"/>
            <w:vMerge/>
          </w:tcPr>
          <w:p w:rsidR="00882A01" w:rsidRPr="005A27C7" w:rsidRDefault="00882A01" w:rsidP="00051EC1">
            <w:pPr>
              <w:spacing w:line="480" w:lineRule="auto"/>
              <w:jc w:val="center"/>
              <w:rPr>
                <w:rFonts w:ascii="Arial" w:hAnsi="Arial" w:cs="Arial"/>
                <w:sz w:val="20"/>
                <w:szCs w:val="20"/>
                <w:lang w:val="es-ES"/>
              </w:rPr>
            </w:pPr>
          </w:p>
        </w:tc>
        <w:tc>
          <w:tcPr>
            <w:tcW w:w="709" w:type="dxa"/>
          </w:tcPr>
          <w:p w:rsidR="00882A01" w:rsidRPr="005A27C7" w:rsidRDefault="00882A0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Pr>
                <w:rFonts w:ascii="Arial" w:hAnsi="Arial" w:cs="Arial"/>
                <w:sz w:val="20"/>
                <w:szCs w:val="20"/>
                <w:lang w:val="es-ES"/>
              </w:rPr>
              <w:t>2015</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line="480" w:lineRule="auto"/>
              <w:jc w:val="center"/>
              <w:rPr>
                <w:rFonts w:ascii="Arial" w:hAnsi="Arial" w:cs="Arial"/>
                <w:sz w:val="20"/>
                <w:szCs w:val="20"/>
                <w:lang w:val="es-ES"/>
              </w:rPr>
            </w:pPr>
            <w:r>
              <w:rPr>
                <w:rFonts w:ascii="Arial" w:hAnsi="Arial" w:cs="Arial"/>
                <w:sz w:val="20"/>
                <w:szCs w:val="20"/>
                <w:lang w:val="es-ES"/>
              </w:rPr>
              <w:t>&lt; 2300 mg/ d</w:t>
            </w:r>
          </w:p>
        </w:tc>
      </w:tr>
      <w:tr w:rsidR="00882A01" w:rsidRPr="005A27C7" w:rsidTr="007B558A">
        <w:trPr>
          <w:cnfStyle w:val="000000100000" w:firstRow="0" w:lastRow="0" w:firstColumn="0" w:lastColumn="0" w:oddVBand="0" w:evenVBand="0" w:oddHBand="1" w:evenHBand="0" w:firstRowFirstColumn="0" w:firstRowLastColumn="0" w:lastRowFirstColumn="0" w:lastRowLastColumn="0"/>
          <w:trHeight w:hRule="exact" w:val="390"/>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after="200" w:line="480" w:lineRule="auto"/>
              <w:jc w:val="both"/>
              <w:rPr>
                <w:rFonts w:ascii="Arial" w:hAnsi="Arial" w:cs="Arial"/>
                <w:sz w:val="20"/>
                <w:szCs w:val="20"/>
                <w:lang w:val="es-ES"/>
              </w:rPr>
            </w:pPr>
            <w:r w:rsidRPr="005A27C7">
              <w:rPr>
                <w:rFonts w:ascii="Arial" w:hAnsi="Arial" w:cs="Arial"/>
                <w:bCs/>
                <w:sz w:val="20"/>
                <w:szCs w:val="20"/>
                <w:lang w:val="es-ES"/>
              </w:rPr>
              <w:t>ECV.</w:t>
            </w:r>
          </w:p>
        </w:tc>
        <w:tc>
          <w:tcPr>
            <w:tcW w:w="1418" w:type="dxa"/>
            <w:tcBorders>
              <w:left w:val="single" w:sz="4" w:space="0" w:color="auto"/>
            </w:tcBorders>
          </w:tcPr>
          <w:p w:rsidR="00882A01" w:rsidRPr="00173C4F" w:rsidRDefault="00882A0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173C4F">
              <w:rPr>
                <w:rFonts w:ascii="Arial" w:hAnsi="Arial" w:cs="Arial"/>
                <w:bCs/>
                <w:sz w:val="20"/>
                <w:szCs w:val="20"/>
                <w:lang w:val="es-ES"/>
              </w:rPr>
              <w:t>AHA</w:t>
            </w:r>
          </w:p>
        </w:tc>
        <w:tc>
          <w:tcPr>
            <w:cnfStyle w:val="000010000000" w:firstRow="0" w:lastRow="0" w:firstColumn="0" w:lastColumn="0" w:oddVBand="1" w:evenVBand="0" w:oddHBand="0" w:evenHBand="0" w:firstRowFirstColumn="0" w:firstRowLastColumn="0" w:lastRowFirstColumn="0" w:lastRowLastColumn="0"/>
            <w:tcW w:w="708" w:type="dxa"/>
            <w:vMerge/>
          </w:tcPr>
          <w:p w:rsidR="00882A01" w:rsidRPr="005A27C7" w:rsidRDefault="00882A01" w:rsidP="00051EC1">
            <w:pPr>
              <w:spacing w:after="200" w:line="480" w:lineRule="auto"/>
              <w:jc w:val="center"/>
              <w:rPr>
                <w:rFonts w:ascii="Arial" w:hAnsi="Arial" w:cs="Arial"/>
                <w:sz w:val="20"/>
                <w:szCs w:val="20"/>
                <w:lang w:val="es-ES"/>
              </w:rPr>
            </w:pPr>
          </w:p>
        </w:tc>
        <w:tc>
          <w:tcPr>
            <w:tcW w:w="709" w:type="dxa"/>
          </w:tcPr>
          <w:p w:rsidR="00882A01" w:rsidRPr="005A27C7" w:rsidRDefault="00882A01" w:rsidP="00C517FF">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201</w:t>
            </w:r>
            <w:r>
              <w:rPr>
                <w:rFonts w:ascii="Arial" w:hAnsi="Arial" w:cs="Arial"/>
                <w:sz w:val="20"/>
                <w:szCs w:val="20"/>
                <w:lang w:val="es-ES"/>
              </w:rPr>
              <w:t>2</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after="200" w:line="480" w:lineRule="auto"/>
              <w:jc w:val="center"/>
              <w:rPr>
                <w:rFonts w:ascii="Arial" w:hAnsi="Arial" w:cs="Arial"/>
                <w:sz w:val="20"/>
                <w:szCs w:val="20"/>
                <w:lang w:val="es-ES"/>
              </w:rPr>
            </w:pPr>
            <w:r w:rsidRPr="005A27C7">
              <w:rPr>
                <w:rFonts w:ascii="Arial" w:hAnsi="Arial" w:cs="Arial"/>
                <w:sz w:val="20"/>
                <w:szCs w:val="20"/>
                <w:lang w:val="es-ES"/>
              </w:rPr>
              <w:t>&lt; 1500 mg/d</w:t>
            </w:r>
          </w:p>
        </w:tc>
      </w:tr>
      <w:tr w:rsidR="00882A01" w:rsidRPr="005A27C7" w:rsidTr="007B558A">
        <w:trPr>
          <w:trHeight w:hRule="exact" w:val="416"/>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after="200" w:line="480" w:lineRule="auto"/>
              <w:jc w:val="both"/>
              <w:rPr>
                <w:rFonts w:ascii="Arial" w:hAnsi="Arial" w:cs="Arial"/>
                <w:sz w:val="20"/>
                <w:szCs w:val="20"/>
                <w:lang w:val="es-ES"/>
              </w:rPr>
            </w:pPr>
            <w:r w:rsidRPr="005A27C7">
              <w:rPr>
                <w:rFonts w:ascii="Arial" w:hAnsi="Arial" w:cs="Arial"/>
                <w:bCs/>
                <w:sz w:val="20"/>
                <w:szCs w:val="20"/>
                <w:lang w:val="es-ES"/>
              </w:rPr>
              <w:t>Diabetes</w:t>
            </w:r>
          </w:p>
        </w:tc>
        <w:tc>
          <w:tcPr>
            <w:tcW w:w="1418" w:type="dxa"/>
            <w:tcBorders>
              <w:left w:val="single" w:sz="4" w:space="0" w:color="auto"/>
            </w:tcBorders>
          </w:tcPr>
          <w:p w:rsidR="00882A01" w:rsidRPr="00173C4F" w:rsidRDefault="00882A0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ALAD</w:t>
            </w:r>
          </w:p>
        </w:tc>
        <w:tc>
          <w:tcPr>
            <w:cnfStyle w:val="000010000000" w:firstRow="0" w:lastRow="0" w:firstColumn="0" w:lastColumn="0" w:oddVBand="1" w:evenVBand="0" w:oddHBand="0" w:evenHBand="0" w:firstRowFirstColumn="0" w:firstRowLastColumn="0" w:lastRowFirstColumn="0" w:lastRowLastColumn="0"/>
            <w:tcW w:w="708" w:type="dxa"/>
            <w:vMerge w:val="restart"/>
          </w:tcPr>
          <w:p w:rsidR="00882A01" w:rsidRPr="005A27C7" w:rsidRDefault="00882A01" w:rsidP="00051EC1">
            <w:pPr>
              <w:spacing w:after="200" w:line="480" w:lineRule="auto"/>
              <w:jc w:val="center"/>
              <w:rPr>
                <w:rFonts w:ascii="Arial" w:hAnsi="Arial" w:cs="Arial"/>
                <w:sz w:val="20"/>
                <w:szCs w:val="20"/>
                <w:lang w:val="es-ES"/>
              </w:rPr>
            </w:pPr>
          </w:p>
          <w:p w:rsidR="00882A01" w:rsidRPr="005A27C7" w:rsidRDefault="00882A01" w:rsidP="00051EC1">
            <w:pPr>
              <w:spacing w:after="200" w:line="480" w:lineRule="auto"/>
              <w:jc w:val="center"/>
              <w:rPr>
                <w:rFonts w:ascii="Arial" w:hAnsi="Arial" w:cs="Arial"/>
                <w:sz w:val="20"/>
                <w:szCs w:val="20"/>
                <w:lang w:val="es-ES"/>
              </w:rPr>
            </w:pPr>
            <w:r w:rsidRPr="005A27C7">
              <w:rPr>
                <w:rFonts w:ascii="Arial" w:hAnsi="Arial" w:cs="Arial"/>
                <w:sz w:val="20"/>
                <w:szCs w:val="20"/>
                <w:lang w:val="es-ES"/>
              </w:rPr>
              <w:t>LA</w:t>
            </w:r>
          </w:p>
        </w:tc>
        <w:tc>
          <w:tcPr>
            <w:tcW w:w="709" w:type="dxa"/>
          </w:tcPr>
          <w:p w:rsidR="00882A01" w:rsidRPr="005A27C7" w:rsidRDefault="00882A01" w:rsidP="00051EC1">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2013</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after="200" w:line="480" w:lineRule="auto"/>
              <w:jc w:val="center"/>
              <w:rPr>
                <w:rFonts w:ascii="Arial" w:hAnsi="Arial" w:cs="Arial"/>
                <w:sz w:val="20"/>
                <w:szCs w:val="20"/>
                <w:lang w:val="es-ES"/>
              </w:rPr>
            </w:pPr>
            <w:r w:rsidRPr="005A27C7">
              <w:rPr>
                <w:rFonts w:ascii="Arial" w:hAnsi="Arial" w:cs="Arial"/>
                <w:sz w:val="20"/>
                <w:szCs w:val="20"/>
                <w:lang w:val="es-ES"/>
              </w:rPr>
              <w:t>&lt; 1600 mg/d</w:t>
            </w:r>
          </w:p>
        </w:tc>
      </w:tr>
      <w:tr w:rsidR="00882A01" w:rsidRPr="005A27C7" w:rsidTr="007B558A">
        <w:trPr>
          <w:cnfStyle w:val="000000100000" w:firstRow="0" w:lastRow="0" w:firstColumn="0" w:lastColumn="0" w:oddVBand="0" w:evenVBand="0" w:oddHBand="1" w:evenHBand="0" w:firstRowFirstColumn="0" w:firstRowLastColumn="0" w:lastRowFirstColumn="0" w:lastRowLastColumn="0"/>
          <w:trHeight w:hRule="exact" w:val="330"/>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line="480" w:lineRule="auto"/>
              <w:jc w:val="both"/>
              <w:rPr>
                <w:rFonts w:ascii="Arial" w:hAnsi="Arial" w:cs="Arial"/>
                <w:bCs/>
                <w:sz w:val="20"/>
                <w:szCs w:val="20"/>
                <w:lang w:val="es-ES"/>
              </w:rPr>
            </w:pPr>
            <w:r w:rsidRPr="005A27C7">
              <w:rPr>
                <w:rFonts w:ascii="Arial" w:hAnsi="Arial" w:cs="Arial"/>
                <w:bCs/>
                <w:sz w:val="20"/>
                <w:szCs w:val="20"/>
                <w:lang w:val="es-ES"/>
              </w:rPr>
              <w:t>HAS en DT2 y SM</w:t>
            </w:r>
          </w:p>
        </w:tc>
        <w:tc>
          <w:tcPr>
            <w:tcW w:w="1418" w:type="dxa"/>
            <w:tcBorders>
              <w:left w:val="single" w:sz="4" w:space="0" w:color="auto"/>
            </w:tcBorders>
          </w:tcPr>
          <w:p w:rsidR="00882A01" w:rsidRPr="00D42A47" w:rsidRDefault="00882A0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42A47">
              <w:rPr>
                <w:rFonts w:ascii="Arial" w:hAnsi="Arial" w:cs="Arial"/>
                <w:sz w:val="20"/>
                <w:szCs w:val="20"/>
              </w:rPr>
              <w:t>Consenso LA</w:t>
            </w:r>
          </w:p>
        </w:tc>
        <w:tc>
          <w:tcPr>
            <w:cnfStyle w:val="000010000000" w:firstRow="0" w:lastRow="0" w:firstColumn="0" w:lastColumn="0" w:oddVBand="1" w:evenVBand="0" w:oddHBand="0" w:evenHBand="0" w:firstRowFirstColumn="0" w:firstRowLastColumn="0" w:lastRowFirstColumn="0" w:lastRowLastColumn="0"/>
            <w:tcW w:w="708" w:type="dxa"/>
            <w:vMerge/>
          </w:tcPr>
          <w:p w:rsidR="00882A01" w:rsidRPr="005A27C7" w:rsidRDefault="00882A01" w:rsidP="00051EC1">
            <w:pPr>
              <w:spacing w:line="480" w:lineRule="auto"/>
              <w:jc w:val="center"/>
              <w:rPr>
                <w:rFonts w:ascii="Arial" w:hAnsi="Arial" w:cs="Arial"/>
                <w:sz w:val="20"/>
                <w:szCs w:val="20"/>
                <w:lang w:val="es-ES"/>
              </w:rPr>
            </w:pPr>
          </w:p>
        </w:tc>
        <w:tc>
          <w:tcPr>
            <w:tcW w:w="709" w:type="dxa"/>
          </w:tcPr>
          <w:p w:rsidR="00882A01" w:rsidRPr="005A27C7" w:rsidRDefault="00882A0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2013</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line="480" w:lineRule="auto"/>
              <w:jc w:val="center"/>
              <w:rPr>
                <w:rFonts w:ascii="Arial" w:hAnsi="Arial" w:cs="Arial"/>
                <w:sz w:val="20"/>
                <w:szCs w:val="20"/>
                <w:lang w:val="es-ES"/>
              </w:rPr>
            </w:pPr>
            <w:r w:rsidRPr="005A27C7">
              <w:rPr>
                <w:rFonts w:ascii="Arial" w:hAnsi="Arial" w:cs="Arial"/>
                <w:sz w:val="20"/>
                <w:szCs w:val="20"/>
                <w:lang w:val="es-ES"/>
              </w:rPr>
              <w:t>&lt; 32000 mg/d</w:t>
            </w:r>
          </w:p>
        </w:tc>
      </w:tr>
      <w:tr w:rsidR="00882A01" w:rsidRPr="005A27C7" w:rsidTr="007B558A">
        <w:trPr>
          <w:trHeight w:hRule="exact" w:val="420"/>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line="480" w:lineRule="auto"/>
              <w:jc w:val="both"/>
              <w:rPr>
                <w:rFonts w:ascii="Arial" w:hAnsi="Arial" w:cs="Arial"/>
                <w:bCs/>
                <w:sz w:val="20"/>
                <w:szCs w:val="20"/>
                <w:lang w:val="es-ES"/>
              </w:rPr>
            </w:pPr>
            <w:r w:rsidRPr="005A27C7">
              <w:rPr>
                <w:rFonts w:ascii="Arial" w:hAnsi="Arial" w:cs="Arial"/>
                <w:bCs/>
                <w:sz w:val="20"/>
                <w:szCs w:val="20"/>
                <w:lang w:val="es-ES"/>
              </w:rPr>
              <w:t>General</w:t>
            </w:r>
          </w:p>
        </w:tc>
        <w:tc>
          <w:tcPr>
            <w:tcW w:w="1418" w:type="dxa"/>
            <w:tcBorders>
              <w:left w:val="single" w:sz="4" w:space="0" w:color="auto"/>
            </w:tcBorders>
          </w:tcPr>
          <w:p w:rsidR="00882A01" w:rsidRPr="00173C4F" w:rsidRDefault="00882A0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3C4F">
              <w:rPr>
                <w:rFonts w:ascii="Arial" w:hAnsi="Arial" w:cs="Arial"/>
                <w:sz w:val="20"/>
                <w:szCs w:val="20"/>
                <w:lang w:val="es-ES"/>
              </w:rPr>
              <w:t>OPS</w:t>
            </w:r>
          </w:p>
        </w:tc>
        <w:tc>
          <w:tcPr>
            <w:cnfStyle w:val="000010000000" w:firstRow="0" w:lastRow="0" w:firstColumn="0" w:lastColumn="0" w:oddVBand="1" w:evenVBand="0" w:oddHBand="0" w:evenHBand="0" w:firstRowFirstColumn="0" w:firstRowLastColumn="0" w:lastRowFirstColumn="0" w:lastRowLastColumn="0"/>
            <w:tcW w:w="708" w:type="dxa"/>
            <w:vMerge/>
          </w:tcPr>
          <w:p w:rsidR="00882A01" w:rsidRPr="005A27C7" w:rsidRDefault="00882A01" w:rsidP="00051EC1">
            <w:pPr>
              <w:spacing w:line="480" w:lineRule="auto"/>
              <w:jc w:val="center"/>
              <w:rPr>
                <w:rFonts w:ascii="Arial" w:hAnsi="Arial" w:cs="Arial"/>
                <w:sz w:val="20"/>
                <w:szCs w:val="20"/>
                <w:lang w:val="es-ES"/>
              </w:rPr>
            </w:pPr>
          </w:p>
        </w:tc>
        <w:tc>
          <w:tcPr>
            <w:tcW w:w="709" w:type="dxa"/>
          </w:tcPr>
          <w:p w:rsidR="00882A01" w:rsidRPr="005A27C7" w:rsidRDefault="00882A0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2011</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line="480" w:lineRule="auto"/>
              <w:jc w:val="center"/>
              <w:rPr>
                <w:rFonts w:ascii="Arial" w:hAnsi="Arial" w:cs="Arial"/>
                <w:sz w:val="20"/>
                <w:szCs w:val="20"/>
                <w:lang w:val="es-ES"/>
              </w:rPr>
            </w:pPr>
            <w:r w:rsidRPr="005A27C7">
              <w:rPr>
                <w:rFonts w:ascii="Arial" w:hAnsi="Arial" w:cs="Arial"/>
                <w:sz w:val="20"/>
                <w:szCs w:val="20"/>
                <w:lang w:val="es-ES"/>
              </w:rPr>
              <w:t>&lt; 2000 mg/d</w:t>
            </w:r>
          </w:p>
        </w:tc>
      </w:tr>
      <w:tr w:rsidR="00882A01" w:rsidRPr="005A27C7" w:rsidTr="007B558A">
        <w:trPr>
          <w:cnfStyle w:val="000000100000" w:firstRow="0" w:lastRow="0" w:firstColumn="0" w:lastColumn="0" w:oddVBand="0" w:evenVBand="0" w:oddHBand="1" w:evenHBand="0" w:firstRowFirstColumn="0" w:firstRowLastColumn="0" w:lastRowFirstColumn="0" w:lastRowLastColumn="0"/>
          <w:trHeight w:hRule="exact" w:val="290"/>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after="200" w:line="480" w:lineRule="auto"/>
              <w:jc w:val="both"/>
              <w:rPr>
                <w:rFonts w:ascii="Arial" w:hAnsi="Arial" w:cs="Arial"/>
                <w:bCs/>
                <w:sz w:val="20"/>
                <w:szCs w:val="20"/>
                <w:lang w:val="es-ES"/>
              </w:rPr>
            </w:pPr>
            <w:r w:rsidRPr="005A27C7">
              <w:rPr>
                <w:rFonts w:ascii="Arial" w:hAnsi="Arial" w:cs="Arial"/>
                <w:bCs/>
                <w:sz w:val="20"/>
                <w:szCs w:val="20"/>
                <w:lang w:val="es-ES"/>
              </w:rPr>
              <w:t>General</w:t>
            </w:r>
          </w:p>
          <w:p w:rsidR="00882A01" w:rsidRPr="005A27C7" w:rsidRDefault="00882A01" w:rsidP="00A97E8C">
            <w:pPr>
              <w:spacing w:after="200" w:line="480" w:lineRule="auto"/>
              <w:jc w:val="both"/>
              <w:rPr>
                <w:rFonts w:ascii="Arial" w:hAnsi="Arial" w:cs="Arial"/>
                <w:sz w:val="20"/>
                <w:szCs w:val="20"/>
                <w:lang w:val="es-ES"/>
              </w:rPr>
            </w:pPr>
          </w:p>
        </w:tc>
        <w:tc>
          <w:tcPr>
            <w:tcW w:w="1418" w:type="dxa"/>
            <w:tcBorders>
              <w:left w:val="single" w:sz="4" w:space="0" w:color="auto"/>
            </w:tcBorders>
          </w:tcPr>
          <w:p w:rsidR="00882A01" w:rsidRPr="00173C4F" w:rsidRDefault="00882A0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ILSI</w:t>
            </w:r>
          </w:p>
        </w:tc>
        <w:tc>
          <w:tcPr>
            <w:cnfStyle w:val="000010000000" w:firstRow="0" w:lastRow="0" w:firstColumn="0" w:lastColumn="0" w:oddVBand="1" w:evenVBand="0" w:oddHBand="0" w:evenHBand="0" w:firstRowFirstColumn="0" w:firstRowLastColumn="0" w:lastRowFirstColumn="0" w:lastRowLastColumn="0"/>
            <w:tcW w:w="708" w:type="dxa"/>
            <w:vMerge/>
          </w:tcPr>
          <w:p w:rsidR="00882A01" w:rsidRPr="005A27C7" w:rsidRDefault="00882A01" w:rsidP="00051EC1">
            <w:pPr>
              <w:spacing w:after="200" w:line="480" w:lineRule="auto"/>
              <w:jc w:val="center"/>
              <w:rPr>
                <w:rFonts w:ascii="Arial" w:hAnsi="Arial" w:cs="Arial"/>
                <w:sz w:val="20"/>
                <w:szCs w:val="20"/>
                <w:lang w:val="es-ES"/>
              </w:rPr>
            </w:pPr>
          </w:p>
        </w:tc>
        <w:tc>
          <w:tcPr>
            <w:tcW w:w="709" w:type="dxa"/>
          </w:tcPr>
          <w:p w:rsidR="00882A01" w:rsidRPr="005A27C7" w:rsidRDefault="00882A01" w:rsidP="00051EC1">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2011</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after="200" w:line="480" w:lineRule="auto"/>
              <w:jc w:val="center"/>
              <w:rPr>
                <w:rFonts w:ascii="Arial" w:hAnsi="Arial" w:cs="Arial"/>
                <w:sz w:val="20"/>
                <w:szCs w:val="20"/>
                <w:lang w:val="es-ES"/>
              </w:rPr>
            </w:pPr>
            <w:r w:rsidRPr="005A27C7">
              <w:rPr>
                <w:rFonts w:ascii="Arial" w:hAnsi="Arial" w:cs="Arial"/>
                <w:sz w:val="20"/>
                <w:szCs w:val="20"/>
                <w:lang w:val="es-ES"/>
              </w:rPr>
              <w:t>&lt; 2000 mg/d</w:t>
            </w:r>
          </w:p>
        </w:tc>
      </w:tr>
      <w:tr w:rsidR="00882A01" w:rsidRPr="005A27C7" w:rsidTr="007B558A">
        <w:trPr>
          <w:trHeight w:hRule="exact" w:val="340"/>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after="200" w:line="480" w:lineRule="auto"/>
              <w:jc w:val="both"/>
              <w:rPr>
                <w:rFonts w:ascii="Arial" w:hAnsi="Arial" w:cs="Arial"/>
                <w:sz w:val="20"/>
                <w:szCs w:val="20"/>
                <w:lang w:val="es-ES"/>
              </w:rPr>
            </w:pPr>
            <w:r w:rsidRPr="005A27C7">
              <w:rPr>
                <w:rFonts w:ascii="Arial" w:hAnsi="Arial" w:cs="Arial"/>
                <w:sz w:val="20"/>
                <w:szCs w:val="20"/>
                <w:lang w:val="es-ES"/>
              </w:rPr>
              <w:t>General</w:t>
            </w:r>
            <w:r>
              <w:rPr>
                <w:rFonts w:ascii="Arial" w:hAnsi="Arial" w:cs="Arial"/>
                <w:sz w:val="20"/>
                <w:szCs w:val="20"/>
                <w:lang w:val="es-ES"/>
              </w:rPr>
              <w:t xml:space="preserve"> (sana)</w:t>
            </w:r>
          </w:p>
        </w:tc>
        <w:tc>
          <w:tcPr>
            <w:tcW w:w="1418" w:type="dxa"/>
            <w:tcBorders>
              <w:left w:val="single" w:sz="4" w:space="0" w:color="auto"/>
            </w:tcBorders>
          </w:tcPr>
          <w:p w:rsidR="00882A01" w:rsidRPr="00173C4F" w:rsidRDefault="00882A0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roofErr w:type="spellStart"/>
            <w:r w:rsidRPr="00173C4F">
              <w:rPr>
                <w:rFonts w:ascii="Arial" w:hAnsi="Arial" w:cs="Arial"/>
                <w:sz w:val="20"/>
                <w:szCs w:val="20"/>
                <w:lang w:val="es-ES"/>
              </w:rPr>
              <w:t>Bourges</w:t>
            </w:r>
            <w:proofErr w:type="spellEnd"/>
          </w:p>
        </w:tc>
        <w:tc>
          <w:tcPr>
            <w:cnfStyle w:val="000010000000" w:firstRow="0" w:lastRow="0" w:firstColumn="0" w:lastColumn="0" w:oddVBand="1" w:evenVBand="0" w:oddHBand="0" w:evenHBand="0" w:firstRowFirstColumn="0" w:firstRowLastColumn="0" w:lastRowFirstColumn="0" w:lastRowLastColumn="0"/>
            <w:tcW w:w="708" w:type="dxa"/>
            <w:vMerge w:val="restart"/>
          </w:tcPr>
          <w:p w:rsidR="00882A01" w:rsidRDefault="00882A01" w:rsidP="00051EC1">
            <w:pPr>
              <w:spacing w:after="200" w:line="480" w:lineRule="auto"/>
              <w:jc w:val="center"/>
              <w:rPr>
                <w:rFonts w:ascii="Arial" w:hAnsi="Arial" w:cs="Arial"/>
                <w:sz w:val="20"/>
                <w:szCs w:val="20"/>
                <w:lang w:val="es-ES"/>
              </w:rPr>
            </w:pPr>
          </w:p>
          <w:p w:rsidR="00882A01" w:rsidRPr="005A27C7" w:rsidRDefault="00882A01" w:rsidP="00051EC1">
            <w:pPr>
              <w:spacing w:after="200" w:line="480" w:lineRule="auto"/>
              <w:jc w:val="center"/>
              <w:rPr>
                <w:rFonts w:ascii="Arial" w:hAnsi="Arial" w:cs="Arial"/>
                <w:sz w:val="20"/>
                <w:szCs w:val="20"/>
                <w:lang w:val="es-ES"/>
              </w:rPr>
            </w:pPr>
          </w:p>
          <w:p w:rsidR="00882A01" w:rsidRPr="005A27C7" w:rsidRDefault="00882A01" w:rsidP="00051EC1">
            <w:pPr>
              <w:spacing w:after="200" w:line="480" w:lineRule="auto"/>
              <w:jc w:val="center"/>
              <w:rPr>
                <w:rFonts w:ascii="Arial" w:hAnsi="Arial" w:cs="Arial"/>
                <w:sz w:val="20"/>
                <w:szCs w:val="20"/>
                <w:lang w:val="es-ES"/>
              </w:rPr>
            </w:pPr>
            <w:r w:rsidRPr="005A27C7">
              <w:rPr>
                <w:rFonts w:ascii="Arial" w:hAnsi="Arial" w:cs="Arial"/>
                <w:sz w:val="20"/>
                <w:szCs w:val="20"/>
                <w:lang w:val="es-ES"/>
              </w:rPr>
              <w:t>MEX</w:t>
            </w:r>
          </w:p>
        </w:tc>
        <w:tc>
          <w:tcPr>
            <w:tcW w:w="709" w:type="dxa"/>
          </w:tcPr>
          <w:p w:rsidR="00882A01" w:rsidRPr="005A27C7" w:rsidRDefault="00882A01" w:rsidP="00051EC1">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2005</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after="200" w:line="480" w:lineRule="auto"/>
              <w:jc w:val="center"/>
              <w:rPr>
                <w:rFonts w:ascii="Arial" w:hAnsi="Arial" w:cs="Arial"/>
                <w:sz w:val="20"/>
                <w:szCs w:val="20"/>
                <w:lang w:val="es-ES"/>
              </w:rPr>
            </w:pPr>
            <w:r w:rsidRPr="005A27C7">
              <w:rPr>
                <w:rFonts w:ascii="Arial" w:hAnsi="Arial" w:cs="Arial"/>
                <w:sz w:val="20"/>
                <w:szCs w:val="20"/>
                <w:lang w:val="es-ES"/>
              </w:rPr>
              <w:t>500 mg (Requerimientos mínimos)</w:t>
            </w:r>
          </w:p>
        </w:tc>
      </w:tr>
      <w:tr w:rsidR="00882A01" w:rsidRPr="005A27C7" w:rsidTr="007B558A">
        <w:trPr>
          <w:cnfStyle w:val="000000100000" w:firstRow="0" w:lastRow="0" w:firstColumn="0" w:lastColumn="0" w:oddVBand="0" w:evenVBand="0" w:oddHBand="1" w:evenHBand="0" w:firstRowFirstColumn="0" w:firstRowLastColumn="0" w:lastRowFirstColumn="0" w:lastRowLastColumn="0"/>
          <w:trHeight w:hRule="exact" w:val="937"/>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557124">
            <w:pPr>
              <w:tabs>
                <w:tab w:val="left" w:pos="797"/>
                <w:tab w:val="center" w:pos="1151"/>
              </w:tabs>
              <w:spacing w:line="360" w:lineRule="auto"/>
              <w:jc w:val="both"/>
              <w:rPr>
                <w:rFonts w:ascii="Arial" w:hAnsi="Arial" w:cs="Arial"/>
                <w:bCs/>
                <w:sz w:val="20"/>
                <w:szCs w:val="20"/>
                <w:lang w:val="es-ES"/>
              </w:rPr>
            </w:pPr>
          </w:p>
          <w:p w:rsidR="00882A01" w:rsidRPr="005A27C7" w:rsidRDefault="00882A01" w:rsidP="00557124">
            <w:pPr>
              <w:tabs>
                <w:tab w:val="left" w:pos="797"/>
                <w:tab w:val="center" w:pos="1151"/>
              </w:tabs>
              <w:spacing w:line="360" w:lineRule="auto"/>
              <w:jc w:val="both"/>
              <w:rPr>
                <w:rFonts w:ascii="Arial" w:hAnsi="Arial" w:cs="Arial"/>
                <w:bCs/>
                <w:sz w:val="20"/>
                <w:szCs w:val="20"/>
                <w:lang w:val="es-ES"/>
              </w:rPr>
            </w:pPr>
            <w:r w:rsidRPr="005A27C7">
              <w:rPr>
                <w:rFonts w:ascii="Arial" w:hAnsi="Arial" w:cs="Arial"/>
                <w:bCs/>
                <w:sz w:val="20"/>
                <w:szCs w:val="20"/>
                <w:lang w:val="es-ES"/>
              </w:rPr>
              <w:t>HAS</w:t>
            </w:r>
          </w:p>
        </w:tc>
        <w:tc>
          <w:tcPr>
            <w:tcW w:w="1418" w:type="dxa"/>
            <w:tcBorders>
              <w:left w:val="single" w:sz="4" w:space="0" w:color="auto"/>
            </w:tcBorders>
          </w:tcPr>
          <w:p w:rsidR="00882A01" w:rsidRPr="00173C4F" w:rsidRDefault="00882A01" w:rsidP="0055712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
          <w:p w:rsidR="00882A01" w:rsidRPr="00173C4F" w:rsidRDefault="00882A01" w:rsidP="0055712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GPC HAS</w:t>
            </w:r>
          </w:p>
        </w:tc>
        <w:tc>
          <w:tcPr>
            <w:cnfStyle w:val="000010000000" w:firstRow="0" w:lastRow="0" w:firstColumn="0" w:lastColumn="0" w:oddVBand="1" w:evenVBand="0" w:oddHBand="0" w:evenHBand="0" w:firstRowFirstColumn="0" w:firstRowLastColumn="0" w:lastRowFirstColumn="0" w:lastRowLastColumn="0"/>
            <w:tcW w:w="708" w:type="dxa"/>
            <w:vMerge/>
          </w:tcPr>
          <w:p w:rsidR="00882A01" w:rsidRPr="005A27C7" w:rsidRDefault="00882A01" w:rsidP="00557124">
            <w:pPr>
              <w:spacing w:line="360" w:lineRule="auto"/>
              <w:jc w:val="center"/>
              <w:rPr>
                <w:rFonts w:ascii="Arial" w:hAnsi="Arial" w:cs="Arial"/>
                <w:sz w:val="20"/>
                <w:szCs w:val="20"/>
                <w:lang w:val="es-ES"/>
              </w:rPr>
            </w:pPr>
          </w:p>
        </w:tc>
        <w:tc>
          <w:tcPr>
            <w:tcW w:w="709" w:type="dxa"/>
          </w:tcPr>
          <w:p w:rsidR="00882A01" w:rsidRPr="005A27C7" w:rsidRDefault="00882A01" w:rsidP="0055712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
          <w:p w:rsidR="00882A01" w:rsidRPr="005A27C7" w:rsidRDefault="00882A01" w:rsidP="0055712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2014</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7B558A">
            <w:pPr>
              <w:spacing w:line="360" w:lineRule="auto"/>
              <w:jc w:val="center"/>
              <w:rPr>
                <w:rFonts w:ascii="Arial" w:hAnsi="Arial" w:cs="Arial"/>
                <w:sz w:val="20"/>
                <w:szCs w:val="20"/>
                <w:lang w:val="es-ES"/>
              </w:rPr>
            </w:pPr>
            <w:r w:rsidRPr="005A27C7">
              <w:rPr>
                <w:rFonts w:ascii="Arial" w:hAnsi="Arial" w:cs="Arial"/>
                <w:sz w:val="20"/>
                <w:szCs w:val="20"/>
                <w:lang w:val="es-ES"/>
              </w:rPr>
              <w:t>&lt; 1500 mg/día (&lt; 50 años)</w:t>
            </w:r>
          </w:p>
          <w:p w:rsidR="00882A01" w:rsidRPr="005A27C7" w:rsidRDefault="00882A01" w:rsidP="007B558A">
            <w:pPr>
              <w:spacing w:line="360" w:lineRule="auto"/>
              <w:jc w:val="center"/>
              <w:rPr>
                <w:rFonts w:ascii="Arial" w:hAnsi="Arial" w:cs="Arial"/>
                <w:sz w:val="20"/>
                <w:szCs w:val="20"/>
                <w:lang w:val="es-ES"/>
              </w:rPr>
            </w:pPr>
            <w:r w:rsidRPr="005A27C7">
              <w:rPr>
                <w:rFonts w:ascii="Arial" w:hAnsi="Arial" w:cs="Arial"/>
                <w:sz w:val="20"/>
                <w:szCs w:val="20"/>
                <w:lang w:val="es-ES"/>
              </w:rPr>
              <w:t>&lt; 1300 mg/d (51 – 71 años)</w:t>
            </w:r>
          </w:p>
          <w:p w:rsidR="00882A01" w:rsidRPr="005A27C7" w:rsidRDefault="00882A01" w:rsidP="007B558A">
            <w:pPr>
              <w:spacing w:line="360" w:lineRule="auto"/>
              <w:jc w:val="center"/>
              <w:rPr>
                <w:rFonts w:ascii="Arial" w:hAnsi="Arial" w:cs="Arial"/>
                <w:sz w:val="20"/>
                <w:szCs w:val="20"/>
                <w:lang w:val="es-ES"/>
              </w:rPr>
            </w:pPr>
            <w:r w:rsidRPr="005A27C7">
              <w:rPr>
                <w:rFonts w:ascii="Arial" w:hAnsi="Arial" w:cs="Arial"/>
                <w:sz w:val="20"/>
                <w:szCs w:val="20"/>
                <w:lang w:val="es-ES"/>
              </w:rPr>
              <w:t>&lt; 1200 mg/d (&gt;</w:t>
            </w:r>
            <w:r>
              <w:rPr>
                <w:rFonts w:ascii="Arial" w:hAnsi="Arial" w:cs="Arial"/>
                <w:sz w:val="20"/>
                <w:szCs w:val="20"/>
                <w:lang w:val="es-ES"/>
              </w:rPr>
              <w:t xml:space="preserve"> </w:t>
            </w:r>
            <w:r w:rsidRPr="005A27C7">
              <w:rPr>
                <w:rFonts w:ascii="Arial" w:hAnsi="Arial" w:cs="Arial"/>
                <w:sz w:val="20"/>
                <w:szCs w:val="20"/>
                <w:lang w:val="es-ES"/>
              </w:rPr>
              <w:t>70 años)</w:t>
            </w:r>
          </w:p>
        </w:tc>
      </w:tr>
      <w:tr w:rsidR="00882A01" w:rsidRPr="005A27C7" w:rsidTr="007B558A">
        <w:trPr>
          <w:trHeight w:hRule="exact" w:val="416"/>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after="200" w:line="480" w:lineRule="auto"/>
              <w:jc w:val="both"/>
              <w:rPr>
                <w:rFonts w:ascii="Arial" w:hAnsi="Arial" w:cs="Arial"/>
                <w:sz w:val="20"/>
                <w:szCs w:val="20"/>
                <w:lang w:val="es-ES"/>
              </w:rPr>
            </w:pPr>
            <w:r w:rsidRPr="005A27C7">
              <w:rPr>
                <w:rFonts w:ascii="Arial" w:hAnsi="Arial" w:cs="Arial"/>
                <w:bCs/>
                <w:sz w:val="20"/>
                <w:szCs w:val="20"/>
                <w:lang w:val="es-ES"/>
              </w:rPr>
              <w:t>DT2 + HAS</w:t>
            </w:r>
          </w:p>
        </w:tc>
        <w:tc>
          <w:tcPr>
            <w:tcW w:w="1418" w:type="dxa"/>
            <w:tcBorders>
              <w:left w:val="single" w:sz="4" w:space="0" w:color="auto"/>
            </w:tcBorders>
          </w:tcPr>
          <w:p w:rsidR="00882A01" w:rsidRPr="00173C4F" w:rsidRDefault="00882A0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GPC DT</w:t>
            </w:r>
          </w:p>
        </w:tc>
        <w:tc>
          <w:tcPr>
            <w:cnfStyle w:val="000010000000" w:firstRow="0" w:lastRow="0" w:firstColumn="0" w:lastColumn="0" w:oddVBand="1" w:evenVBand="0" w:oddHBand="0" w:evenHBand="0" w:firstRowFirstColumn="0" w:firstRowLastColumn="0" w:lastRowFirstColumn="0" w:lastRowLastColumn="0"/>
            <w:tcW w:w="708" w:type="dxa"/>
            <w:vMerge/>
          </w:tcPr>
          <w:p w:rsidR="00882A01" w:rsidRPr="005A27C7" w:rsidRDefault="00882A01" w:rsidP="00051EC1">
            <w:pPr>
              <w:spacing w:line="480" w:lineRule="auto"/>
              <w:jc w:val="center"/>
              <w:rPr>
                <w:rFonts w:ascii="Arial" w:hAnsi="Arial" w:cs="Arial"/>
                <w:sz w:val="20"/>
                <w:szCs w:val="20"/>
                <w:lang w:val="es-ES"/>
              </w:rPr>
            </w:pPr>
          </w:p>
        </w:tc>
        <w:tc>
          <w:tcPr>
            <w:tcW w:w="709" w:type="dxa"/>
          </w:tcPr>
          <w:p w:rsidR="00882A01" w:rsidRPr="005A27C7" w:rsidRDefault="00882A01" w:rsidP="00173C4F">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201</w:t>
            </w:r>
            <w:r w:rsidR="00173C4F">
              <w:rPr>
                <w:rFonts w:ascii="Arial" w:hAnsi="Arial" w:cs="Arial"/>
                <w:sz w:val="20"/>
                <w:szCs w:val="20"/>
                <w:lang w:val="es-ES"/>
              </w:rPr>
              <w:t>4</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after="200" w:line="480" w:lineRule="auto"/>
              <w:jc w:val="center"/>
              <w:rPr>
                <w:rFonts w:ascii="Arial" w:hAnsi="Arial" w:cs="Arial"/>
                <w:sz w:val="20"/>
                <w:szCs w:val="20"/>
                <w:lang w:val="es-ES"/>
              </w:rPr>
            </w:pPr>
            <w:r w:rsidRPr="005A27C7">
              <w:rPr>
                <w:rFonts w:ascii="Arial" w:hAnsi="Arial" w:cs="Arial"/>
                <w:sz w:val="20"/>
                <w:szCs w:val="20"/>
                <w:lang w:val="es-ES"/>
              </w:rPr>
              <w:t>&lt; 2400 mg/d</w:t>
            </w:r>
          </w:p>
        </w:tc>
      </w:tr>
      <w:tr w:rsidR="00882A01" w:rsidRPr="005A27C7" w:rsidTr="007B558A">
        <w:trPr>
          <w:cnfStyle w:val="000000100000" w:firstRow="0" w:lastRow="0" w:firstColumn="0" w:lastColumn="0" w:oddVBand="0" w:evenVBand="0" w:oddHBand="1" w:evenHBand="0" w:firstRowFirstColumn="0" w:firstRowLastColumn="0" w:lastRowFirstColumn="0" w:lastRowLastColumn="0"/>
          <w:trHeight w:hRule="exact" w:val="416"/>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line="480" w:lineRule="auto"/>
              <w:jc w:val="both"/>
              <w:rPr>
                <w:rFonts w:ascii="Arial" w:hAnsi="Arial" w:cs="Arial"/>
                <w:bCs/>
                <w:sz w:val="20"/>
                <w:szCs w:val="20"/>
                <w:lang w:val="es-ES"/>
              </w:rPr>
            </w:pPr>
            <w:r w:rsidRPr="005A27C7">
              <w:rPr>
                <w:rFonts w:ascii="Arial" w:hAnsi="Arial" w:cs="Arial"/>
                <w:bCs/>
                <w:sz w:val="20"/>
                <w:szCs w:val="20"/>
                <w:lang w:val="es-ES"/>
              </w:rPr>
              <w:t>DISLIPIDEMIAS</w:t>
            </w:r>
          </w:p>
        </w:tc>
        <w:tc>
          <w:tcPr>
            <w:tcW w:w="1418" w:type="dxa"/>
            <w:tcBorders>
              <w:left w:val="single" w:sz="4" w:space="0" w:color="auto"/>
            </w:tcBorders>
          </w:tcPr>
          <w:p w:rsidR="00882A01" w:rsidRPr="00173C4F" w:rsidRDefault="00882A0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GPC D</w:t>
            </w:r>
          </w:p>
        </w:tc>
        <w:tc>
          <w:tcPr>
            <w:cnfStyle w:val="000010000000" w:firstRow="0" w:lastRow="0" w:firstColumn="0" w:lastColumn="0" w:oddVBand="1" w:evenVBand="0" w:oddHBand="0" w:evenHBand="0" w:firstRowFirstColumn="0" w:firstRowLastColumn="0" w:lastRowFirstColumn="0" w:lastRowLastColumn="0"/>
            <w:tcW w:w="708" w:type="dxa"/>
            <w:vMerge/>
          </w:tcPr>
          <w:p w:rsidR="00882A01" w:rsidRPr="005A27C7" w:rsidRDefault="00882A01" w:rsidP="00051EC1">
            <w:pPr>
              <w:spacing w:line="480" w:lineRule="auto"/>
              <w:jc w:val="center"/>
              <w:rPr>
                <w:rFonts w:ascii="Arial" w:hAnsi="Arial" w:cs="Arial"/>
                <w:sz w:val="20"/>
                <w:szCs w:val="20"/>
                <w:lang w:val="es-ES"/>
              </w:rPr>
            </w:pPr>
          </w:p>
        </w:tc>
        <w:tc>
          <w:tcPr>
            <w:tcW w:w="709" w:type="dxa"/>
          </w:tcPr>
          <w:p w:rsidR="00882A01" w:rsidRPr="005A27C7" w:rsidRDefault="00882A0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2012</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line="480" w:lineRule="auto"/>
              <w:jc w:val="center"/>
              <w:rPr>
                <w:rFonts w:ascii="Arial" w:hAnsi="Arial" w:cs="Arial"/>
                <w:sz w:val="20"/>
                <w:szCs w:val="20"/>
                <w:lang w:val="es-ES"/>
              </w:rPr>
            </w:pPr>
            <w:r w:rsidRPr="005A27C7">
              <w:rPr>
                <w:rFonts w:ascii="Arial" w:hAnsi="Arial" w:cs="Arial"/>
                <w:sz w:val="20"/>
                <w:szCs w:val="20"/>
                <w:lang w:val="es-ES"/>
              </w:rPr>
              <w:t>&lt; 5 g de sal /d</w:t>
            </w:r>
          </w:p>
        </w:tc>
      </w:tr>
      <w:tr w:rsidR="00882A01" w:rsidRPr="005A27C7" w:rsidTr="007B558A">
        <w:trPr>
          <w:trHeight w:hRule="exact" w:val="416"/>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line="480" w:lineRule="auto"/>
              <w:jc w:val="both"/>
              <w:rPr>
                <w:rFonts w:ascii="Arial" w:hAnsi="Arial" w:cs="Arial"/>
                <w:bCs/>
                <w:sz w:val="20"/>
                <w:szCs w:val="20"/>
                <w:lang w:val="es-ES"/>
              </w:rPr>
            </w:pPr>
            <w:r w:rsidRPr="005A27C7">
              <w:rPr>
                <w:rFonts w:ascii="Arial" w:hAnsi="Arial" w:cs="Arial"/>
                <w:bCs/>
                <w:sz w:val="20"/>
                <w:szCs w:val="20"/>
                <w:lang w:val="es-ES"/>
              </w:rPr>
              <w:t>HAS</w:t>
            </w:r>
          </w:p>
        </w:tc>
        <w:tc>
          <w:tcPr>
            <w:tcW w:w="1418" w:type="dxa"/>
            <w:tcBorders>
              <w:left w:val="single" w:sz="4" w:space="0" w:color="auto"/>
            </w:tcBorders>
          </w:tcPr>
          <w:p w:rsidR="00882A01" w:rsidRPr="00173C4F" w:rsidRDefault="00882A0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GPC RCV</w:t>
            </w:r>
          </w:p>
        </w:tc>
        <w:tc>
          <w:tcPr>
            <w:cnfStyle w:val="000010000000" w:firstRow="0" w:lastRow="0" w:firstColumn="0" w:lastColumn="0" w:oddVBand="1" w:evenVBand="0" w:oddHBand="0" w:evenHBand="0" w:firstRowFirstColumn="0" w:firstRowLastColumn="0" w:lastRowFirstColumn="0" w:lastRowLastColumn="0"/>
            <w:tcW w:w="708" w:type="dxa"/>
            <w:vMerge/>
          </w:tcPr>
          <w:p w:rsidR="00882A01" w:rsidRPr="005A27C7" w:rsidRDefault="00882A01" w:rsidP="00051EC1">
            <w:pPr>
              <w:spacing w:line="480" w:lineRule="auto"/>
              <w:jc w:val="center"/>
              <w:rPr>
                <w:rFonts w:ascii="Arial" w:hAnsi="Arial" w:cs="Arial"/>
                <w:sz w:val="20"/>
                <w:szCs w:val="20"/>
                <w:lang w:val="es-ES"/>
              </w:rPr>
            </w:pPr>
          </w:p>
        </w:tc>
        <w:tc>
          <w:tcPr>
            <w:tcW w:w="709" w:type="dxa"/>
          </w:tcPr>
          <w:p w:rsidR="00882A01" w:rsidRPr="005A27C7" w:rsidRDefault="00882A0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2010</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line="480" w:lineRule="auto"/>
              <w:jc w:val="center"/>
              <w:rPr>
                <w:rFonts w:ascii="Arial" w:hAnsi="Arial" w:cs="Arial"/>
                <w:sz w:val="20"/>
                <w:szCs w:val="20"/>
                <w:lang w:val="es-ES"/>
              </w:rPr>
            </w:pPr>
            <w:r w:rsidRPr="005A27C7">
              <w:rPr>
                <w:rFonts w:ascii="Arial" w:hAnsi="Arial" w:cs="Arial"/>
                <w:sz w:val="20"/>
                <w:szCs w:val="20"/>
                <w:lang w:val="es-ES"/>
              </w:rPr>
              <w:t>&lt; 5 g de sal /d</w:t>
            </w:r>
          </w:p>
        </w:tc>
      </w:tr>
      <w:tr w:rsidR="00882A01" w:rsidRPr="005A27C7" w:rsidTr="007B558A">
        <w:trPr>
          <w:cnfStyle w:val="000000100000" w:firstRow="0" w:lastRow="0" w:firstColumn="0" w:lastColumn="0" w:oddVBand="0" w:evenVBand="0" w:oddHBand="1" w:evenHBand="0" w:firstRowFirstColumn="0" w:firstRowLastColumn="0" w:lastRowFirstColumn="0" w:lastRowLastColumn="0"/>
          <w:trHeight w:hRule="exact" w:val="339"/>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line="480" w:lineRule="auto"/>
              <w:jc w:val="both"/>
              <w:rPr>
                <w:rFonts w:ascii="Arial" w:hAnsi="Arial" w:cs="Arial"/>
                <w:bCs/>
                <w:sz w:val="20"/>
                <w:szCs w:val="20"/>
                <w:lang w:val="es-ES"/>
              </w:rPr>
            </w:pPr>
            <w:r w:rsidRPr="005A27C7">
              <w:rPr>
                <w:rFonts w:ascii="Arial" w:hAnsi="Arial" w:cs="Arial"/>
                <w:bCs/>
                <w:sz w:val="20"/>
                <w:szCs w:val="20"/>
                <w:lang w:val="es-ES"/>
              </w:rPr>
              <w:t>DT2 + HAS</w:t>
            </w:r>
          </w:p>
        </w:tc>
        <w:tc>
          <w:tcPr>
            <w:tcW w:w="1418" w:type="dxa"/>
            <w:tcBorders>
              <w:left w:val="single" w:sz="4" w:space="0" w:color="auto"/>
            </w:tcBorders>
          </w:tcPr>
          <w:p w:rsidR="00882A01" w:rsidRPr="00173C4F" w:rsidRDefault="00882A0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NOM-015</w:t>
            </w:r>
          </w:p>
        </w:tc>
        <w:tc>
          <w:tcPr>
            <w:cnfStyle w:val="000010000000" w:firstRow="0" w:lastRow="0" w:firstColumn="0" w:lastColumn="0" w:oddVBand="1" w:evenVBand="0" w:oddHBand="0" w:evenHBand="0" w:firstRowFirstColumn="0" w:firstRowLastColumn="0" w:lastRowFirstColumn="0" w:lastRowLastColumn="0"/>
            <w:tcW w:w="708" w:type="dxa"/>
            <w:vMerge/>
          </w:tcPr>
          <w:p w:rsidR="00882A01" w:rsidRPr="005A27C7" w:rsidRDefault="00882A01" w:rsidP="00051EC1">
            <w:pPr>
              <w:spacing w:line="480" w:lineRule="auto"/>
              <w:jc w:val="center"/>
              <w:rPr>
                <w:rFonts w:ascii="Arial" w:hAnsi="Arial" w:cs="Arial"/>
                <w:sz w:val="20"/>
                <w:szCs w:val="20"/>
                <w:lang w:val="es-ES"/>
              </w:rPr>
            </w:pPr>
          </w:p>
        </w:tc>
        <w:tc>
          <w:tcPr>
            <w:tcW w:w="709" w:type="dxa"/>
          </w:tcPr>
          <w:p w:rsidR="00882A01" w:rsidRPr="005A27C7" w:rsidRDefault="00882A01" w:rsidP="00051E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2010</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line="480" w:lineRule="auto"/>
              <w:jc w:val="center"/>
              <w:rPr>
                <w:rFonts w:ascii="Arial" w:hAnsi="Arial" w:cs="Arial"/>
                <w:sz w:val="20"/>
                <w:szCs w:val="20"/>
                <w:lang w:val="es-ES"/>
              </w:rPr>
            </w:pPr>
            <w:r w:rsidRPr="005A27C7">
              <w:rPr>
                <w:rFonts w:ascii="Arial" w:hAnsi="Arial" w:cs="Arial"/>
                <w:sz w:val="20"/>
                <w:szCs w:val="20"/>
                <w:lang w:val="es-ES"/>
              </w:rPr>
              <w:t>&lt; 2000 mg/d</w:t>
            </w:r>
          </w:p>
        </w:tc>
      </w:tr>
      <w:tr w:rsidR="00882A01" w:rsidRPr="005A27C7" w:rsidTr="007B558A">
        <w:trPr>
          <w:trHeight w:hRule="exact" w:val="339"/>
        </w:trPr>
        <w:tc>
          <w:tcPr>
            <w:cnfStyle w:val="000010000000" w:firstRow="0" w:lastRow="0" w:firstColumn="0" w:lastColumn="0" w:oddVBand="1" w:evenVBand="0" w:oddHBand="0" w:evenHBand="0" w:firstRowFirstColumn="0" w:firstRowLastColumn="0" w:lastRowFirstColumn="0" w:lastRowLastColumn="0"/>
            <w:tcW w:w="1951" w:type="dxa"/>
            <w:tcBorders>
              <w:right w:val="single" w:sz="4" w:space="0" w:color="auto"/>
            </w:tcBorders>
          </w:tcPr>
          <w:p w:rsidR="00882A01" w:rsidRPr="005A27C7" w:rsidRDefault="00882A01" w:rsidP="00A97E8C">
            <w:pPr>
              <w:spacing w:line="480" w:lineRule="auto"/>
              <w:jc w:val="both"/>
              <w:rPr>
                <w:rFonts w:ascii="Arial" w:hAnsi="Arial" w:cs="Arial"/>
                <w:bCs/>
                <w:sz w:val="20"/>
                <w:szCs w:val="20"/>
                <w:lang w:val="es-ES"/>
              </w:rPr>
            </w:pPr>
            <w:r w:rsidRPr="005A27C7">
              <w:rPr>
                <w:rFonts w:ascii="Arial" w:hAnsi="Arial" w:cs="Arial"/>
                <w:bCs/>
                <w:sz w:val="20"/>
                <w:szCs w:val="20"/>
                <w:lang w:val="es-ES"/>
              </w:rPr>
              <w:t>HAS</w:t>
            </w:r>
          </w:p>
        </w:tc>
        <w:tc>
          <w:tcPr>
            <w:tcW w:w="1418" w:type="dxa"/>
            <w:tcBorders>
              <w:left w:val="single" w:sz="4" w:space="0" w:color="auto"/>
            </w:tcBorders>
          </w:tcPr>
          <w:p w:rsidR="00882A01" w:rsidRPr="00173C4F" w:rsidRDefault="00882A0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173C4F">
              <w:rPr>
                <w:rFonts w:ascii="Arial" w:hAnsi="Arial" w:cs="Arial"/>
                <w:sz w:val="20"/>
                <w:szCs w:val="20"/>
                <w:lang w:val="es-ES"/>
              </w:rPr>
              <w:t>NOM-030</w:t>
            </w:r>
          </w:p>
        </w:tc>
        <w:tc>
          <w:tcPr>
            <w:cnfStyle w:val="000010000000" w:firstRow="0" w:lastRow="0" w:firstColumn="0" w:lastColumn="0" w:oddVBand="1" w:evenVBand="0" w:oddHBand="0" w:evenHBand="0" w:firstRowFirstColumn="0" w:firstRowLastColumn="0" w:lastRowFirstColumn="0" w:lastRowLastColumn="0"/>
            <w:tcW w:w="708" w:type="dxa"/>
            <w:vMerge/>
          </w:tcPr>
          <w:p w:rsidR="00882A01" w:rsidRPr="005A27C7" w:rsidRDefault="00882A01" w:rsidP="00051EC1">
            <w:pPr>
              <w:spacing w:line="480" w:lineRule="auto"/>
              <w:jc w:val="center"/>
              <w:rPr>
                <w:rFonts w:ascii="Arial" w:hAnsi="Arial" w:cs="Arial"/>
                <w:sz w:val="20"/>
                <w:szCs w:val="20"/>
                <w:lang w:val="es-ES"/>
              </w:rPr>
            </w:pPr>
          </w:p>
        </w:tc>
        <w:tc>
          <w:tcPr>
            <w:tcW w:w="709" w:type="dxa"/>
          </w:tcPr>
          <w:p w:rsidR="00882A01" w:rsidRPr="005A27C7" w:rsidRDefault="00882A01" w:rsidP="00051E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5A27C7">
              <w:rPr>
                <w:rFonts w:ascii="Arial" w:hAnsi="Arial" w:cs="Arial"/>
                <w:sz w:val="20"/>
                <w:szCs w:val="20"/>
                <w:lang w:val="es-ES"/>
              </w:rPr>
              <w:t>2009</w:t>
            </w:r>
          </w:p>
        </w:tc>
        <w:tc>
          <w:tcPr>
            <w:cnfStyle w:val="000010000000" w:firstRow="0" w:lastRow="0" w:firstColumn="0" w:lastColumn="0" w:oddVBand="1" w:evenVBand="0" w:oddHBand="0" w:evenHBand="0" w:firstRowFirstColumn="0" w:firstRowLastColumn="0" w:lastRowFirstColumn="0" w:lastRowLastColumn="0"/>
            <w:tcW w:w="4253" w:type="dxa"/>
          </w:tcPr>
          <w:p w:rsidR="00882A01" w:rsidRPr="005A27C7" w:rsidRDefault="00882A01" w:rsidP="00051EC1">
            <w:pPr>
              <w:spacing w:line="480" w:lineRule="auto"/>
              <w:jc w:val="center"/>
              <w:rPr>
                <w:rFonts w:ascii="Arial" w:hAnsi="Arial" w:cs="Arial"/>
                <w:sz w:val="20"/>
                <w:szCs w:val="20"/>
                <w:lang w:val="es-ES"/>
              </w:rPr>
            </w:pPr>
            <w:r w:rsidRPr="005A27C7">
              <w:rPr>
                <w:rFonts w:ascii="Arial" w:hAnsi="Arial" w:cs="Arial"/>
                <w:sz w:val="20"/>
                <w:szCs w:val="20"/>
                <w:lang w:val="es-ES"/>
              </w:rPr>
              <w:t>&lt; 2400 mg/d</w:t>
            </w:r>
          </w:p>
        </w:tc>
      </w:tr>
    </w:tbl>
    <w:p w:rsidR="00565035" w:rsidRDefault="00565035" w:rsidP="00830031">
      <w:pPr>
        <w:spacing w:line="480" w:lineRule="auto"/>
        <w:jc w:val="both"/>
        <w:rPr>
          <w:rFonts w:ascii="Arial" w:hAnsi="Arial" w:cs="Arial"/>
          <w:b/>
          <w:sz w:val="24"/>
          <w:szCs w:val="24"/>
          <w:lang w:val="en-US"/>
        </w:rPr>
      </w:pPr>
    </w:p>
    <w:p w:rsidR="0014576E" w:rsidRPr="00E66BDC" w:rsidRDefault="00D86612" w:rsidP="00E66BDC">
      <w:pPr>
        <w:spacing w:line="360" w:lineRule="auto"/>
        <w:jc w:val="both"/>
        <w:rPr>
          <w:rFonts w:ascii="Times New Roman" w:hAnsi="Times New Roman" w:cs="Times New Roman"/>
          <w:sz w:val="24"/>
          <w:szCs w:val="24"/>
        </w:rPr>
      </w:pPr>
      <w:r w:rsidRPr="00E66BDC">
        <w:rPr>
          <w:rFonts w:ascii="Times New Roman" w:hAnsi="Times New Roman" w:cs="Times New Roman"/>
          <w:sz w:val="24"/>
          <w:szCs w:val="24"/>
        </w:rPr>
        <w:t>N</w:t>
      </w:r>
      <w:r w:rsidR="0014576E" w:rsidRPr="00E66BDC">
        <w:rPr>
          <w:rFonts w:ascii="Times New Roman" w:hAnsi="Times New Roman" w:cs="Times New Roman"/>
          <w:sz w:val="24"/>
          <w:szCs w:val="24"/>
        </w:rPr>
        <w:t>o hay una unificación en</w:t>
      </w:r>
      <w:r w:rsidR="00EA6052" w:rsidRPr="00E66BDC">
        <w:rPr>
          <w:rFonts w:ascii="Times New Roman" w:hAnsi="Times New Roman" w:cs="Times New Roman"/>
          <w:sz w:val="24"/>
          <w:szCs w:val="24"/>
        </w:rPr>
        <w:t xml:space="preserve"> los criterios de la recomendación de consumo</w:t>
      </w:r>
      <w:r w:rsidR="0014576E" w:rsidRPr="00E66BDC">
        <w:rPr>
          <w:rFonts w:ascii="Times New Roman" w:hAnsi="Times New Roman" w:cs="Times New Roman"/>
          <w:sz w:val="24"/>
          <w:szCs w:val="24"/>
        </w:rPr>
        <w:t xml:space="preserve"> de sodio en la dieta</w:t>
      </w:r>
      <w:r w:rsidR="00EA6052" w:rsidRPr="00E66BDC">
        <w:rPr>
          <w:rFonts w:ascii="Times New Roman" w:hAnsi="Times New Roman" w:cs="Times New Roman"/>
          <w:sz w:val="24"/>
          <w:szCs w:val="24"/>
        </w:rPr>
        <w:t xml:space="preserve">, e incluso en la GPC de HAS </w:t>
      </w:r>
      <w:r w:rsidR="002F3687" w:rsidRPr="00E66BDC">
        <w:rPr>
          <w:rFonts w:ascii="Times New Roman" w:hAnsi="Times New Roman" w:cs="Times New Roman"/>
          <w:sz w:val="24"/>
          <w:szCs w:val="24"/>
        </w:rPr>
        <w:t>más reciente en México</w:t>
      </w:r>
      <w:r w:rsidR="00EA6052" w:rsidRPr="00E66BDC">
        <w:rPr>
          <w:rFonts w:ascii="Times New Roman" w:hAnsi="Times New Roman" w:cs="Times New Roman"/>
          <w:sz w:val="24"/>
          <w:szCs w:val="24"/>
        </w:rPr>
        <w:t xml:space="preserve"> hay una restricción mayor conforme</w:t>
      </w:r>
      <w:r w:rsidRPr="00E66BDC">
        <w:rPr>
          <w:rFonts w:ascii="Times New Roman" w:hAnsi="Times New Roman" w:cs="Times New Roman"/>
          <w:sz w:val="24"/>
          <w:szCs w:val="24"/>
        </w:rPr>
        <w:t xml:space="preserve"> se</w:t>
      </w:r>
      <w:r w:rsidR="00EA6052" w:rsidRPr="00E66BDC">
        <w:rPr>
          <w:rFonts w:ascii="Times New Roman" w:hAnsi="Times New Roman" w:cs="Times New Roman"/>
          <w:sz w:val="24"/>
          <w:szCs w:val="24"/>
        </w:rPr>
        <w:t xml:space="preserve"> incrementa la edad, lo cual podría resultar contraproducente</w:t>
      </w:r>
      <w:r w:rsidRPr="00E66BDC">
        <w:rPr>
          <w:rFonts w:ascii="Times New Roman" w:hAnsi="Times New Roman" w:cs="Times New Roman"/>
          <w:sz w:val="24"/>
          <w:szCs w:val="24"/>
        </w:rPr>
        <w:t>. Así,</w:t>
      </w:r>
      <w:r w:rsidR="002F3687" w:rsidRPr="00E66BDC">
        <w:rPr>
          <w:rFonts w:ascii="Times New Roman" w:hAnsi="Times New Roman" w:cs="Times New Roman"/>
          <w:sz w:val="24"/>
          <w:szCs w:val="24"/>
        </w:rPr>
        <w:t xml:space="preserve"> se hace</w:t>
      </w:r>
      <w:r w:rsidR="00EA6052" w:rsidRPr="00E66BDC">
        <w:rPr>
          <w:rFonts w:ascii="Times New Roman" w:hAnsi="Times New Roman" w:cs="Times New Roman"/>
          <w:sz w:val="24"/>
          <w:szCs w:val="24"/>
        </w:rPr>
        <w:t xml:space="preserve"> un llamado a los </w:t>
      </w:r>
      <w:r w:rsidR="002F3687" w:rsidRPr="00E66BDC">
        <w:rPr>
          <w:rFonts w:ascii="Times New Roman" w:hAnsi="Times New Roman" w:cs="Times New Roman"/>
          <w:sz w:val="24"/>
          <w:szCs w:val="24"/>
        </w:rPr>
        <w:t>encargados de diseñar la</w:t>
      </w:r>
      <w:r w:rsidR="0027210C" w:rsidRPr="00E66BDC">
        <w:rPr>
          <w:rFonts w:ascii="Times New Roman" w:hAnsi="Times New Roman" w:cs="Times New Roman"/>
          <w:sz w:val="24"/>
          <w:szCs w:val="24"/>
        </w:rPr>
        <w:t>s</w:t>
      </w:r>
      <w:r w:rsidR="002F3687" w:rsidRPr="00E66BDC">
        <w:rPr>
          <w:rFonts w:ascii="Times New Roman" w:hAnsi="Times New Roman" w:cs="Times New Roman"/>
          <w:sz w:val="24"/>
          <w:szCs w:val="24"/>
        </w:rPr>
        <w:t xml:space="preserve"> políticas públicas </w:t>
      </w:r>
      <w:r w:rsidRPr="00E66BDC">
        <w:rPr>
          <w:rFonts w:ascii="Times New Roman" w:hAnsi="Times New Roman" w:cs="Times New Roman"/>
          <w:sz w:val="24"/>
          <w:szCs w:val="24"/>
        </w:rPr>
        <w:t xml:space="preserve">para que </w:t>
      </w:r>
      <w:r w:rsidR="002F3687" w:rsidRPr="00E66BDC">
        <w:rPr>
          <w:rFonts w:ascii="Times New Roman" w:hAnsi="Times New Roman" w:cs="Times New Roman"/>
          <w:sz w:val="24"/>
          <w:szCs w:val="24"/>
        </w:rPr>
        <w:t>revis</w:t>
      </w:r>
      <w:r w:rsidRPr="00E66BDC">
        <w:rPr>
          <w:rFonts w:ascii="Times New Roman" w:hAnsi="Times New Roman" w:cs="Times New Roman"/>
          <w:sz w:val="24"/>
          <w:szCs w:val="24"/>
        </w:rPr>
        <w:t>en</w:t>
      </w:r>
      <w:r w:rsidR="002F3687" w:rsidRPr="00E66BDC">
        <w:rPr>
          <w:rFonts w:ascii="Times New Roman" w:hAnsi="Times New Roman" w:cs="Times New Roman"/>
          <w:sz w:val="24"/>
          <w:szCs w:val="24"/>
        </w:rPr>
        <w:t xml:space="preserve"> y</w:t>
      </w:r>
      <w:r w:rsidRPr="00E66BDC">
        <w:rPr>
          <w:rFonts w:ascii="Times New Roman" w:hAnsi="Times New Roman" w:cs="Times New Roman"/>
          <w:sz w:val="24"/>
          <w:szCs w:val="24"/>
        </w:rPr>
        <w:t>,</w:t>
      </w:r>
      <w:r w:rsidR="002F3687" w:rsidRPr="00E66BDC">
        <w:rPr>
          <w:rFonts w:ascii="Times New Roman" w:hAnsi="Times New Roman" w:cs="Times New Roman"/>
          <w:sz w:val="24"/>
          <w:szCs w:val="24"/>
        </w:rPr>
        <w:t xml:space="preserve"> </w:t>
      </w:r>
      <w:r w:rsidRPr="00E66BDC">
        <w:rPr>
          <w:rFonts w:ascii="Times New Roman" w:hAnsi="Times New Roman" w:cs="Times New Roman"/>
          <w:sz w:val="24"/>
          <w:szCs w:val="24"/>
        </w:rPr>
        <w:t>de</w:t>
      </w:r>
      <w:r w:rsidR="002F3687" w:rsidRPr="00E66BDC">
        <w:rPr>
          <w:rFonts w:ascii="Times New Roman" w:hAnsi="Times New Roman" w:cs="Times New Roman"/>
          <w:sz w:val="24"/>
          <w:szCs w:val="24"/>
        </w:rPr>
        <w:t xml:space="preserve"> ser necesario, reconsider</w:t>
      </w:r>
      <w:r w:rsidRPr="00E66BDC">
        <w:rPr>
          <w:rFonts w:ascii="Times New Roman" w:hAnsi="Times New Roman" w:cs="Times New Roman"/>
          <w:sz w:val="24"/>
          <w:szCs w:val="24"/>
        </w:rPr>
        <w:t>en</w:t>
      </w:r>
      <w:r w:rsidR="002F3687" w:rsidRPr="00E66BDC">
        <w:rPr>
          <w:rFonts w:ascii="Times New Roman" w:hAnsi="Times New Roman" w:cs="Times New Roman"/>
          <w:sz w:val="24"/>
          <w:szCs w:val="24"/>
        </w:rPr>
        <w:t xml:space="preserve"> las</w:t>
      </w:r>
      <w:r w:rsidR="00EA6052" w:rsidRPr="00E66BDC">
        <w:rPr>
          <w:rFonts w:ascii="Times New Roman" w:hAnsi="Times New Roman" w:cs="Times New Roman"/>
          <w:sz w:val="24"/>
          <w:szCs w:val="24"/>
        </w:rPr>
        <w:t xml:space="preserve"> </w:t>
      </w:r>
      <w:r w:rsidR="002F3687" w:rsidRPr="00E66BDC">
        <w:rPr>
          <w:rFonts w:ascii="Times New Roman" w:hAnsi="Times New Roman" w:cs="Times New Roman"/>
          <w:sz w:val="24"/>
          <w:szCs w:val="24"/>
        </w:rPr>
        <w:t>recomendaciones, tomando en cuenta</w:t>
      </w:r>
      <w:r w:rsidR="00EA6052" w:rsidRPr="00E66BDC">
        <w:rPr>
          <w:rFonts w:ascii="Times New Roman" w:hAnsi="Times New Roman" w:cs="Times New Roman"/>
          <w:sz w:val="24"/>
          <w:szCs w:val="24"/>
        </w:rPr>
        <w:t xml:space="preserve"> las recientes evidencias</w:t>
      </w:r>
      <w:r w:rsidR="002F3687" w:rsidRPr="00E66BDC">
        <w:rPr>
          <w:rFonts w:ascii="Times New Roman" w:hAnsi="Times New Roman" w:cs="Times New Roman"/>
          <w:sz w:val="24"/>
          <w:szCs w:val="24"/>
        </w:rPr>
        <w:t>, tal como lo han propuesto la OMS y el IOM</w:t>
      </w:r>
      <w:r w:rsidR="00EA6052" w:rsidRPr="00E66BDC">
        <w:rPr>
          <w:rFonts w:ascii="Times New Roman" w:hAnsi="Times New Roman" w:cs="Times New Roman"/>
          <w:sz w:val="24"/>
          <w:szCs w:val="24"/>
        </w:rPr>
        <w:t>.</w:t>
      </w:r>
    </w:p>
    <w:p w:rsidR="00101353" w:rsidRDefault="00101353" w:rsidP="00E66BDC">
      <w:pPr>
        <w:spacing w:line="360" w:lineRule="auto"/>
        <w:jc w:val="both"/>
        <w:rPr>
          <w:rFonts w:ascii="Times New Roman" w:hAnsi="Times New Roman" w:cs="Times New Roman"/>
          <w:b/>
          <w:sz w:val="24"/>
          <w:szCs w:val="24"/>
          <w:lang w:val="es-ES"/>
        </w:rPr>
      </w:pPr>
    </w:p>
    <w:p w:rsidR="00101353" w:rsidRDefault="00101353" w:rsidP="00E66BDC">
      <w:pPr>
        <w:spacing w:line="360" w:lineRule="auto"/>
        <w:jc w:val="both"/>
        <w:rPr>
          <w:rFonts w:ascii="Times New Roman" w:hAnsi="Times New Roman" w:cs="Times New Roman"/>
          <w:b/>
          <w:sz w:val="24"/>
          <w:szCs w:val="24"/>
          <w:lang w:val="es-ES"/>
        </w:rPr>
      </w:pPr>
    </w:p>
    <w:p w:rsidR="00101353" w:rsidRDefault="00101353" w:rsidP="00E66BDC">
      <w:pPr>
        <w:spacing w:line="360" w:lineRule="auto"/>
        <w:jc w:val="both"/>
        <w:rPr>
          <w:rFonts w:ascii="Times New Roman" w:hAnsi="Times New Roman" w:cs="Times New Roman"/>
          <w:b/>
          <w:sz w:val="24"/>
          <w:szCs w:val="24"/>
          <w:lang w:val="es-ES"/>
        </w:rPr>
      </w:pPr>
    </w:p>
    <w:p w:rsidR="00495E7A" w:rsidRPr="00E66BDC" w:rsidRDefault="00495E7A" w:rsidP="00E66BDC">
      <w:pPr>
        <w:spacing w:line="360" w:lineRule="auto"/>
        <w:jc w:val="both"/>
        <w:rPr>
          <w:rFonts w:ascii="Times New Roman" w:hAnsi="Times New Roman" w:cs="Times New Roman"/>
          <w:b/>
          <w:sz w:val="24"/>
          <w:szCs w:val="24"/>
          <w:lang w:val="es-ES"/>
        </w:rPr>
      </w:pPr>
      <w:r w:rsidRPr="00E66BDC">
        <w:rPr>
          <w:rFonts w:ascii="Times New Roman" w:hAnsi="Times New Roman" w:cs="Times New Roman"/>
          <w:b/>
          <w:sz w:val="24"/>
          <w:szCs w:val="24"/>
          <w:lang w:val="es-ES"/>
        </w:rPr>
        <w:lastRenderedPageBreak/>
        <w:t>Conclusión</w:t>
      </w:r>
    </w:p>
    <w:p w:rsidR="00675339" w:rsidRDefault="00495E7A" w:rsidP="00E66BDC">
      <w:pPr>
        <w:spacing w:line="360" w:lineRule="auto"/>
        <w:jc w:val="both"/>
        <w:rPr>
          <w:rFonts w:ascii="Arial" w:hAnsi="Arial" w:cs="Arial"/>
          <w:sz w:val="24"/>
          <w:szCs w:val="24"/>
          <w:lang w:val="es-ES"/>
        </w:rPr>
      </w:pPr>
      <w:r w:rsidRPr="00E66BDC">
        <w:rPr>
          <w:rFonts w:ascii="Times New Roman" w:hAnsi="Times New Roman" w:cs="Times New Roman"/>
          <w:sz w:val="24"/>
          <w:szCs w:val="24"/>
          <w:lang w:val="es-ES"/>
        </w:rPr>
        <w:t>E</w:t>
      </w:r>
      <w:r w:rsidR="002F3687" w:rsidRPr="00E66BDC">
        <w:rPr>
          <w:rFonts w:ascii="Times New Roman" w:hAnsi="Times New Roman" w:cs="Times New Roman"/>
          <w:sz w:val="24"/>
          <w:szCs w:val="24"/>
          <w:lang w:val="es-ES"/>
        </w:rPr>
        <w:t xml:space="preserve">sta revisión </w:t>
      </w:r>
      <w:r w:rsidR="0014576E" w:rsidRPr="00E66BDC">
        <w:rPr>
          <w:rFonts w:ascii="Times New Roman" w:hAnsi="Times New Roman" w:cs="Times New Roman"/>
          <w:sz w:val="24"/>
          <w:szCs w:val="24"/>
          <w:lang w:val="es-ES"/>
        </w:rPr>
        <w:t xml:space="preserve">pretendió aportar evidencias científicas pertinentes que faculten al profesional de la salud </w:t>
      </w:r>
      <w:r w:rsidR="00D86612" w:rsidRPr="00E66BDC">
        <w:rPr>
          <w:rFonts w:ascii="Times New Roman" w:hAnsi="Times New Roman" w:cs="Times New Roman"/>
          <w:sz w:val="24"/>
          <w:szCs w:val="24"/>
          <w:lang w:val="es-ES"/>
        </w:rPr>
        <w:t>a tomar</w:t>
      </w:r>
      <w:r w:rsidR="0014576E" w:rsidRPr="00E66BDC">
        <w:rPr>
          <w:rFonts w:ascii="Times New Roman" w:hAnsi="Times New Roman" w:cs="Times New Roman"/>
          <w:sz w:val="24"/>
          <w:szCs w:val="24"/>
          <w:lang w:val="es-ES"/>
        </w:rPr>
        <w:t xml:space="preserve"> decisiones objetivas sobre el control de la ingesta de sal en la dieta. Las</w:t>
      </w:r>
      <w:r w:rsidR="00675339" w:rsidRPr="00E66BDC">
        <w:rPr>
          <w:rFonts w:ascii="Times New Roman" w:hAnsi="Times New Roman" w:cs="Times New Roman"/>
          <w:sz w:val="24"/>
          <w:szCs w:val="24"/>
          <w:lang w:val="es-ES"/>
        </w:rPr>
        <w:t xml:space="preserve"> </w:t>
      </w:r>
      <w:r w:rsidR="00D16E3E" w:rsidRPr="00E66BDC">
        <w:rPr>
          <w:rFonts w:ascii="Times New Roman" w:hAnsi="Times New Roman" w:cs="Times New Roman"/>
          <w:sz w:val="24"/>
          <w:szCs w:val="24"/>
          <w:lang w:val="es-ES"/>
        </w:rPr>
        <w:t>eviden</w:t>
      </w:r>
      <w:r w:rsidR="00675339" w:rsidRPr="00E66BDC">
        <w:rPr>
          <w:rFonts w:ascii="Times New Roman" w:hAnsi="Times New Roman" w:cs="Times New Roman"/>
          <w:sz w:val="24"/>
          <w:szCs w:val="24"/>
          <w:lang w:val="es-ES"/>
        </w:rPr>
        <w:t xml:space="preserve">cias clínicas y experimentales muestran </w:t>
      </w:r>
      <w:r w:rsidR="00D16E3E" w:rsidRPr="00E66BDC">
        <w:rPr>
          <w:rFonts w:ascii="Times New Roman" w:hAnsi="Times New Roman" w:cs="Times New Roman"/>
          <w:sz w:val="24"/>
          <w:szCs w:val="24"/>
          <w:lang w:val="es-ES"/>
        </w:rPr>
        <w:t>la existencia de una controversia sobre el grado de restricción de la ingesta de sodio</w:t>
      </w:r>
      <w:r w:rsidR="0014576E" w:rsidRPr="00E66BDC">
        <w:rPr>
          <w:rFonts w:ascii="Times New Roman" w:hAnsi="Times New Roman" w:cs="Times New Roman"/>
          <w:sz w:val="24"/>
          <w:szCs w:val="24"/>
          <w:lang w:val="es-ES"/>
        </w:rPr>
        <w:t xml:space="preserve">, específicamente en pacientes </w:t>
      </w:r>
      <w:r w:rsidR="00675339" w:rsidRPr="00E66BDC">
        <w:rPr>
          <w:rFonts w:ascii="Times New Roman" w:hAnsi="Times New Roman" w:cs="Times New Roman"/>
          <w:sz w:val="24"/>
          <w:szCs w:val="24"/>
          <w:lang w:val="es-ES"/>
        </w:rPr>
        <w:t xml:space="preserve">con ECV, ya </w:t>
      </w:r>
      <w:r w:rsidR="003F3131" w:rsidRPr="00E66BDC">
        <w:rPr>
          <w:rFonts w:ascii="Times New Roman" w:hAnsi="Times New Roman" w:cs="Times New Roman"/>
          <w:sz w:val="24"/>
          <w:szCs w:val="24"/>
          <w:lang w:val="es-ES"/>
        </w:rPr>
        <w:t xml:space="preserve">que una restricción </w:t>
      </w:r>
      <w:r w:rsidR="0014576E" w:rsidRPr="00E66BDC">
        <w:rPr>
          <w:rFonts w:ascii="Times New Roman" w:hAnsi="Times New Roman" w:cs="Times New Roman"/>
          <w:sz w:val="24"/>
          <w:szCs w:val="24"/>
          <w:lang w:val="es-ES"/>
        </w:rPr>
        <w:t>de sodio</w:t>
      </w:r>
      <w:r w:rsidR="003F3131" w:rsidRPr="00E66BDC">
        <w:rPr>
          <w:rFonts w:ascii="Times New Roman" w:hAnsi="Times New Roman" w:cs="Times New Roman"/>
          <w:sz w:val="24"/>
          <w:szCs w:val="24"/>
          <w:lang w:val="es-ES"/>
        </w:rPr>
        <w:t xml:space="preserve"> puede conducir </w:t>
      </w:r>
      <w:r w:rsidR="0014576E" w:rsidRPr="00E66BDC">
        <w:rPr>
          <w:rFonts w:ascii="Times New Roman" w:hAnsi="Times New Roman" w:cs="Times New Roman"/>
          <w:sz w:val="24"/>
          <w:szCs w:val="24"/>
          <w:lang w:val="es-ES"/>
        </w:rPr>
        <w:t>a un incremento de la mortalidad</w:t>
      </w:r>
      <w:r w:rsidR="00675339" w:rsidRPr="00E66BDC">
        <w:rPr>
          <w:rFonts w:ascii="Times New Roman" w:hAnsi="Times New Roman" w:cs="Times New Roman"/>
          <w:sz w:val="24"/>
          <w:szCs w:val="24"/>
          <w:lang w:val="es-ES"/>
        </w:rPr>
        <w:t>.</w:t>
      </w:r>
    </w:p>
    <w:p w:rsidR="00101353" w:rsidRDefault="00101353" w:rsidP="00101353">
      <w:pPr>
        <w:rPr>
          <w:rFonts w:ascii="Arial" w:hAnsi="Arial" w:cs="Arial"/>
          <w:sz w:val="24"/>
          <w:szCs w:val="24"/>
          <w:lang w:val="es-ES"/>
        </w:rPr>
      </w:pPr>
    </w:p>
    <w:p w:rsidR="00101353" w:rsidRDefault="00101353" w:rsidP="00101353">
      <w:pPr>
        <w:rPr>
          <w:rFonts w:ascii="Arial" w:hAnsi="Arial" w:cs="Arial"/>
          <w:sz w:val="24"/>
          <w:szCs w:val="24"/>
          <w:lang w:val="es-ES"/>
        </w:rPr>
      </w:pPr>
    </w:p>
    <w:p w:rsidR="005B2BB1" w:rsidRPr="00E66BDC" w:rsidRDefault="00E66BDC" w:rsidP="00101353">
      <w:pPr>
        <w:rPr>
          <w:rFonts w:ascii="Calibri" w:eastAsia="Times New Roman" w:hAnsi="Calibri" w:cs="Calibri"/>
          <w:color w:val="7030A0"/>
          <w:sz w:val="28"/>
          <w:szCs w:val="28"/>
          <w:lang w:val="es-ES" w:eastAsia="es-ES"/>
        </w:rPr>
      </w:pPr>
      <w:r w:rsidRPr="00E66BDC">
        <w:rPr>
          <w:rFonts w:ascii="Calibri" w:eastAsia="Times New Roman" w:hAnsi="Calibri" w:cs="Calibri"/>
          <w:color w:val="7030A0"/>
          <w:sz w:val="28"/>
          <w:szCs w:val="28"/>
          <w:lang w:val="es-ES" w:eastAsia="es-ES"/>
        </w:rPr>
        <w:t>Bibliografía</w:t>
      </w:r>
    </w:p>
    <w:p w:rsidR="00E66BDC" w:rsidRPr="00E66BDC" w:rsidRDefault="00E66BDC" w:rsidP="00E66BDC">
      <w:pPr>
        <w:spacing w:line="360" w:lineRule="auto"/>
        <w:ind w:left="851" w:hanging="851"/>
        <w:jc w:val="both"/>
        <w:rPr>
          <w:rFonts w:ascii="Times New Roman" w:hAnsi="Times New Roman" w:cs="Times New Roman"/>
          <w:sz w:val="24"/>
          <w:lang w:val="es-ES"/>
        </w:rPr>
      </w:pPr>
      <w:r w:rsidRPr="00E66BDC">
        <w:rPr>
          <w:rFonts w:ascii="Times New Roman" w:hAnsi="Times New Roman" w:cs="Times New Roman"/>
          <w:sz w:val="24"/>
          <w:lang w:val="es-ES"/>
        </w:rPr>
        <w:t xml:space="preserve">Aburto, N. J., </w:t>
      </w:r>
      <w:proofErr w:type="spellStart"/>
      <w:r w:rsidRPr="00E66BDC">
        <w:rPr>
          <w:rFonts w:ascii="Times New Roman" w:hAnsi="Times New Roman" w:cs="Times New Roman"/>
          <w:sz w:val="24"/>
          <w:lang w:val="es-ES"/>
        </w:rPr>
        <w:t>Ziolkovska</w:t>
      </w:r>
      <w:proofErr w:type="spellEnd"/>
      <w:r w:rsidRPr="00E66BDC">
        <w:rPr>
          <w:rFonts w:ascii="Times New Roman" w:hAnsi="Times New Roman" w:cs="Times New Roman"/>
          <w:sz w:val="24"/>
          <w:lang w:val="es-ES"/>
        </w:rPr>
        <w:t xml:space="preserve">, A., Hooper, L., Elliot, T. P., </w:t>
      </w:r>
      <w:proofErr w:type="spellStart"/>
      <w:r w:rsidRPr="00E66BDC">
        <w:rPr>
          <w:rFonts w:ascii="Times New Roman" w:hAnsi="Times New Roman" w:cs="Times New Roman"/>
          <w:sz w:val="24"/>
          <w:lang w:val="es-ES"/>
        </w:rPr>
        <w:t>Cappuccio</w:t>
      </w:r>
      <w:proofErr w:type="spellEnd"/>
      <w:r w:rsidRPr="00E66BDC">
        <w:rPr>
          <w:rFonts w:ascii="Times New Roman" w:hAnsi="Times New Roman" w:cs="Times New Roman"/>
          <w:sz w:val="24"/>
          <w:lang w:val="es-ES"/>
        </w:rPr>
        <w:t xml:space="preserve">, F. P. &amp; </w:t>
      </w:r>
      <w:proofErr w:type="spellStart"/>
      <w:r w:rsidRPr="00E66BDC">
        <w:rPr>
          <w:rFonts w:ascii="Times New Roman" w:hAnsi="Times New Roman" w:cs="Times New Roman"/>
          <w:sz w:val="24"/>
          <w:lang w:val="es-ES"/>
        </w:rPr>
        <w:t>Meerpohl</w:t>
      </w:r>
      <w:proofErr w:type="spellEnd"/>
      <w:r w:rsidRPr="00E66BDC">
        <w:rPr>
          <w:rFonts w:ascii="Times New Roman" w:hAnsi="Times New Roman" w:cs="Times New Roman"/>
          <w:sz w:val="24"/>
          <w:lang w:val="es-ES"/>
        </w:rPr>
        <w:t xml:space="preserve"> J. J. (2013). Effect of lower sodium intake on health: systematic review and meta-analyses. BMJ, 346, f1326. </w:t>
      </w:r>
      <w:proofErr w:type="spellStart"/>
      <w:proofErr w:type="gramStart"/>
      <w:r w:rsidRPr="00E66BDC">
        <w:rPr>
          <w:rFonts w:ascii="Times New Roman" w:hAnsi="Times New Roman" w:cs="Times New Roman"/>
          <w:sz w:val="24"/>
          <w:lang w:val="es-ES"/>
        </w:rPr>
        <w:t>doi</w:t>
      </w:r>
      <w:proofErr w:type="spellEnd"/>
      <w:proofErr w:type="gramEnd"/>
      <w:r w:rsidRPr="00E66BDC">
        <w:rPr>
          <w:rFonts w:ascii="Times New Roman" w:hAnsi="Times New Roman" w:cs="Times New Roman"/>
          <w:sz w:val="24"/>
          <w:lang w:val="es-ES"/>
        </w:rPr>
        <w:t xml:space="preserve">: http://dx.doi.org/10.1136/bmj.f1326 </w:t>
      </w:r>
    </w:p>
    <w:p w:rsidR="00E66BDC" w:rsidRPr="00E66BDC" w:rsidRDefault="00E66BDC" w:rsidP="00E66BDC">
      <w:pPr>
        <w:spacing w:line="360" w:lineRule="auto"/>
        <w:ind w:left="851" w:hanging="851"/>
        <w:jc w:val="both"/>
        <w:rPr>
          <w:rFonts w:ascii="Times New Roman" w:hAnsi="Times New Roman" w:cs="Times New Roman"/>
          <w:sz w:val="24"/>
          <w:lang w:val="es-ES"/>
        </w:rPr>
      </w:pPr>
      <w:r w:rsidRPr="00E66BDC">
        <w:rPr>
          <w:rFonts w:ascii="Times New Roman" w:hAnsi="Times New Roman" w:cs="Times New Roman"/>
          <w:sz w:val="24"/>
          <w:lang w:val="es-ES"/>
        </w:rPr>
        <w:t xml:space="preserve">Alderman, M. H. &amp; Cohen H. W. (2012). </w:t>
      </w:r>
      <w:proofErr w:type="spellStart"/>
      <w:r w:rsidRPr="00E66BDC">
        <w:rPr>
          <w:rFonts w:ascii="Times New Roman" w:hAnsi="Times New Roman" w:cs="Times New Roman"/>
          <w:sz w:val="24"/>
          <w:lang w:val="es-ES"/>
        </w:rPr>
        <w:t>Dietary</w:t>
      </w:r>
      <w:proofErr w:type="spellEnd"/>
      <w:r w:rsidRPr="00E66BDC">
        <w:rPr>
          <w:rFonts w:ascii="Times New Roman" w:hAnsi="Times New Roman" w:cs="Times New Roman"/>
          <w:sz w:val="24"/>
          <w:lang w:val="es-ES"/>
        </w:rPr>
        <w:t xml:space="preserve"> </w:t>
      </w:r>
      <w:proofErr w:type="spellStart"/>
      <w:r w:rsidRPr="00E66BDC">
        <w:rPr>
          <w:rFonts w:ascii="Times New Roman" w:hAnsi="Times New Roman" w:cs="Times New Roman"/>
          <w:sz w:val="24"/>
          <w:lang w:val="es-ES"/>
        </w:rPr>
        <w:t>Sodium</w:t>
      </w:r>
      <w:proofErr w:type="spellEnd"/>
      <w:r w:rsidRPr="00E66BDC">
        <w:rPr>
          <w:rFonts w:ascii="Times New Roman" w:hAnsi="Times New Roman" w:cs="Times New Roman"/>
          <w:sz w:val="24"/>
          <w:lang w:val="es-ES"/>
        </w:rPr>
        <w:t xml:space="preserve"> </w:t>
      </w:r>
      <w:proofErr w:type="spellStart"/>
      <w:r w:rsidRPr="00E66BDC">
        <w:rPr>
          <w:rFonts w:ascii="Times New Roman" w:hAnsi="Times New Roman" w:cs="Times New Roman"/>
          <w:sz w:val="24"/>
          <w:lang w:val="es-ES"/>
        </w:rPr>
        <w:t>Intak</w:t>
      </w:r>
      <w:r>
        <w:rPr>
          <w:rFonts w:ascii="Times New Roman" w:hAnsi="Times New Roman" w:cs="Times New Roman"/>
          <w:sz w:val="24"/>
          <w:lang w:val="es-ES"/>
        </w:rPr>
        <w:t>e</w:t>
      </w:r>
      <w:proofErr w:type="spellEnd"/>
      <w:r>
        <w:rPr>
          <w:rFonts w:ascii="Times New Roman" w:hAnsi="Times New Roman" w:cs="Times New Roman"/>
          <w:sz w:val="24"/>
          <w:lang w:val="es-ES"/>
        </w:rPr>
        <w:t xml:space="preserve"> and Cardiovascular </w:t>
      </w:r>
      <w:proofErr w:type="spellStart"/>
      <w:r>
        <w:rPr>
          <w:rFonts w:ascii="Times New Roman" w:hAnsi="Times New Roman" w:cs="Times New Roman"/>
          <w:sz w:val="24"/>
          <w:lang w:val="es-ES"/>
        </w:rPr>
        <w:t>Mortality</w:t>
      </w:r>
      <w:proofErr w:type="spellEnd"/>
      <w:r>
        <w:rPr>
          <w:rFonts w:ascii="Times New Roman" w:hAnsi="Times New Roman" w:cs="Times New Roman"/>
          <w:sz w:val="24"/>
          <w:lang w:val="es-ES"/>
        </w:rPr>
        <w:t xml:space="preserve">: </w:t>
      </w:r>
      <w:proofErr w:type="spellStart"/>
      <w:r w:rsidRPr="00E66BDC">
        <w:rPr>
          <w:rFonts w:ascii="Times New Roman" w:hAnsi="Times New Roman" w:cs="Times New Roman"/>
          <w:sz w:val="24"/>
          <w:lang w:val="es-ES"/>
        </w:rPr>
        <w:t>Controversy</w:t>
      </w:r>
      <w:proofErr w:type="spellEnd"/>
      <w:r w:rsidRPr="00E66BDC">
        <w:rPr>
          <w:rFonts w:ascii="Times New Roman" w:hAnsi="Times New Roman" w:cs="Times New Roman"/>
          <w:sz w:val="24"/>
          <w:lang w:val="es-ES"/>
        </w:rPr>
        <w:t xml:space="preserve"> Resolved</w:t>
      </w:r>
      <w:proofErr w:type="gramStart"/>
      <w:r w:rsidRPr="00E66BDC">
        <w:rPr>
          <w:rFonts w:ascii="Times New Roman" w:hAnsi="Times New Roman" w:cs="Times New Roman"/>
          <w:sz w:val="24"/>
          <w:lang w:val="es-ES"/>
        </w:rPr>
        <w:t>?</w:t>
      </w:r>
      <w:proofErr w:type="gramEnd"/>
      <w:r w:rsidRPr="00E66BDC">
        <w:rPr>
          <w:rFonts w:ascii="Times New Roman" w:hAnsi="Times New Roman" w:cs="Times New Roman"/>
          <w:sz w:val="24"/>
          <w:lang w:val="es-ES"/>
        </w:rPr>
        <w:t xml:space="preserve"> Am J </w:t>
      </w:r>
      <w:proofErr w:type="spellStart"/>
      <w:r w:rsidRPr="00E66BDC">
        <w:rPr>
          <w:rFonts w:ascii="Times New Roman" w:hAnsi="Times New Roman" w:cs="Times New Roman"/>
          <w:sz w:val="24"/>
          <w:lang w:val="es-ES"/>
        </w:rPr>
        <w:t>Hypertens</w:t>
      </w:r>
      <w:proofErr w:type="spellEnd"/>
      <w:r w:rsidRPr="00E66BDC">
        <w:rPr>
          <w:rFonts w:ascii="Times New Roman" w:hAnsi="Times New Roman" w:cs="Times New Roman"/>
          <w:sz w:val="24"/>
          <w:lang w:val="es-ES"/>
        </w:rPr>
        <w:t xml:space="preserve">, 25 (7), 727-734. </w:t>
      </w:r>
      <w:proofErr w:type="spellStart"/>
      <w:proofErr w:type="gramStart"/>
      <w:r w:rsidRPr="00E66BDC">
        <w:rPr>
          <w:rFonts w:ascii="Times New Roman" w:hAnsi="Times New Roman" w:cs="Times New Roman"/>
          <w:sz w:val="24"/>
          <w:lang w:val="es-ES"/>
        </w:rPr>
        <w:t>doi</w:t>
      </w:r>
      <w:proofErr w:type="spellEnd"/>
      <w:proofErr w:type="gramEnd"/>
      <w:r w:rsidRPr="00E66BDC">
        <w:rPr>
          <w:rFonts w:ascii="Times New Roman" w:hAnsi="Times New Roman" w:cs="Times New Roman"/>
          <w:sz w:val="24"/>
          <w:lang w:val="es-ES"/>
        </w:rPr>
        <w:t>: 10.1038/ajh.2012.52</w:t>
      </w:r>
    </w:p>
    <w:p w:rsidR="00E66BDC" w:rsidRDefault="00E66BDC" w:rsidP="00E66BDC">
      <w:pPr>
        <w:spacing w:line="360" w:lineRule="auto"/>
        <w:ind w:left="851" w:hanging="851"/>
        <w:jc w:val="both"/>
        <w:rPr>
          <w:rFonts w:ascii="Times New Roman" w:hAnsi="Times New Roman" w:cs="Times New Roman"/>
          <w:sz w:val="24"/>
          <w:lang w:val="es-ES"/>
        </w:rPr>
      </w:pPr>
      <w:r w:rsidRPr="00E66BDC">
        <w:rPr>
          <w:rFonts w:ascii="Times New Roman" w:hAnsi="Times New Roman" w:cs="Times New Roman"/>
          <w:sz w:val="24"/>
          <w:lang w:val="es-ES"/>
        </w:rPr>
        <w:t xml:space="preserve">American </w:t>
      </w:r>
      <w:proofErr w:type="spellStart"/>
      <w:r w:rsidRPr="00E66BDC">
        <w:rPr>
          <w:rFonts w:ascii="Times New Roman" w:hAnsi="Times New Roman" w:cs="Times New Roman"/>
          <w:sz w:val="24"/>
          <w:lang w:val="es-ES"/>
        </w:rPr>
        <w:t>Dietetic</w:t>
      </w:r>
      <w:proofErr w:type="spellEnd"/>
      <w:r w:rsidRPr="00E66BDC">
        <w:rPr>
          <w:rFonts w:ascii="Times New Roman" w:hAnsi="Times New Roman" w:cs="Times New Roman"/>
          <w:sz w:val="24"/>
          <w:lang w:val="es-ES"/>
        </w:rPr>
        <w:t xml:space="preserve"> </w:t>
      </w:r>
      <w:proofErr w:type="spellStart"/>
      <w:r w:rsidRPr="00E66BDC">
        <w:rPr>
          <w:rFonts w:ascii="Times New Roman" w:hAnsi="Times New Roman" w:cs="Times New Roman"/>
          <w:sz w:val="24"/>
          <w:lang w:val="es-ES"/>
        </w:rPr>
        <w:t>Association</w:t>
      </w:r>
      <w:proofErr w:type="spellEnd"/>
      <w:r w:rsidRPr="00E66BDC">
        <w:rPr>
          <w:rFonts w:ascii="Times New Roman" w:hAnsi="Times New Roman" w:cs="Times New Roman"/>
          <w:sz w:val="24"/>
          <w:lang w:val="es-ES"/>
        </w:rPr>
        <w:t xml:space="preserve"> (ADA) citado por </w:t>
      </w:r>
      <w:proofErr w:type="spellStart"/>
      <w:r w:rsidRPr="00E66BDC">
        <w:rPr>
          <w:rFonts w:ascii="Times New Roman" w:hAnsi="Times New Roman" w:cs="Times New Roman"/>
          <w:sz w:val="24"/>
          <w:lang w:val="es-ES"/>
        </w:rPr>
        <w:t>Hummel</w:t>
      </w:r>
      <w:proofErr w:type="spellEnd"/>
      <w:r w:rsidRPr="00E66BDC">
        <w:rPr>
          <w:rFonts w:ascii="Times New Roman" w:hAnsi="Times New Roman" w:cs="Times New Roman"/>
          <w:sz w:val="24"/>
          <w:lang w:val="es-ES"/>
        </w:rPr>
        <w:t xml:space="preserve">, S. L. &amp; </w:t>
      </w:r>
      <w:proofErr w:type="spellStart"/>
      <w:r w:rsidRPr="00E66BDC">
        <w:rPr>
          <w:rFonts w:ascii="Times New Roman" w:hAnsi="Times New Roman" w:cs="Times New Roman"/>
          <w:sz w:val="24"/>
          <w:lang w:val="es-ES"/>
        </w:rPr>
        <w:t>Konerman</w:t>
      </w:r>
      <w:proofErr w:type="spellEnd"/>
      <w:r w:rsidRPr="00E66BDC">
        <w:rPr>
          <w:rFonts w:ascii="Times New Roman" w:hAnsi="Times New Roman" w:cs="Times New Roman"/>
          <w:sz w:val="24"/>
          <w:lang w:val="es-ES"/>
        </w:rPr>
        <w:t>, M.C. (2016). Dietary sodium restriction in heart failure: a recommendation worth its salt? JCHF, 4(1), 36-38. doi:10.1016/j.jchf.2015.10.003</w:t>
      </w:r>
    </w:p>
    <w:p w:rsidR="00CF4731" w:rsidRPr="00E66BDC" w:rsidRDefault="00CF4731" w:rsidP="00E66BDC">
      <w:pPr>
        <w:spacing w:line="360" w:lineRule="auto"/>
        <w:ind w:left="851" w:hanging="851"/>
        <w:jc w:val="both"/>
        <w:rPr>
          <w:rFonts w:ascii="Times New Roman" w:hAnsi="Times New Roman" w:cs="Times New Roman"/>
          <w:sz w:val="24"/>
          <w:szCs w:val="24"/>
        </w:rPr>
      </w:pPr>
      <w:r w:rsidRPr="00E66BDC">
        <w:rPr>
          <w:rFonts w:ascii="Times New Roman" w:hAnsi="Times New Roman" w:cs="Times New Roman"/>
          <w:sz w:val="24"/>
          <w:lang w:val="es-ES"/>
        </w:rPr>
        <w:t>Asociación Latinoamericana de Diabetes (ALAD) (</w:t>
      </w:r>
      <w:r w:rsidRPr="00E66BDC">
        <w:rPr>
          <w:rFonts w:ascii="Times New Roman" w:hAnsi="Times New Roman" w:cs="Times New Roman"/>
          <w:sz w:val="24"/>
          <w:szCs w:val="24"/>
        </w:rPr>
        <w:t xml:space="preserve">2013). </w:t>
      </w:r>
      <w:r w:rsidRPr="00E66BDC">
        <w:rPr>
          <w:rFonts w:ascii="Times New Roman" w:hAnsi="Times New Roman" w:cs="Times New Roman"/>
          <w:sz w:val="24"/>
          <w:lang w:val="es-ES"/>
        </w:rPr>
        <w:t xml:space="preserve">Guías ALAD sobre diagnóstico, </w:t>
      </w:r>
      <w:r w:rsidRPr="00E66BDC">
        <w:rPr>
          <w:rFonts w:ascii="Times New Roman" w:hAnsi="Times New Roman" w:cs="Times New Roman"/>
          <w:sz w:val="24"/>
          <w:szCs w:val="24"/>
          <w:lang w:val="es-ES"/>
        </w:rPr>
        <w:t xml:space="preserve">control y tratamiento de la diabetes mellitus tipo 2 con medicina basada en evidencia. </w:t>
      </w:r>
      <w:r w:rsidRPr="00E66BDC">
        <w:rPr>
          <w:rFonts w:ascii="Times New Roman" w:hAnsi="Times New Roman" w:cs="Times New Roman"/>
          <w:i/>
          <w:sz w:val="24"/>
          <w:szCs w:val="24"/>
        </w:rPr>
        <w:t>Revista de la ALAD</w:t>
      </w:r>
      <w:r w:rsidRPr="00E66BDC">
        <w:rPr>
          <w:rFonts w:ascii="Times New Roman" w:hAnsi="Times New Roman" w:cs="Times New Roman"/>
          <w:sz w:val="24"/>
          <w:szCs w:val="24"/>
        </w:rPr>
        <w:t>, 52-63.</w:t>
      </w:r>
    </w:p>
    <w:p w:rsidR="00CF4731" w:rsidRPr="00E66BDC" w:rsidRDefault="00CF4731" w:rsidP="00E66BDC">
      <w:pPr>
        <w:spacing w:line="360" w:lineRule="auto"/>
        <w:ind w:left="851" w:hanging="851"/>
        <w:jc w:val="both"/>
        <w:rPr>
          <w:rFonts w:ascii="Times New Roman" w:hAnsi="Times New Roman" w:cs="Times New Roman"/>
          <w:sz w:val="24"/>
          <w:szCs w:val="24"/>
        </w:rPr>
      </w:pPr>
      <w:proofErr w:type="gramStart"/>
      <w:r w:rsidRPr="00E66BDC">
        <w:rPr>
          <w:rFonts w:ascii="Times New Roman" w:hAnsi="Times New Roman" w:cs="Times New Roman"/>
          <w:sz w:val="24"/>
          <w:szCs w:val="24"/>
          <w:lang w:val="en-US"/>
        </w:rPr>
        <w:t>Alderman, M. H. (2000).</w:t>
      </w:r>
      <w:proofErr w:type="gramEnd"/>
      <w:r w:rsidRPr="00E66BDC">
        <w:rPr>
          <w:rFonts w:ascii="Times New Roman" w:hAnsi="Times New Roman" w:cs="Times New Roman"/>
          <w:sz w:val="24"/>
          <w:szCs w:val="24"/>
          <w:lang w:val="en-US"/>
        </w:rPr>
        <w:t xml:space="preserve"> </w:t>
      </w:r>
      <w:proofErr w:type="gramStart"/>
      <w:r w:rsidRPr="00E66BDC">
        <w:rPr>
          <w:rFonts w:ascii="Times New Roman" w:hAnsi="Times New Roman" w:cs="Times New Roman"/>
          <w:sz w:val="24"/>
          <w:szCs w:val="24"/>
          <w:lang w:val="en-US"/>
        </w:rPr>
        <w:t>Salt, Blood Pressure, and Human Health.</w:t>
      </w:r>
      <w:proofErr w:type="gramEnd"/>
      <w:r w:rsidRPr="00E66BDC">
        <w:rPr>
          <w:rFonts w:ascii="Times New Roman" w:hAnsi="Times New Roman" w:cs="Times New Roman"/>
          <w:sz w:val="24"/>
          <w:szCs w:val="24"/>
          <w:lang w:val="en-US"/>
        </w:rPr>
        <w:t xml:space="preserve"> </w:t>
      </w:r>
      <w:proofErr w:type="spellStart"/>
      <w:r w:rsidRPr="00E66BDC">
        <w:rPr>
          <w:rFonts w:ascii="Times New Roman" w:hAnsi="Times New Roman" w:cs="Times New Roman"/>
          <w:i/>
          <w:sz w:val="24"/>
          <w:szCs w:val="24"/>
        </w:rPr>
        <w:t>Hypertension</w:t>
      </w:r>
      <w:proofErr w:type="spellEnd"/>
      <w:r w:rsidRPr="00E66BDC">
        <w:rPr>
          <w:rFonts w:ascii="Times New Roman" w:hAnsi="Times New Roman" w:cs="Times New Roman"/>
          <w:sz w:val="24"/>
          <w:szCs w:val="24"/>
        </w:rPr>
        <w:t>,  36, 890-893.</w:t>
      </w:r>
    </w:p>
    <w:p w:rsidR="00CF4731" w:rsidRPr="00E66BDC" w:rsidRDefault="00CF4731" w:rsidP="00E66BDC">
      <w:pPr>
        <w:spacing w:line="360" w:lineRule="auto"/>
        <w:ind w:left="851" w:hanging="851"/>
        <w:jc w:val="both"/>
        <w:rPr>
          <w:rFonts w:ascii="Times New Roman" w:hAnsi="Times New Roman" w:cs="Times New Roman"/>
          <w:sz w:val="24"/>
          <w:szCs w:val="24"/>
          <w:lang w:val="en-US"/>
        </w:rPr>
      </w:pPr>
      <w:r w:rsidRPr="00E66BDC">
        <w:rPr>
          <w:rFonts w:ascii="Times New Roman" w:hAnsi="Times New Roman" w:cs="Times New Roman"/>
          <w:sz w:val="24"/>
          <w:szCs w:val="24"/>
          <w:lang w:val="en-US"/>
        </w:rPr>
        <w:t xml:space="preserve">Alderman, M. H., Cohen, H. &amp; </w:t>
      </w:r>
      <w:proofErr w:type="spellStart"/>
      <w:r w:rsidRPr="00E66BDC">
        <w:rPr>
          <w:rFonts w:ascii="Times New Roman" w:hAnsi="Times New Roman" w:cs="Times New Roman"/>
          <w:sz w:val="24"/>
          <w:szCs w:val="24"/>
          <w:lang w:val="en-US"/>
        </w:rPr>
        <w:t>Madhavan</w:t>
      </w:r>
      <w:proofErr w:type="spellEnd"/>
      <w:r w:rsidRPr="00E66BDC">
        <w:rPr>
          <w:rFonts w:ascii="Times New Roman" w:hAnsi="Times New Roman" w:cs="Times New Roman"/>
          <w:sz w:val="24"/>
          <w:szCs w:val="24"/>
          <w:lang w:val="en-US"/>
        </w:rPr>
        <w:t xml:space="preserve">, S. (1998). Dietary sodium intake and mortality: the National Health and Nutrition Examination Survey (NHANES I) </w:t>
      </w:r>
      <w:r w:rsidRPr="00E66BDC">
        <w:rPr>
          <w:rFonts w:ascii="Times New Roman" w:hAnsi="Times New Roman" w:cs="Times New Roman"/>
          <w:i/>
          <w:sz w:val="24"/>
          <w:szCs w:val="24"/>
          <w:lang w:val="en-US"/>
        </w:rPr>
        <w:t>Lancet</w:t>
      </w:r>
      <w:r w:rsidRPr="00E66BDC">
        <w:rPr>
          <w:rFonts w:ascii="Times New Roman" w:hAnsi="Times New Roman" w:cs="Times New Roman"/>
          <w:sz w:val="24"/>
          <w:szCs w:val="24"/>
          <w:lang w:val="en-US"/>
        </w:rPr>
        <w:t>; 351, 781–85.</w:t>
      </w:r>
    </w:p>
    <w:p w:rsidR="00CF4731" w:rsidRPr="00E66BDC" w:rsidRDefault="00CF4731" w:rsidP="00E66BDC">
      <w:pPr>
        <w:spacing w:line="360" w:lineRule="auto"/>
        <w:ind w:left="851" w:hanging="851"/>
        <w:jc w:val="both"/>
        <w:rPr>
          <w:rFonts w:ascii="Times New Roman" w:hAnsi="Times New Roman" w:cs="Times New Roman"/>
          <w:sz w:val="24"/>
          <w:szCs w:val="24"/>
          <w:lang w:val="en-US"/>
        </w:rPr>
      </w:pPr>
      <w:proofErr w:type="gramStart"/>
      <w:r w:rsidRPr="00E66BDC">
        <w:rPr>
          <w:rFonts w:ascii="Times New Roman" w:hAnsi="Times New Roman" w:cs="Times New Roman"/>
          <w:sz w:val="24"/>
          <w:szCs w:val="24"/>
          <w:lang w:val="en-US"/>
        </w:rPr>
        <w:t>American Diabetes Association (2015).</w:t>
      </w:r>
      <w:proofErr w:type="gramEnd"/>
      <w:r w:rsidRPr="00E66BDC">
        <w:rPr>
          <w:rFonts w:ascii="Times New Roman" w:hAnsi="Times New Roman" w:cs="Times New Roman"/>
          <w:sz w:val="24"/>
          <w:szCs w:val="24"/>
          <w:lang w:val="en-US"/>
        </w:rPr>
        <w:t xml:space="preserve"> Foundations of Care: Education, nutrition, physical activity, smoking cessation, psychosocial care, and immunization. </w:t>
      </w:r>
      <w:r w:rsidRPr="00E66BDC">
        <w:rPr>
          <w:rFonts w:ascii="Times New Roman" w:hAnsi="Times New Roman" w:cs="Times New Roman"/>
          <w:i/>
          <w:sz w:val="24"/>
          <w:szCs w:val="24"/>
          <w:lang w:val="en-US"/>
        </w:rPr>
        <w:t>Diabetes Care</w:t>
      </w:r>
      <w:r w:rsidRPr="00E66BDC">
        <w:rPr>
          <w:rFonts w:ascii="Times New Roman" w:hAnsi="Times New Roman" w:cs="Times New Roman"/>
          <w:sz w:val="24"/>
          <w:szCs w:val="24"/>
          <w:lang w:val="en-US"/>
        </w:rPr>
        <w:t>; 38, Suppl. 1:S20-S30.</w:t>
      </w:r>
    </w:p>
    <w:p w:rsidR="00CF4731" w:rsidRDefault="00CF4731" w:rsidP="00E66BDC">
      <w:pPr>
        <w:spacing w:line="360" w:lineRule="auto"/>
        <w:ind w:left="851" w:hanging="851"/>
        <w:jc w:val="both"/>
        <w:rPr>
          <w:rFonts w:ascii="Times New Roman" w:hAnsi="Times New Roman" w:cs="Times New Roman"/>
          <w:sz w:val="24"/>
          <w:szCs w:val="24"/>
        </w:rPr>
      </w:pPr>
      <w:proofErr w:type="spellStart"/>
      <w:r w:rsidRPr="00E66BDC">
        <w:rPr>
          <w:rFonts w:ascii="Times New Roman" w:hAnsi="Times New Roman" w:cs="Times New Roman"/>
          <w:sz w:val="24"/>
          <w:szCs w:val="24"/>
          <w:lang w:val="es-ES"/>
        </w:rPr>
        <w:lastRenderedPageBreak/>
        <w:t>Bourges</w:t>
      </w:r>
      <w:proofErr w:type="spellEnd"/>
      <w:r w:rsidRPr="00E66BDC">
        <w:rPr>
          <w:rFonts w:ascii="Times New Roman" w:hAnsi="Times New Roman" w:cs="Times New Roman"/>
          <w:sz w:val="24"/>
          <w:szCs w:val="24"/>
          <w:lang w:val="es-ES"/>
        </w:rPr>
        <w:t xml:space="preserve">, H., Casanueva, E. y Rosado, J. L. (2005). Recomendaciones dietéticas diarias de vitaminas y nutrimentos inorgánicos. Recomendaciones de ingestión de nutrimentos para la población mexicana. Ed. Médica Panamericana, </w:t>
      </w:r>
      <w:r w:rsidRPr="00E66BDC">
        <w:rPr>
          <w:rFonts w:ascii="Times New Roman" w:hAnsi="Times New Roman" w:cs="Times New Roman"/>
          <w:sz w:val="24"/>
          <w:szCs w:val="24"/>
        </w:rPr>
        <w:t>México.</w:t>
      </w:r>
    </w:p>
    <w:p w:rsidR="00E66BDC" w:rsidRPr="00E66BDC" w:rsidRDefault="00E66BDC" w:rsidP="00E66BDC">
      <w:pPr>
        <w:spacing w:line="360" w:lineRule="auto"/>
        <w:ind w:left="851" w:hanging="851"/>
        <w:jc w:val="both"/>
        <w:rPr>
          <w:rFonts w:ascii="Times New Roman" w:hAnsi="Times New Roman" w:cs="Times New Roman"/>
          <w:sz w:val="24"/>
          <w:szCs w:val="24"/>
        </w:rPr>
      </w:pPr>
      <w:r w:rsidRPr="00E66BDC">
        <w:rPr>
          <w:rFonts w:ascii="Times New Roman" w:hAnsi="Times New Roman" w:cs="Times New Roman"/>
          <w:sz w:val="24"/>
          <w:szCs w:val="24"/>
          <w:lang w:val="es-ES"/>
        </w:rPr>
        <w:t xml:space="preserve">Cook, N. R., Cutler, J. A., </w:t>
      </w:r>
      <w:proofErr w:type="spellStart"/>
      <w:r w:rsidRPr="00E66BDC">
        <w:rPr>
          <w:rFonts w:ascii="Times New Roman" w:hAnsi="Times New Roman" w:cs="Times New Roman"/>
          <w:sz w:val="24"/>
          <w:szCs w:val="24"/>
          <w:lang w:val="es-ES"/>
        </w:rPr>
        <w:t>Obarzanek</w:t>
      </w:r>
      <w:proofErr w:type="spellEnd"/>
      <w:r w:rsidRPr="00E66BDC">
        <w:rPr>
          <w:rFonts w:ascii="Times New Roman" w:hAnsi="Times New Roman" w:cs="Times New Roman"/>
          <w:sz w:val="24"/>
          <w:szCs w:val="24"/>
          <w:lang w:val="es-ES"/>
        </w:rPr>
        <w:t xml:space="preserve">, E., </w:t>
      </w:r>
      <w:proofErr w:type="spellStart"/>
      <w:r w:rsidRPr="00E66BDC">
        <w:rPr>
          <w:rFonts w:ascii="Times New Roman" w:hAnsi="Times New Roman" w:cs="Times New Roman"/>
          <w:sz w:val="24"/>
          <w:szCs w:val="24"/>
          <w:lang w:val="es-ES"/>
        </w:rPr>
        <w:t>Buring</w:t>
      </w:r>
      <w:proofErr w:type="spellEnd"/>
      <w:r w:rsidRPr="00E66BDC">
        <w:rPr>
          <w:rFonts w:ascii="Times New Roman" w:hAnsi="Times New Roman" w:cs="Times New Roman"/>
          <w:sz w:val="24"/>
          <w:szCs w:val="24"/>
          <w:lang w:val="es-ES"/>
        </w:rPr>
        <w:t xml:space="preserve">, J. E., </w:t>
      </w:r>
      <w:proofErr w:type="spellStart"/>
      <w:r w:rsidRPr="00E66BDC">
        <w:rPr>
          <w:rFonts w:ascii="Times New Roman" w:hAnsi="Times New Roman" w:cs="Times New Roman"/>
          <w:sz w:val="24"/>
          <w:szCs w:val="24"/>
          <w:lang w:val="es-ES"/>
        </w:rPr>
        <w:t>Rexrode</w:t>
      </w:r>
      <w:proofErr w:type="spellEnd"/>
      <w:r w:rsidRPr="00E66BDC">
        <w:rPr>
          <w:rFonts w:ascii="Times New Roman" w:hAnsi="Times New Roman" w:cs="Times New Roman"/>
          <w:sz w:val="24"/>
          <w:szCs w:val="24"/>
          <w:lang w:val="es-ES"/>
        </w:rPr>
        <w:t xml:space="preserve">, K. M., Kumanyika, S. K., et al. (2007). Long </w:t>
      </w:r>
      <w:proofErr w:type="spellStart"/>
      <w:r w:rsidRPr="00E66BDC">
        <w:rPr>
          <w:rFonts w:ascii="Times New Roman" w:hAnsi="Times New Roman" w:cs="Times New Roman"/>
          <w:sz w:val="24"/>
          <w:szCs w:val="24"/>
          <w:lang w:val="es-ES"/>
        </w:rPr>
        <w:t>term</w:t>
      </w:r>
      <w:proofErr w:type="spellEnd"/>
      <w:r w:rsidRPr="00E66BDC">
        <w:rPr>
          <w:rFonts w:ascii="Times New Roman" w:hAnsi="Times New Roman" w:cs="Times New Roman"/>
          <w:sz w:val="24"/>
          <w:szCs w:val="24"/>
          <w:lang w:val="es-ES"/>
        </w:rPr>
        <w:t xml:space="preserve"> </w:t>
      </w:r>
      <w:proofErr w:type="spellStart"/>
      <w:r w:rsidRPr="00E66BDC">
        <w:rPr>
          <w:rFonts w:ascii="Times New Roman" w:hAnsi="Times New Roman" w:cs="Times New Roman"/>
          <w:sz w:val="24"/>
          <w:szCs w:val="24"/>
          <w:lang w:val="es-ES"/>
        </w:rPr>
        <w:t>effects</w:t>
      </w:r>
      <w:proofErr w:type="spellEnd"/>
      <w:r w:rsidRPr="00E66BDC">
        <w:rPr>
          <w:rFonts w:ascii="Times New Roman" w:hAnsi="Times New Roman" w:cs="Times New Roman"/>
          <w:sz w:val="24"/>
          <w:szCs w:val="24"/>
          <w:lang w:val="es-ES"/>
        </w:rPr>
        <w:t xml:space="preserve"> of </w:t>
      </w:r>
      <w:proofErr w:type="spellStart"/>
      <w:r w:rsidRPr="00E66BDC">
        <w:rPr>
          <w:rFonts w:ascii="Times New Roman" w:hAnsi="Times New Roman" w:cs="Times New Roman"/>
          <w:sz w:val="24"/>
          <w:szCs w:val="24"/>
          <w:lang w:val="es-ES"/>
        </w:rPr>
        <w:t>dietary</w:t>
      </w:r>
      <w:proofErr w:type="spellEnd"/>
      <w:r w:rsidRPr="00E66BDC">
        <w:rPr>
          <w:rFonts w:ascii="Times New Roman" w:hAnsi="Times New Roman" w:cs="Times New Roman"/>
          <w:sz w:val="24"/>
          <w:szCs w:val="24"/>
          <w:lang w:val="es-ES"/>
        </w:rPr>
        <w:t xml:space="preserve"> </w:t>
      </w:r>
      <w:proofErr w:type="spellStart"/>
      <w:r w:rsidRPr="00E66BDC">
        <w:rPr>
          <w:rFonts w:ascii="Times New Roman" w:hAnsi="Times New Roman" w:cs="Times New Roman"/>
          <w:sz w:val="24"/>
          <w:szCs w:val="24"/>
          <w:lang w:val="es-ES"/>
        </w:rPr>
        <w:t>sodium</w:t>
      </w:r>
      <w:proofErr w:type="spellEnd"/>
      <w:r w:rsidRPr="00E66BDC">
        <w:rPr>
          <w:rFonts w:ascii="Times New Roman" w:hAnsi="Times New Roman" w:cs="Times New Roman"/>
          <w:sz w:val="24"/>
          <w:szCs w:val="24"/>
          <w:lang w:val="es-ES"/>
        </w:rPr>
        <w:t xml:space="preserve"> </w:t>
      </w:r>
      <w:r w:rsidRPr="00E66BDC">
        <w:rPr>
          <w:rFonts w:ascii="Times New Roman" w:hAnsi="Times New Roman" w:cs="Times New Roman"/>
          <w:sz w:val="24"/>
          <w:szCs w:val="24"/>
          <w:lang w:val="es-ES"/>
        </w:rPr>
        <w:tab/>
      </w:r>
      <w:proofErr w:type="spellStart"/>
      <w:r w:rsidRPr="00E66BDC">
        <w:rPr>
          <w:rFonts w:ascii="Times New Roman" w:hAnsi="Times New Roman" w:cs="Times New Roman"/>
          <w:sz w:val="24"/>
          <w:szCs w:val="24"/>
          <w:lang w:val="es-ES"/>
        </w:rPr>
        <w:t>restriction</w:t>
      </w:r>
      <w:proofErr w:type="spellEnd"/>
      <w:r w:rsidRPr="00E66BDC">
        <w:rPr>
          <w:rFonts w:ascii="Times New Roman" w:hAnsi="Times New Roman" w:cs="Times New Roman"/>
          <w:sz w:val="24"/>
          <w:szCs w:val="24"/>
          <w:lang w:val="es-ES"/>
        </w:rPr>
        <w:t xml:space="preserve"> </w:t>
      </w:r>
      <w:proofErr w:type="spellStart"/>
      <w:r w:rsidRPr="00E66BDC">
        <w:rPr>
          <w:rFonts w:ascii="Times New Roman" w:hAnsi="Times New Roman" w:cs="Times New Roman"/>
          <w:sz w:val="24"/>
          <w:szCs w:val="24"/>
          <w:lang w:val="es-ES"/>
        </w:rPr>
        <w:t>on</w:t>
      </w:r>
      <w:proofErr w:type="spellEnd"/>
      <w:r w:rsidRPr="00E66BDC">
        <w:rPr>
          <w:rFonts w:ascii="Times New Roman" w:hAnsi="Times New Roman" w:cs="Times New Roman"/>
          <w:sz w:val="24"/>
          <w:szCs w:val="24"/>
          <w:lang w:val="es-ES"/>
        </w:rPr>
        <w:t xml:space="preserve"> cardiovascular </w:t>
      </w:r>
      <w:proofErr w:type="spellStart"/>
      <w:r w:rsidRPr="00E66BDC">
        <w:rPr>
          <w:rFonts w:ascii="Times New Roman" w:hAnsi="Times New Roman" w:cs="Times New Roman"/>
          <w:sz w:val="24"/>
          <w:szCs w:val="24"/>
          <w:lang w:val="es-ES"/>
        </w:rPr>
        <w:t>disease</w:t>
      </w:r>
      <w:proofErr w:type="spellEnd"/>
      <w:r w:rsidRPr="00E66BDC">
        <w:rPr>
          <w:rFonts w:ascii="Times New Roman" w:hAnsi="Times New Roman" w:cs="Times New Roman"/>
          <w:sz w:val="24"/>
          <w:szCs w:val="24"/>
          <w:lang w:val="es-ES"/>
        </w:rPr>
        <w:t xml:space="preserve"> </w:t>
      </w:r>
      <w:proofErr w:type="spellStart"/>
      <w:r w:rsidRPr="00E66BDC">
        <w:rPr>
          <w:rFonts w:ascii="Times New Roman" w:hAnsi="Times New Roman" w:cs="Times New Roman"/>
          <w:sz w:val="24"/>
          <w:szCs w:val="24"/>
          <w:lang w:val="es-ES"/>
        </w:rPr>
        <w:t>outcomes</w:t>
      </w:r>
      <w:proofErr w:type="spellEnd"/>
      <w:r w:rsidRPr="00E66BDC">
        <w:rPr>
          <w:rFonts w:ascii="Times New Roman" w:hAnsi="Times New Roman" w:cs="Times New Roman"/>
          <w:sz w:val="24"/>
          <w:szCs w:val="24"/>
          <w:lang w:val="es-ES"/>
        </w:rPr>
        <w:t xml:space="preserve">: observacional </w:t>
      </w:r>
      <w:proofErr w:type="spellStart"/>
      <w:r w:rsidRPr="00E66BDC">
        <w:rPr>
          <w:rFonts w:ascii="Times New Roman" w:hAnsi="Times New Roman" w:cs="Times New Roman"/>
          <w:sz w:val="24"/>
          <w:szCs w:val="24"/>
          <w:lang w:val="es-ES"/>
        </w:rPr>
        <w:t>follow</w:t>
      </w:r>
      <w:proofErr w:type="spellEnd"/>
      <w:r w:rsidRPr="00E66BDC">
        <w:rPr>
          <w:rFonts w:ascii="Times New Roman" w:hAnsi="Times New Roman" w:cs="Times New Roman"/>
          <w:sz w:val="24"/>
          <w:szCs w:val="24"/>
          <w:lang w:val="es-ES"/>
        </w:rPr>
        <w:t xml:space="preserve">-up of </w:t>
      </w:r>
      <w:r w:rsidRPr="00E66BDC">
        <w:rPr>
          <w:rFonts w:ascii="Times New Roman" w:hAnsi="Times New Roman" w:cs="Times New Roman"/>
          <w:sz w:val="24"/>
          <w:szCs w:val="24"/>
          <w:lang w:val="es-ES"/>
        </w:rPr>
        <w:tab/>
      </w:r>
      <w:proofErr w:type="spellStart"/>
      <w:r w:rsidRPr="00E66BDC">
        <w:rPr>
          <w:rFonts w:ascii="Times New Roman" w:hAnsi="Times New Roman" w:cs="Times New Roman"/>
          <w:sz w:val="24"/>
          <w:szCs w:val="24"/>
          <w:lang w:val="es-ES"/>
        </w:rPr>
        <w:t>the</w:t>
      </w:r>
      <w:proofErr w:type="spellEnd"/>
      <w:r w:rsidRPr="00E66BDC">
        <w:rPr>
          <w:rFonts w:ascii="Times New Roman" w:hAnsi="Times New Roman" w:cs="Times New Roman"/>
          <w:sz w:val="24"/>
          <w:szCs w:val="24"/>
          <w:lang w:val="es-ES"/>
        </w:rPr>
        <w:t xml:space="preserve"> </w:t>
      </w:r>
      <w:proofErr w:type="spellStart"/>
      <w:r w:rsidRPr="00E66BDC">
        <w:rPr>
          <w:rFonts w:ascii="Times New Roman" w:hAnsi="Times New Roman" w:cs="Times New Roman"/>
          <w:sz w:val="24"/>
          <w:szCs w:val="24"/>
          <w:lang w:val="es-ES"/>
        </w:rPr>
        <w:t>trials</w:t>
      </w:r>
      <w:proofErr w:type="spellEnd"/>
      <w:r w:rsidRPr="00E66BDC">
        <w:rPr>
          <w:rFonts w:ascii="Times New Roman" w:hAnsi="Times New Roman" w:cs="Times New Roman"/>
          <w:sz w:val="24"/>
          <w:szCs w:val="24"/>
          <w:lang w:val="es-ES"/>
        </w:rPr>
        <w:t xml:space="preserve"> of </w:t>
      </w:r>
      <w:proofErr w:type="spellStart"/>
      <w:r w:rsidRPr="00E66BDC">
        <w:rPr>
          <w:rFonts w:ascii="Times New Roman" w:hAnsi="Times New Roman" w:cs="Times New Roman"/>
          <w:sz w:val="24"/>
          <w:szCs w:val="24"/>
          <w:lang w:val="es-ES"/>
        </w:rPr>
        <w:t>hypertension</w:t>
      </w:r>
      <w:proofErr w:type="spellEnd"/>
      <w:r w:rsidRPr="00E66BDC">
        <w:rPr>
          <w:rFonts w:ascii="Times New Roman" w:hAnsi="Times New Roman" w:cs="Times New Roman"/>
          <w:sz w:val="24"/>
          <w:szCs w:val="24"/>
          <w:lang w:val="es-ES"/>
        </w:rPr>
        <w:t xml:space="preserve"> prevention (THOP). BMJ, 334, 885-8. </w:t>
      </w:r>
      <w:proofErr w:type="spellStart"/>
      <w:proofErr w:type="gramStart"/>
      <w:r w:rsidRPr="00E66BDC">
        <w:rPr>
          <w:rFonts w:ascii="Times New Roman" w:hAnsi="Times New Roman" w:cs="Times New Roman"/>
          <w:sz w:val="24"/>
          <w:szCs w:val="24"/>
          <w:lang w:val="es-ES"/>
        </w:rPr>
        <w:t>doi</w:t>
      </w:r>
      <w:proofErr w:type="spellEnd"/>
      <w:proofErr w:type="gramEnd"/>
      <w:r w:rsidRPr="00E66BDC">
        <w:rPr>
          <w:rFonts w:ascii="Times New Roman" w:hAnsi="Times New Roman" w:cs="Times New Roman"/>
          <w:sz w:val="24"/>
          <w:szCs w:val="24"/>
          <w:lang w:val="es-ES"/>
        </w:rPr>
        <w:t>: 10.1136/bmj.39147.604896.55</w:t>
      </w:r>
    </w:p>
    <w:p w:rsidR="00CF4731" w:rsidRPr="00E66BDC" w:rsidRDefault="00CF4731" w:rsidP="00E66BDC">
      <w:pPr>
        <w:spacing w:line="360" w:lineRule="auto"/>
        <w:ind w:left="851" w:hanging="851"/>
        <w:jc w:val="both"/>
        <w:rPr>
          <w:rFonts w:ascii="Times New Roman" w:hAnsi="Times New Roman" w:cs="Times New Roman"/>
          <w:sz w:val="24"/>
          <w:szCs w:val="24"/>
        </w:rPr>
      </w:pPr>
      <w:r w:rsidRPr="00E66BDC">
        <w:rPr>
          <w:rFonts w:ascii="Times New Roman" w:hAnsi="Times New Roman" w:cs="Times New Roman"/>
          <w:sz w:val="24"/>
          <w:szCs w:val="24"/>
          <w:lang w:val="en-US"/>
        </w:rPr>
        <w:t xml:space="preserve">Denton, D., </w:t>
      </w:r>
      <w:proofErr w:type="spellStart"/>
      <w:r w:rsidRPr="00E66BDC">
        <w:rPr>
          <w:rFonts w:ascii="Times New Roman" w:hAnsi="Times New Roman" w:cs="Times New Roman"/>
          <w:sz w:val="24"/>
          <w:szCs w:val="24"/>
          <w:lang w:val="en-US"/>
        </w:rPr>
        <w:t>Weisinger</w:t>
      </w:r>
      <w:proofErr w:type="spellEnd"/>
      <w:r w:rsidRPr="00E66BDC">
        <w:rPr>
          <w:rFonts w:ascii="Times New Roman" w:hAnsi="Times New Roman" w:cs="Times New Roman"/>
          <w:sz w:val="24"/>
          <w:szCs w:val="24"/>
          <w:lang w:val="en-US"/>
        </w:rPr>
        <w:t xml:space="preserve">, R., Mundy, N. I., </w:t>
      </w:r>
      <w:proofErr w:type="spellStart"/>
      <w:r w:rsidRPr="00E66BDC">
        <w:rPr>
          <w:rFonts w:ascii="Times New Roman" w:hAnsi="Times New Roman" w:cs="Times New Roman"/>
          <w:sz w:val="24"/>
          <w:szCs w:val="24"/>
          <w:lang w:val="en-US"/>
        </w:rPr>
        <w:t>Wickings</w:t>
      </w:r>
      <w:proofErr w:type="spellEnd"/>
      <w:r w:rsidRPr="00E66BDC">
        <w:rPr>
          <w:rFonts w:ascii="Times New Roman" w:hAnsi="Times New Roman" w:cs="Times New Roman"/>
          <w:sz w:val="24"/>
          <w:szCs w:val="24"/>
          <w:lang w:val="en-US"/>
        </w:rPr>
        <w:t xml:space="preserve">, E. J., Dixson, A., </w:t>
      </w:r>
      <w:proofErr w:type="spellStart"/>
      <w:r w:rsidRPr="00E66BDC">
        <w:rPr>
          <w:rFonts w:ascii="Times New Roman" w:hAnsi="Times New Roman" w:cs="Times New Roman"/>
          <w:sz w:val="24"/>
          <w:szCs w:val="24"/>
          <w:lang w:val="en-US"/>
        </w:rPr>
        <w:t>Moisson</w:t>
      </w:r>
      <w:proofErr w:type="spellEnd"/>
      <w:r w:rsidRPr="00E66BDC">
        <w:rPr>
          <w:rFonts w:ascii="Times New Roman" w:hAnsi="Times New Roman" w:cs="Times New Roman"/>
          <w:sz w:val="24"/>
          <w:szCs w:val="24"/>
          <w:lang w:val="en-US"/>
        </w:rPr>
        <w:t xml:space="preserve">, P., et. </w:t>
      </w:r>
      <w:proofErr w:type="gramStart"/>
      <w:r w:rsidRPr="00E66BDC">
        <w:rPr>
          <w:rFonts w:ascii="Times New Roman" w:hAnsi="Times New Roman" w:cs="Times New Roman"/>
          <w:sz w:val="24"/>
          <w:szCs w:val="24"/>
          <w:lang w:val="en-US"/>
        </w:rPr>
        <w:t>al. (1995).</w:t>
      </w:r>
      <w:proofErr w:type="gramEnd"/>
      <w:r w:rsidRPr="00E66BDC">
        <w:rPr>
          <w:rFonts w:ascii="Times New Roman" w:hAnsi="Times New Roman" w:cs="Times New Roman"/>
          <w:sz w:val="24"/>
          <w:szCs w:val="24"/>
          <w:lang w:val="en-US"/>
        </w:rPr>
        <w:t xml:space="preserve"> </w:t>
      </w:r>
      <w:proofErr w:type="gramStart"/>
      <w:r w:rsidRPr="00E66BDC">
        <w:rPr>
          <w:rFonts w:ascii="Times New Roman" w:hAnsi="Times New Roman" w:cs="Times New Roman"/>
          <w:sz w:val="24"/>
          <w:szCs w:val="24"/>
          <w:lang w:val="en-US"/>
        </w:rPr>
        <w:t>The effect of increased salt intake on blood pressure of chimpanzees.</w:t>
      </w:r>
      <w:proofErr w:type="gramEnd"/>
      <w:r w:rsidRPr="00E66BDC">
        <w:rPr>
          <w:rFonts w:ascii="Times New Roman" w:hAnsi="Times New Roman" w:cs="Times New Roman"/>
          <w:sz w:val="24"/>
          <w:szCs w:val="24"/>
          <w:lang w:val="en-US"/>
        </w:rPr>
        <w:t xml:space="preserve"> </w:t>
      </w:r>
      <w:proofErr w:type="spellStart"/>
      <w:r w:rsidRPr="00E66BDC">
        <w:rPr>
          <w:rFonts w:ascii="Times New Roman" w:hAnsi="Times New Roman" w:cs="Times New Roman"/>
          <w:i/>
          <w:sz w:val="24"/>
          <w:szCs w:val="24"/>
        </w:rPr>
        <w:t>Nat</w:t>
      </w:r>
      <w:proofErr w:type="spellEnd"/>
      <w:r w:rsidRPr="00E66BDC">
        <w:rPr>
          <w:rFonts w:ascii="Times New Roman" w:hAnsi="Times New Roman" w:cs="Times New Roman"/>
          <w:i/>
          <w:sz w:val="24"/>
          <w:szCs w:val="24"/>
        </w:rPr>
        <w:t xml:space="preserve"> </w:t>
      </w:r>
      <w:proofErr w:type="spellStart"/>
      <w:r w:rsidRPr="00E66BDC">
        <w:rPr>
          <w:rFonts w:ascii="Times New Roman" w:hAnsi="Times New Roman" w:cs="Times New Roman"/>
          <w:i/>
          <w:sz w:val="24"/>
          <w:szCs w:val="24"/>
        </w:rPr>
        <w:t>Med</w:t>
      </w:r>
      <w:proofErr w:type="spellEnd"/>
      <w:r w:rsidRPr="00E66BDC">
        <w:rPr>
          <w:rFonts w:ascii="Times New Roman" w:hAnsi="Times New Roman" w:cs="Times New Roman"/>
          <w:i/>
          <w:sz w:val="24"/>
          <w:szCs w:val="24"/>
        </w:rPr>
        <w:t>;</w:t>
      </w:r>
      <w:r w:rsidRPr="00E66BDC">
        <w:rPr>
          <w:rFonts w:ascii="Times New Roman" w:hAnsi="Times New Roman" w:cs="Times New Roman"/>
          <w:sz w:val="24"/>
          <w:szCs w:val="24"/>
        </w:rPr>
        <w:t xml:space="preserve"> 1, 1009–1016.</w:t>
      </w:r>
    </w:p>
    <w:p w:rsidR="00CF4731" w:rsidRPr="00E66BDC" w:rsidRDefault="00CF4731" w:rsidP="00E66BDC">
      <w:pPr>
        <w:spacing w:line="360" w:lineRule="auto"/>
        <w:ind w:left="851" w:hanging="851"/>
        <w:jc w:val="both"/>
        <w:rPr>
          <w:rFonts w:ascii="Times New Roman" w:hAnsi="Times New Roman" w:cs="Times New Roman"/>
          <w:sz w:val="24"/>
          <w:szCs w:val="24"/>
          <w:lang w:val="en-US"/>
        </w:rPr>
      </w:pPr>
      <w:proofErr w:type="spellStart"/>
      <w:r w:rsidRPr="00E66BDC">
        <w:rPr>
          <w:rFonts w:ascii="Times New Roman" w:hAnsi="Times New Roman" w:cs="Times New Roman"/>
          <w:sz w:val="24"/>
          <w:szCs w:val="24"/>
        </w:rPr>
        <w:t>DiNicolantonio</w:t>
      </w:r>
      <w:proofErr w:type="spellEnd"/>
      <w:r w:rsidRPr="00E66BDC">
        <w:rPr>
          <w:rFonts w:ascii="Times New Roman" w:hAnsi="Times New Roman" w:cs="Times New Roman"/>
          <w:sz w:val="24"/>
          <w:szCs w:val="24"/>
        </w:rPr>
        <w:t xml:space="preserve">, J. J., </w:t>
      </w:r>
      <w:proofErr w:type="spellStart"/>
      <w:r w:rsidRPr="00E66BDC">
        <w:rPr>
          <w:rFonts w:ascii="Times New Roman" w:hAnsi="Times New Roman" w:cs="Times New Roman"/>
          <w:sz w:val="24"/>
          <w:szCs w:val="24"/>
        </w:rPr>
        <w:t>Pharm</w:t>
      </w:r>
      <w:proofErr w:type="spellEnd"/>
      <w:r w:rsidRPr="00E66BDC">
        <w:rPr>
          <w:rFonts w:ascii="Times New Roman" w:hAnsi="Times New Roman" w:cs="Times New Roman"/>
          <w:sz w:val="24"/>
          <w:szCs w:val="24"/>
        </w:rPr>
        <w:t xml:space="preserve">, D., </w:t>
      </w:r>
      <w:proofErr w:type="spellStart"/>
      <w:r w:rsidRPr="00E66BDC">
        <w:rPr>
          <w:rFonts w:ascii="Times New Roman" w:hAnsi="Times New Roman" w:cs="Times New Roman"/>
          <w:sz w:val="24"/>
          <w:szCs w:val="24"/>
        </w:rPr>
        <w:t>Niazi</w:t>
      </w:r>
      <w:proofErr w:type="spellEnd"/>
      <w:r w:rsidRPr="00E66BDC">
        <w:rPr>
          <w:rFonts w:ascii="Times New Roman" w:hAnsi="Times New Roman" w:cs="Times New Roman"/>
          <w:sz w:val="24"/>
          <w:szCs w:val="24"/>
        </w:rPr>
        <w:t xml:space="preserve">, A. K., </w:t>
      </w:r>
      <w:proofErr w:type="spellStart"/>
      <w:r w:rsidRPr="00E66BDC">
        <w:rPr>
          <w:rFonts w:ascii="Times New Roman" w:hAnsi="Times New Roman" w:cs="Times New Roman"/>
          <w:sz w:val="24"/>
          <w:szCs w:val="24"/>
        </w:rPr>
        <w:t>Sadaf</w:t>
      </w:r>
      <w:proofErr w:type="spellEnd"/>
      <w:r w:rsidRPr="00E66BDC">
        <w:rPr>
          <w:rFonts w:ascii="Times New Roman" w:hAnsi="Times New Roman" w:cs="Times New Roman"/>
          <w:sz w:val="24"/>
          <w:szCs w:val="24"/>
        </w:rPr>
        <w:t xml:space="preserve">, R., O’ </w:t>
      </w:r>
      <w:proofErr w:type="spellStart"/>
      <w:r w:rsidRPr="00E66BDC">
        <w:rPr>
          <w:rFonts w:ascii="Times New Roman" w:hAnsi="Times New Roman" w:cs="Times New Roman"/>
          <w:sz w:val="24"/>
          <w:szCs w:val="24"/>
        </w:rPr>
        <w:t>Keefe</w:t>
      </w:r>
      <w:proofErr w:type="spellEnd"/>
      <w:r w:rsidRPr="00E66BDC">
        <w:rPr>
          <w:rFonts w:ascii="Times New Roman" w:hAnsi="Times New Roman" w:cs="Times New Roman"/>
          <w:sz w:val="24"/>
          <w:szCs w:val="24"/>
        </w:rPr>
        <w:t xml:space="preserve">, J. H., </w:t>
      </w:r>
      <w:proofErr w:type="spellStart"/>
      <w:r w:rsidRPr="00E66BDC">
        <w:rPr>
          <w:rFonts w:ascii="Times New Roman" w:hAnsi="Times New Roman" w:cs="Times New Roman"/>
          <w:sz w:val="24"/>
          <w:szCs w:val="24"/>
        </w:rPr>
        <w:t>Lucan</w:t>
      </w:r>
      <w:proofErr w:type="spellEnd"/>
      <w:r w:rsidRPr="00E66BDC">
        <w:rPr>
          <w:rFonts w:ascii="Times New Roman" w:hAnsi="Times New Roman" w:cs="Times New Roman"/>
          <w:sz w:val="24"/>
          <w:szCs w:val="24"/>
        </w:rPr>
        <w:t xml:space="preserve">, S. C. et al. </w:t>
      </w:r>
      <w:r w:rsidRPr="00E66BDC">
        <w:rPr>
          <w:rFonts w:ascii="Times New Roman" w:hAnsi="Times New Roman" w:cs="Times New Roman"/>
          <w:sz w:val="24"/>
          <w:szCs w:val="24"/>
          <w:lang w:val="en-US"/>
        </w:rPr>
        <w:t xml:space="preserve">(2013). Dietary Sodium Restriction: Take It with a Grain of Salt. </w:t>
      </w:r>
      <w:r w:rsidRPr="00E66BDC">
        <w:rPr>
          <w:rFonts w:ascii="Times New Roman" w:hAnsi="Times New Roman" w:cs="Times New Roman"/>
          <w:i/>
          <w:sz w:val="24"/>
          <w:szCs w:val="24"/>
          <w:lang w:val="en-US"/>
        </w:rPr>
        <w:t xml:space="preserve">The American Journal of Medicine, </w:t>
      </w:r>
      <w:r w:rsidRPr="00E66BDC">
        <w:rPr>
          <w:rFonts w:ascii="Times New Roman" w:hAnsi="Times New Roman" w:cs="Times New Roman"/>
          <w:sz w:val="24"/>
          <w:szCs w:val="24"/>
          <w:lang w:val="en-US"/>
        </w:rPr>
        <w:t>126, 951-955.</w:t>
      </w:r>
    </w:p>
    <w:p w:rsidR="00CF4731" w:rsidRDefault="00CF4731" w:rsidP="00E66BDC">
      <w:pPr>
        <w:spacing w:line="360" w:lineRule="auto"/>
        <w:ind w:left="851" w:hanging="851"/>
        <w:jc w:val="both"/>
        <w:rPr>
          <w:rFonts w:ascii="Times New Roman" w:hAnsi="Times New Roman" w:cs="Times New Roman"/>
          <w:sz w:val="24"/>
          <w:szCs w:val="24"/>
          <w:lang w:val="en-US"/>
        </w:rPr>
      </w:pPr>
      <w:r w:rsidRPr="00E66BDC">
        <w:rPr>
          <w:rFonts w:ascii="Times New Roman" w:hAnsi="Times New Roman" w:cs="Times New Roman"/>
          <w:sz w:val="24"/>
          <w:szCs w:val="24"/>
          <w:lang w:val="en-US"/>
        </w:rPr>
        <w:t xml:space="preserve">Elliot, P., </w:t>
      </w:r>
      <w:proofErr w:type="spellStart"/>
      <w:r w:rsidRPr="00E66BDC">
        <w:rPr>
          <w:rFonts w:ascii="Times New Roman" w:hAnsi="Times New Roman" w:cs="Times New Roman"/>
          <w:sz w:val="24"/>
          <w:szCs w:val="24"/>
          <w:lang w:val="en-US"/>
        </w:rPr>
        <w:t>Stamler</w:t>
      </w:r>
      <w:proofErr w:type="spellEnd"/>
      <w:r w:rsidRPr="00E66BDC">
        <w:rPr>
          <w:rFonts w:ascii="Times New Roman" w:hAnsi="Times New Roman" w:cs="Times New Roman"/>
          <w:sz w:val="24"/>
          <w:szCs w:val="24"/>
          <w:lang w:val="en-US"/>
        </w:rPr>
        <w:t xml:space="preserve">, J., Nichols, R., Dyer, A. R., </w:t>
      </w:r>
      <w:proofErr w:type="spellStart"/>
      <w:r w:rsidRPr="00E66BDC">
        <w:rPr>
          <w:rFonts w:ascii="Times New Roman" w:hAnsi="Times New Roman" w:cs="Times New Roman"/>
          <w:sz w:val="24"/>
          <w:szCs w:val="24"/>
          <w:lang w:val="en-US"/>
        </w:rPr>
        <w:t>Stamler</w:t>
      </w:r>
      <w:proofErr w:type="spellEnd"/>
      <w:r w:rsidRPr="00E66BDC">
        <w:rPr>
          <w:rFonts w:ascii="Times New Roman" w:hAnsi="Times New Roman" w:cs="Times New Roman"/>
          <w:sz w:val="24"/>
          <w:szCs w:val="24"/>
          <w:lang w:val="en-US"/>
        </w:rPr>
        <w:t xml:space="preserve">, R., </w:t>
      </w:r>
      <w:proofErr w:type="spellStart"/>
      <w:r w:rsidRPr="00E66BDC">
        <w:rPr>
          <w:rFonts w:ascii="Times New Roman" w:hAnsi="Times New Roman" w:cs="Times New Roman"/>
          <w:sz w:val="24"/>
          <w:szCs w:val="24"/>
          <w:lang w:val="en-US"/>
        </w:rPr>
        <w:t>Kesteloot</w:t>
      </w:r>
      <w:proofErr w:type="spellEnd"/>
      <w:r w:rsidRPr="00E66BDC">
        <w:rPr>
          <w:rFonts w:ascii="Times New Roman" w:hAnsi="Times New Roman" w:cs="Times New Roman"/>
          <w:sz w:val="24"/>
          <w:szCs w:val="24"/>
          <w:lang w:val="en-US"/>
        </w:rPr>
        <w:t xml:space="preserve">, H. et al. (1996). </w:t>
      </w:r>
      <w:proofErr w:type="spellStart"/>
      <w:r w:rsidRPr="00E66BDC">
        <w:rPr>
          <w:rFonts w:ascii="Times New Roman" w:hAnsi="Times New Roman" w:cs="Times New Roman"/>
          <w:sz w:val="24"/>
          <w:szCs w:val="24"/>
          <w:lang w:val="en-US"/>
        </w:rPr>
        <w:t>Intersalt</w:t>
      </w:r>
      <w:proofErr w:type="spellEnd"/>
      <w:r w:rsidRPr="00E66BDC">
        <w:rPr>
          <w:rFonts w:ascii="Times New Roman" w:hAnsi="Times New Roman" w:cs="Times New Roman"/>
          <w:sz w:val="24"/>
          <w:szCs w:val="24"/>
          <w:lang w:val="en-US"/>
        </w:rPr>
        <w:t xml:space="preserve"> revisited: further analyses of 24 hour sodium excretion and blood pressure within and across populations. </w:t>
      </w:r>
      <w:r w:rsidRPr="00E66BDC">
        <w:rPr>
          <w:rFonts w:ascii="Times New Roman" w:hAnsi="Times New Roman" w:cs="Times New Roman"/>
          <w:i/>
          <w:sz w:val="24"/>
          <w:szCs w:val="24"/>
          <w:lang w:val="en-US"/>
        </w:rPr>
        <w:t>BMJ</w:t>
      </w:r>
      <w:r w:rsidRPr="00E66BDC">
        <w:rPr>
          <w:rFonts w:ascii="Times New Roman" w:hAnsi="Times New Roman" w:cs="Times New Roman"/>
          <w:sz w:val="24"/>
          <w:szCs w:val="24"/>
          <w:lang w:val="en-US"/>
        </w:rPr>
        <w:t>, 312, 1249-53.</w:t>
      </w:r>
    </w:p>
    <w:p w:rsidR="00E66BDC" w:rsidRPr="00E66BDC" w:rsidRDefault="00E66BDC" w:rsidP="00E66BDC">
      <w:pPr>
        <w:spacing w:line="360" w:lineRule="auto"/>
        <w:ind w:left="851" w:hanging="851"/>
        <w:jc w:val="both"/>
        <w:rPr>
          <w:rFonts w:ascii="Times New Roman" w:hAnsi="Times New Roman" w:cs="Times New Roman"/>
          <w:sz w:val="24"/>
          <w:szCs w:val="24"/>
          <w:lang w:val="en-US"/>
        </w:rPr>
      </w:pPr>
      <w:proofErr w:type="spellStart"/>
      <w:r w:rsidRPr="00E66BDC">
        <w:rPr>
          <w:rFonts w:ascii="Times New Roman" w:hAnsi="Times New Roman" w:cs="Times New Roman"/>
          <w:sz w:val="24"/>
          <w:szCs w:val="24"/>
          <w:lang w:val="en-US"/>
        </w:rPr>
        <w:t>Ekinci</w:t>
      </w:r>
      <w:proofErr w:type="spellEnd"/>
      <w:r w:rsidRPr="00E66BDC">
        <w:rPr>
          <w:rFonts w:ascii="Times New Roman" w:hAnsi="Times New Roman" w:cs="Times New Roman"/>
          <w:sz w:val="24"/>
          <w:szCs w:val="24"/>
          <w:lang w:val="en-US"/>
        </w:rPr>
        <w:t xml:space="preserve">, E. I., Clarke, S., Thomas, M. C., Moran, J. L., Cheong, K., </w:t>
      </w:r>
      <w:proofErr w:type="spellStart"/>
      <w:r w:rsidRPr="00E66BDC">
        <w:rPr>
          <w:rFonts w:ascii="Times New Roman" w:hAnsi="Times New Roman" w:cs="Times New Roman"/>
          <w:sz w:val="24"/>
          <w:szCs w:val="24"/>
          <w:lang w:val="en-US"/>
        </w:rPr>
        <w:t>MacIsaac</w:t>
      </w:r>
      <w:proofErr w:type="spellEnd"/>
      <w:r w:rsidRPr="00E66BDC">
        <w:rPr>
          <w:rFonts w:ascii="Times New Roman" w:hAnsi="Times New Roman" w:cs="Times New Roman"/>
          <w:sz w:val="24"/>
          <w:szCs w:val="24"/>
          <w:lang w:val="en-US"/>
        </w:rPr>
        <w:t xml:space="preserve">, R. J. et al. (2011). </w:t>
      </w:r>
      <w:proofErr w:type="gramStart"/>
      <w:r w:rsidRPr="00E66BDC">
        <w:rPr>
          <w:rFonts w:ascii="Times New Roman" w:hAnsi="Times New Roman" w:cs="Times New Roman"/>
          <w:sz w:val="24"/>
          <w:szCs w:val="24"/>
          <w:lang w:val="en-US"/>
        </w:rPr>
        <w:t>Dietary salt intake and mortality in patients with type 2 diabetes.</w:t>
      </w:r>
      <w:proofErr w:type="gramEnd"/>
      <w:r w:rsidRPr="00E66BDC">
        <w:rPr>
          <w:rFonts w:ascii="Times New Roman" w:hAnsi="Times New Roman" w:cs="Times New Roman"/>
          <w:sz w:val="24"/>
          <w:szCs w:val="24"/>
          <w:lang w:val="en-US"/>
        </w:rPr>
        <w:t xml:space="preserve"> Diabetes Care, 34, 703–709. </w:t>
      </w:r>
      <w:proofErr w:type="spellStart"/>
      <w:proofErr w:type="gramStart"/>
      <w:r w:rsidRPr="00E66BDC">
        <w:rPr>
          <w:rFonts w:ascii="Times New Roman" w:hAnsi="Times New Roman" w:cs="Times New Roman"/>
          <w:sz w:val="24"/>
          <w:szCs w:val="24"/>
          <w:lang w:val="en-US"/>
        </w:rPr>
        <w:t>doi</w:t>
      </w:r>
      <w:proofErr w:type="spellEnd"/>
      <w:proofErr w:type="gramEnd"/>
      <w:r w:rsidRPr="00E66BDC">
        <w:rPr>
          <w:rFonts w:ascii="Times New Roman" w:hAnsi="Times New Roman" w:cs="Times New Roman"/>
          <w:sz w:val="24"/>
          <w:szCs w:val="24"/>
          <w:lang w:val="en-US"/>
        </w:rPr>
        <w:t>: 10.2337/dc10-1723.</w:t>
      </w:r>
    </w:p>
    <w:p w:rsidR="00E66BDC" w:rsidRPr="00E66BDC" w:rsidRDefault="00E66BDC" w:rsidP="00E66BDC">
      <w:pPr>
        <w:spacing w:line="360" w:lineRule="auto"/>
        <w:ind w:left="851" w:hanging="851"/>
        <w:jc w:val="both"/>
        <w:rPr>
          <w:rFonts w:ascii="Times New Roman" w:hAnsi="Times New Roman" w:cs="Times New Roman"/>
          <w:sz w:val="24"/>
          <w:szCs w:val="24"/>
          <w:lang w:val="en-US"/>
        </w:rPr>
      </w:pPr>
      <w:proofErr w:type="gramStart"/>
      <w:r w:rsidRPr="00E66BDC">
        <w:rPr>
          <w:rFonts w:ascii="Times New Roman" w:hAnsi="Times New Roman" w:cs="Times New Roman"/>
          <w:sz w:val="24"/>
          <w:szCs w:val="24"/>
          <w:lang w:val="en-US"/>
        </w:rPr>
        <w:t>Elliott, P., Walker, L. L., Little, M. P., Blair-West, J. R., Shade, R. E., Lee, D. R. et al. (2007).</w:t>
      </w:r>
      <w:proofErr w:type="gramEnd"/>
      <w:r w:rsidRPr="00E66BDC">
        <w:rPr>
          <w:rFonts w:ascii="Times New Roman" w:hAnsi="Times New Roman" w:cs="Times New Roman"/>
          <w:sz w:val="24"/>
          <w:szCs w:val="24"/>
          <w:lang w:val="en-US"/>
        </w:rPr>
        <w:t xml:space="preserve"> Change in salt intake affects blood pressure of chimpanzees: implications for human populations. Circulation, 116, 1563-1568. doi:10.1161/CIRCULATIONAHA.106.675579</w:t>
      </w:r>
    </w:p>
    <w:p w:rsidR="00E66BDC" w:rsidRPr="00E66BDC" w:rsidRDefault="00E66BDC" w:rsidP="00E66BDC">
      <w:pPr>
        <w:spacing w:line="360" w:lineRule="auto"/>
        <w:ind w:left="851" w:hanging="851"/>
        <w:jc w:val="both"/>
        <w:rPr>
          <w:rFonts w:ascii="Times New Roman" w:hAnsi="Times New Roman" w:cs="Times New Roman"/>
          <w:sz w:val="24"/>
          <w:szCs w:val="24"/>
          <w:lang w:val="en-US"/>
        </w:rPr>
      </w:pPr>
      <w:r w:rsidRPr="00E66BDC">
        <w:rPr>
          <w:rFonts w:ascii="Times New Roman" w:hAnsi="Times New Roman" w:cs="Times New Roman"/>
          <w:sz w:val="24"/>
          <w:szCs w:val="24"/>
          <w:lang w:val="en-US"/>
        </w:rPr>
        <w:t xml:space="preserve">Farquhar, W. B., Edwards, D. G., </w:t>
      </w:r>
      <w:proofErr w:type="spellStart"/>
      <w:r w:rsidRPr="00E66BDC">
        <w:rPr>
          <w:rFonts w:ascii="Times New Roman" w:hAnsi="Times New Roman" w:cs="Times New Roman"/>
          <w:sz w:val="24"/>
          <w:szCs w:val="24"/>
          <w:lang w:val="en-US"/>
        </w:rPr>
        <w:t>Jurkovitz</w:t>
      </w:r>
      <w:proofErr w:type="spellEnd"/>
      <w:r w:rsidRPr="00E66BDC">
        <w:rPr>
          <w:rFonts w:ascii="Times New Roman" w:hAnsi="Times New Roman" w:cs="Times New Roman"/>
          <w:sz w:val="24"/>
          <w:szCs w:val="24"/>
          <w:lang w:val="en-US"/>
        </w:rPr>
        <w:t xml:space="preserve">, C. T., Weintraub, W. S. (2015). </w:t>
      </w:r>
      <w:proofErr w:type="gramStart"/>
      <w:r w:rsidRPr="00E66BDC">
        <w:rPr>
          <w:rFonts w:ascii="Times New Roman" w:hAnsi="Times New Roman" w:cs="Times New Roman"/>
          <w:sz w:val="24"/>
          <w:szCs w:val="24"/>
          <w:lang w:val="en-US"/>
        </w:rPr>
        <w:t>Dietary Sodium and Health More Than Just Blood Pressure.</w:t>
      </w:r>
      <w:proofErr w:type="gramEnd"/>
      <w:r w:rsidRPr="00E66BDC">
        <w:rPr>
          <w:rFonts w:ascii="Times New Roman" w:hAnsi="Times New Roman" w:cs="Times New Roman"/>
          <w:sz w:val="24"/>
          <w:szCs w:val="24"/>
          <w:lang w:val="en-US"/>
        </w:rPr>
        <w:t xml:space="preserve"> </w:t>
      </w:r>
      <w:proofErr w:type="gramStart"/>
      <w:r w:rsidRPr="00E66BDC">
        <w:rPr>
          <w:rFonts w:ascii="Times New Roman" w:hAnsi="Times New Roman" w:cs="Times New Roman"/>
          <w:sz w:val="24"/>
          <w:szCs w:val="24"/>
          <w:lang w:val="en-US"/>
        </w:rPr>
        <w:t>Journal of the American College of Cardiology.</w:t>
      </w:r>
      <w:proofErr w:type="gramEnd"/>
      <w:r w:rsidRPr="00E66BDC">
        <w:rPr>
          <w:rFonts w:ascii="Times New Roman" w:hAnsi="Times New Roman" w:cs="Times New Roman"/>
          <w:sz w:val="24"/>
          <w:szCs w:val="24"/>
          <w:lang w:val="en-US"/>
        </w:rPr>
        <w:t xml:space="preserve"> 65 (10), 1042-1050. </w:t>
      </w:r>
      <w:proofErr w:type="spellStart"/>
      <w:proofErr w:type="gramStart"/>
      <w:r w:rsidRPr="00E66BDC">
        <w:rPr>
          <w:rFonts w:ascii="Times New Roman" w:hAnsi="Times New Roman" w:cs="Times New Roman"/>
          <w:sz w:val="24"/>
          <w:szCs w:val="24"/>
          <w:lang w:val="en-US"/>
        </w:rPr>
        <w:t>doi</w:t>
      </w:r>
      <w:proofErr w:type="spellEnd"/>
      <w:proofErr w:type="gramEnd"/>
      <w:r w:rsidRPr="00E66BDC">
        <w:rPr>
          <w:rFonts w:ascii="Times New Roman" w:hAnsi="Times New Roman" w:cs="Times New Roman"/>
          <w:sz w:val="24"/>
          <w:szCs w:val="24"/>
          <w:lang w:val="en-US"/>
        </w:rPr>
        <w:t>:  http://dx.doi.org/10.1016/j.jacc.2014.12.039</w:t>
      </w:r>
    </w:p>
    <w:p w:rsidR="00CF4731" w:rsidRPr="00E66BDC" w:rsidRDefault="00CF4731" w:rsidP="00E66BDC">
      <w:pPr>
        <w:spacing w:line="360" w:lineRule="auto"/>
        <w:ind w:left="851" w:hanging="851"/>
        <w:jc w:val="both"/>
        <w:rPr>
          <w:rFonts w:ascii="Times New Roman" w:hAnsi="Times New Roman" w:cs="Times New Roman"/>
          <w:sz w:val="24"/>
          <w:szCs w:val="24"/>
        </w:rPr>
      </w:pPr>
      <w:proofErr w:type="gramStart"/>
      <w:r w:rsidRPr="00E66BDC">
        <w:rPr>
          <w:rFonts w:ascii="Times New Roman" w:hAnsi="Times New Roman" w:cs="Times New Roman"/>
          <w:sz w:val="24"/>
          <w:szCs w:val="24"/>
          <w:lang w:val="en-US"/>
        </w:rPr>
        <w:lastRenderedPageBreak/>
        <w:t xml:space="preserve">Ferreira, P. L., Stark, S., </w:t>
      </w:r>
      <w:proofErr w:type="spellStart"/>
      <w:r w:rsidRPr="00E66BDC">
        <w:rPr>
          <w:rFonts w:ascii="Times New Roman" w:hAnsi="Times New Roman" w:cs="Times New Roman"/>
          <w:sz w:val="24"/>
          <w:szCs w:val="24"/>
          <w:lang w:val="en-US"/>
        </w:rPr>
        <w:t>Steenkiste</w:t>
      </w:r>
      <w:proofErr w:type="spellEnd"/>
      <w:r w:rsidRPr="00E66BDC">
        <w:rPr>
          <w:rFonts w:ascii="Times New Roman" w:hAnsi="Times New Roman" w:cs="Times New Roman"/>
          <w:sz w:val="24"/>
          <w:szCs w:val="24"/>
          <w:lang w:val="en-US"/>
        </w:rPr>
        <w:t xml:space="preserve">, A., </w:t>
      </w:r>
      <w:proofErr w:type="spellStart"/>
      <w:r w:rsidRPr="00E66BDC">
        <w:rPr>
          <w:rFonts w:ascii="Times New Roman" w:hAnsi="Times New Roman" w:cs="Times New Roman"/>
          <w:sz w:val="24"/>
          <w:szCs w:val="24"/>
          <w:lang w:val="en-US"/>
        </w:rPr>
        <w:t>Piraino</w:t>
      </w:r>
      <w:proofErr w:type="spellEnd"/>
      <w:r w:rsidRPr="00E66BDC">
        <w:rPr>
          <w:rFonts w:ascii="Times New Roman" w:hAnsi="Times New Roman" w:cs="Times New Roman"/>
          <w:sz w:val="24"/>
          <w:szCs w:val="24"/>
          <w:lang w:val="en-US"/>
        </w:rPr>
        <w:t xml:space="preserve">, B. &amp; </w:t>
      </w:r>
      <w:proofErr w:type="spellStart"/>
      <w:r w:rsidRPr="00E66BDC">
        <w:rPr>
          <w:rFonts w:ascii="Times New Roman" w:hAnsi="Times New Roman" w:cs="Times New Roman"/>
          <w:sz w:val="24"/>
          <w:szCs w:val="24"/>
          <w:lang w:val="en-US"/>
        </w:rPr>
        <w:t>Sevick</w:t>
      </w:r>
      <w:proofErr w:type="spellEnd"/>
      <w:r w:rsidRPr="00E66BDC">
        <w:rPr>
          <w:rFonts w:ascii="Times New Roman" w:hAnsi="Times New Roman" w:cs="Times New Roman"/>
          <w:sz w:val="24"/>
          <w:szCs w:val="24"/>
          <w:lang w:val="en-US"/>
        </w:rPr>
        <w:t>, M. A. (2014).</w:t>
      </w:r>
      <w:proofErr w:type="gramEnd"/>
      <w:r w:rsidRPr="00E66BDC">
        <w:rPr>
          <w:rFonts w:ascii="Times New Roman" w:hAnsi="Times New Roman" w:cs="Times New Roman"/>
          <w:sz w:val="24"/>
          <w:szCs w:val="24"/>
          <w:lang w:val="en-US"/>
        </w:rPr>
        <w:t xml:space="preserve"> </w:t>
      </w:r>
      <w:proofErr w:type="gramStart"/>
      <w:r w:rsidRPr="00E66BDC">
        <w:rPr>
          <w:rFonts w:ascii="Times New Roman" w:hAnsi="Times New Roman" w:cs="Times New Roman"/>
          <w:sz w:val="24"/>
          <w:szCs w:val="24"/>
          <w:lang w:val="en-US"/>
        </w:rPr>
        <w:t>Dietary Sodium Intake in Type 2 Diabetes.</w:t>
      </w:r>
      <w:proofErr w:type="gramEnd"/>
      <w:r w:rsidRPr="00E66BDC">
        <w:rPr>
          <w:rFonts w:ascii="Times New Roman" w:hAnsi="Times New Roman" w:cs="Times New Roman"/>
          <w:sz w:val="24"/>
          <w:szCs w:val="24"/>
          <w:lang w:val="en-US"/>
        </w:rPr>
        <w:t xml:space="preserve"> </w:t>
      </w:r>
      <w:proofErr w:type="spellStart"/>
      <w:r w:rsidRPr="00E66BDC">
        <w:rPr>
          <w:rFonts w:ascii="Times New Roman" w:hAnsi="Times New Roman" w:cs="Times New Roman"/>
          <w:i/>
          <w:sz w:val="24"/>
          <w:szCs w:val="24"/>
        </w:rPr>
        <w:t>Clinical</w:t>
      </w:r>
      <w:proofErr w:type="spellEnd"/>
      <w:r w:rsidRPr="00E66BDC">
        <w:rPr>
          <w:rFonts w:ascii="Times New Roman" w:hAnsi="Times New Roman" w:cs="Times New Roman"/>
          <w:i/>
          <w:sz w:val="24"/>
          <w:szCs w:val="24"/>
        </w:rPr>
        <w:t xml:space="preserve"> Diabetes, 32(3), 106-112.</w:t>
      </w:r>
    </w:p>
    <w:p w:rsidR="00CF4731" w:rsidRPr="00E66BDC" w:rsidRDefault="00CF4731" w:rsidP="00E66BDC">
      <w:pPr>
        <w:spacing w:line="360" w:lineRule="auto"/>
        <w:ind w:left="851" w:hanging="851"/>
        <w:jc w:val="both"/>
        <w:rPr>
          <w:rFonts w:ascii="Times New Roman" w:hAnsi="Times New Roman" w:cs="Times New Roman"/>
          <w:sz w:val="24"/>
          <w:szCs w:val="24"/>
        </w:rPr>
      </w:pPr>
      <w:r w:rsidRPr="00E66BDC">
        <w:rPr>
          <w:rFonts w:ascii="Times New Roman" w:hAnsi="Times New Roman" w:cs="Times New Roman"/>
          <w:sz w:val="24"/>
          <w:szCs w:val="24"/>
        </w:rPr>
        <w:t xml:space="preserve">Gaitán, D., Chamorro, R., </w:t>
      </w:r>
      <w:proofErr w:type="spellStart"/>
      <w:r w:rsidRPr="00E66BDC">
        <w:rPr>
          <w:rFonts w:ascii="Times New Roman" w:hAnsi="Times New Roman" w:cs="Times New Roman"/>
          <w:sz w:val="24"/>
          <w:szCs w:val="24"/>
        </w:rPr>
        <w:t>Cediel</w:t>
      </w:r>
      <w:proofErr w:type="spellEnd"/>
      <w:r w:rsidRPr="00E66BDC">
        <w:rPr>
          <w:rFonts w:ascii="Times New Roman" w:hAnsi="Times New Roman" w:cs="Times New Roman"/>
          <w:sz w:val="24"/>
          <w:szCs w:val="24"/>
        </w:rPr>
        <w:t>, G., Lozano, G. &amp; Da Silva-Gomes F. (2015). Sodio y enfermedad cardiovascular: contexto Latinoamérica.</w:t>
      </w:r>
      <w:r w:rsidRPr="00E66BDC">
        <w:rPr>
          <w:rFonts w:ascii="Times New Roman" w:hAnsi="Times New Roman" w:cs="Times New Roman"/>
          <w:i/>
          <w:sz w:val="24"/>
          <w:szCs w:val="24"/>
        </w:rPr>
        <w:t xml:space="preserve"> Archivos Latinoamericanos de Nutrición</w:t>
      </w:r>
      <w:r w:rsidRPr="00E66BDC">
        <w:rPr>
          <w:rFonts w:ascii="Times New Roman" w:hAnsi="Times New Roman" w:cs="Times New Roman"/>
          <w:sz w:val="24"/>
          <w:szCs w:val="24"/>
        </w:rPr>
        <w:t>, 65(4), 206-215.</w:t>
      </w:r>
    </w:p>
    <w:p w:rsidR="00CF4731" w:rsidRDefault="00CF4731" w:rsidP="00E66BDC">
      <w:pPr>
        <w:spacing w:line="360" w:lineRule="auto"/>
        <w:ind w:left="851" w:hanging="851"/>
        <w:jc w:val="both"/>
        <w:rPr>
          <w:rFonts w:ascii="Times New Roman" w:hAnsi="Times New Roman" w:cs="Times New Roman"/>
          <w:sz w:val="24"/>
          <w:szCs w:val="24"/>
          <w:lang w:val="en-US"/>
        </w:rPr>
      </w:pPr>
      <w:proofErr w:type="spellStart"/>
      <w:proofErr w:type="gramStart"/>
      <w:r w:rsidRPr="00E66BDC">
        <w:rPr>
          <w:rFonts w:ascii="Times New Roman" w:hAnsi="Times New Roman" w:cs="Times New Roman"/>
          <w:sz w:val="24"/>
          <w:szCs w:val="24"/>
          <w:lang w:val="en-US"/>
        </w:rPr>
        <w:t>Graudal</w:t>
      </w:r>
      <w:proofErr w:type="spellEnd"/>
      <w:r w:rsidRPr="00E66BDC">
        <w:rPr>
          <w:rFonts w:ascii="Times New Roman" w:hAnsi="Times New Roman" w:cs="Times New Roman"/>
          <w:sz w:val="24"/>
          <w:szCs w:val="24"/>
          <w:lang w:val="en-US"/>
        </w:rPr>
        <w:t xml:space="preserve">, N., </w:t>
      </w:r>
      <w:proofErr w:type="spellStart"/>
      <w:r w:rsidRPr="00E66BDC">
        <w:rPr>
          <w:rFonts w:ascii="Times New Roman" w:hAnsi="Times New Roman" w:cs="Times New Roman"/>
          <w:sz w:val="24"/>
          <w:szCs w:val="24"/>
          <w:lang w:val="en-US"/>
        </w:rPr>
        <w:t>Hubeck-Graudal</w:t>
      </w:r>
      <w:proofErr w:type="spellEnd"/>
      <w:r w:rsidRPr="00E66BDC">
        <w:rPr>
          <w:rFonts w:ascii="Times New Roman" w:hAnsi="Times New Roman" w:cs="Times New Roman"/>
          <w:sz w:val="24"/>
          <w:szCs w:val="24"/>
          <w:lang w:val="en-US"/>
        </w:rPr>
        <w:t xml:space="preserve">, T., </w:t>
      </w:r>
      <w:proofErr w:type="spellStart"/>
      <w:r w:rsidRPr="00E66BDC">
        <w:rPr>
          <w:rFonts w:ascii="Times New Roman" w:hAnsi="Times New Roman" w:cs="Times New Roman"/>
          <w:sz w:val="24"/>
          <w:szCs w:val="24"/>
          <w:lang w:val="en-US"/>
        </w:rPr>
        <w:t>Jürgens</w:t>
      </w:r>
      <w:proofErr w:type="spellEnd"/>
      <w:r w:rsidRPr="00E66BDC">
        <w:rPr>
          <w:rFonts w:ascii="Times New Roman" w:hAnsi="Times New Roman" w:cs="Times New Roman"/>
          <w:sz w:val="24"/>
          <w:szCs w:val="24"/>
          <w:lang w:val="en-US"/>
        </w:rPr>
        <w:t>, G. &amp; McCarron, D. A. (2015).</w:t>
      </w:r>
      <w:proofErr w:type="gramEnd"/>
      <w:r w:rsidRPr="00E66BDC">
        <w:rPr>
          <w:rFonts w:ascii="Times New Roman" w:hAnsi="Times New Roman" w:cs="Times New Roman"/>
          <w:sz w:val="24"/>
          <w:szCs w:val="24"/>
          <w:lang w:val="en-US"/>
        </w:rPr>
        <w:t xml:space="preserve"> The significance of duration and amount of sodium reduction intervention in normotensive and hypertensive individuals: A Meta-Analysis.</w:t>
      </w:r>
      <w:r w:rsidRPr="00E66BDC">
        <w:rPr>
          <w:rFonts w:ascii="Times New Roman" w:hAnsi="Times New Roman" w:cs="Times New Roman"/>
          <w:lang w:val="en-US"/>
        </w:rPr>
        <w:t xml:space="preserve"> </w:t>
      </w:r>
      <w:proofErr w:type="spellStart"/>
      <w:r w:rsidRPr="00E66BDC">
        <w:rPr>
          <w:rFonts w:ascii="Times New Roman" w:hAnsi="Times New Roman" w:cs="Times New Roman"/>
          <w:i/>
          <w:sz w:val="24"/>
          <w:szCs w:val="24"/>
          <w:lang w:val="en-US"/>
        </w:rPr>
        <w:t>Adv</w:t>
      </w:r>
      <w:proofErr w:type="spellEnd"/>
      <w:r w:rsidRPr="00E66BDC">
        <w:rPr>
          <w:rFonts w:ascii="Times New Roman" w:hAnsi="Times New Roman" w:cs="Times New Roman"/>
          <w:i/>
          <w:sz w:val="24"/>
          <w:szCs w:val="24"/>
          <w:lang w:val="en-US"/>
        </w:rPr>
        <w:t xml:space="preserve"> </w:t>
      </w:r>
      <w:proofErr w:type="spellStart"/>
      <w:r w:rsidRPr="00E66BDC">
        <w:rPr>
          <w:rFonts w:ascii="Times New Roman" w:hAnsi="Times New Roman" w:cs="Times New Roman"/>
          <w:i/>
          <w:sz w:val="24"/>
          <w:szCs w:val="24"/>
          <w:lang w:val="en-US"/>
        </w:rPr>
        <w:t>Nutr</w:t>
      </w:r>
      <w:proofErr w:type="spellEnd"/>
      <w:r w:rsidRPr="00E66BDC">
        <w:rPr>
          <w:rFonts w:ascii="Times New Roman" w:hAnsi="Times New Roman" w:cs="Times New Roman"/>
          <w:i/>
          <w:sz w:val="24"/>
          <w:szCs w:val="24"/>
          <w:lang w:val="en-US"/>
        </w:rPr>
        <w:t>,</w:t>
      </w:r>
      <w:r w:rsidRPr="00E66BDC">
        <w:rPr>
          <w:rFonts w:ascii="Times New Roman" w:hAnsi="Times New Roman" w:cs="Times New Roman"/>
          <w:sz w:val="24"/>
          <w:szCs w:val="24"/>
          <w:lang w:val="en-US"/>
        </w:rPr>
        <w:t xml:space="preserve"> 6, 169-177. </w:t>
      </w:r>
    </w:p>
    <w:p w:rsidR="00270D03" w:rsidRPr="00270D03" w:rsidRDefault="00270D03" w:rsidP="00270D03">
      <w:pPr>
        <w:spacing w:line="360" w:lineRule="auto"/>
        <w:ind w:left="851" w:hanging="851"/>
        <w:jc w:val="both"/>
        <w:rPr>
          <w:rFonts w:ascii="Times New Roman" w:hAnsi="Times New Roman" w:cs="Times New Roman"/>
          <w:sz w:val="24"/>
          <w:szCs w:val="24"/>
          <w:lang w:val="en-US"/>
        </w:rPr>
      </w:pPr>
      <w:proofErr w:type="spellStart"/>
      <w:proofErr w:type="gramStart"/>
      <w:r w:rsidRPr="00270D03">
        <w:rPr>
          <w:rFonts w:ascii="Times New Roman" w:hAnsi="Times New Roman" w:cs="Times New Roman"/>
          <w:sz w:val="24"/>
          <w:szCs w:val="24"/>
          <w:lang w:val="en-US"/>
        </w:rPr>
        <w:t>Graudal</w:t>
      </w:r>
      <w:proofErr w:type="spellEnd"/>
      <w:r w:rsidRPr="00270D03">
        <w:rPr>
          <w:rFonts w:ascii="Times New Roman" w:hAnsi="Times New Roman" w:cs="Times New Roman"/>
          <w:sz w:val="24"/>
          <w:szCs w:val="24"/>
          <w:lang w:val="en-US"/>
        </w:rPr>
        <w:t xml:space="preserve">, N. A., </w:t>
      </w:r>
      <w:proofErr w:type="spellStart"/>
      <w:r w:rsidRPr="00270D03">
        <w:rPr>
          <w:rFonts w:ascii="Times New Roman" w:hAnsi="Times New Roman" w:cs="Times New Roman"/>
          <w:sz w:val="24"/>
          <w:szCs w:val="24"/>
          <w:lang w:val="en-US"/>
        </w:rPr>
        <w:t>Hubeck-Graudal</w:t>
      </w:r>
      <w:proofErr w:type="spellEnd"/>
      <w:r w:rsidRPr="00270D03">
        <w:rPr>
          <w:rFonts w:ascii="Times New Roman" w:hAnsi="Times New Roman" w:cs="Times New Roman"/>
          <w:sz w:val="24"/>
          <w:szCs w:val="24"/>
          <w:lang w:val="en-US"/>
        </w:rPr>
        <w:t xml:space="preserve">, T. &amp; </w:t>
      </w:r>
      <w:proofErr w:type="spellStart"/>
      <w:r w:rsidRPr="00270D03">
        <w:rPr>
          <w:rFonts w:ascii="Times New Roman" w:hAnsi="Times New Roman" w:cs="Times New Roman"/>
          <w:sz w:val="24"/>
          <w:szCs w:val="24"/>
          <w:lang w:val="en-US"/>
        </w:rPr>
        <w:t>Jurgens</w:t>
      </w:r>
      <w:proofErr w:type="spellEnd"/>
      <w:r w:rsidRPr="00270D03">
        <w:rPr>
          <w:rFonts w:ascii="Times New Roman" w:hAnsi="Times New Roman" w:cs="Times New Roman"/>
          <w:sz w:val="24"/>
          <w:szCs w:val="24"/>
          <w:lang w:val="en-US"/>
        </w:rPr>
        <w:t>, G. (2012).</w:t>
      </w:r>
      <w:proofErr w:type="gramEnd"/>
      <w:r w:rsidRPr="00270D03">
        <w:rPr>
          <w:rFonts w:ascii="Times New Roman" w:hAnsi="Times New Roman" w:cs="Times New Roman"/>
          <w:sz w:val="24"/>
          <w:szCs w:val="24"/>
          <w:lang w:val="en-US"/>
        </w:rPr>
        <w:t xml:space="preserve"> Effects of low sodium diet versus high sodium diet on blood pressure, renin, aldosterone, </w:t>
      </w:r>
      <w:proofErr w:type="spellStart"/>
      <w:r w:rsidRPr="00270D03">
        <w:rPr>
          <w:rFonts w:ascii="Times New Roman" w:hAnsi="Times New Roman" w:cs="Times New Roman"/>
          <w:sz w:val="24"/>
          <w:szCs w:val="24"/>
          <w:lang w:val="en-US"/>
        </w:rPr>
        <w:t>catecholamines</w:t>
      </w:r>
      <w:proofErr w:type="spellEnd"/>
      <w:r w:rsidRPr="00270D03">
        <w:rPr>
          <w:rFonts w:ascii="Times New Roman" w:hAnsi="Times New Roman" w:cs="Times New Roman"/>
          <w:sz w:val="24"/>
          <w:szCs w:val="24"/>
          <w:lang w:val="en-US"/>
        </w:rPr>
        <w:t xml:space="preserve">, cholesterol, and triglyceride. Am J </w:t>
      </w:r>
      <w:proofErr w:type="spellStart"/>
      <w:r w:rsidRPr="00270D03">
        <w:rPr>
          <w:rFonts w:ascii="Times New Roman" w:hAnsi="Times New Roman" w:cs="Times New Roman"/>
          <w:sz w:val="24"/>
          <w:szCs w:val="24"/>
          <w:lang w:val="en-US"/>
        </w:rPr>
        <w:t>Hypertens</w:t>
      </w:r>
      <w:proofErr w:type="spellEnd"/>
      <w:r w:rsidRPr="00270D03">
        <w:rPr>
          <w:rFonts w:ascii="Times New Roman" w:hAnsi="Times New Roman" w:cs="Times New Roman"/>
          <w:sz w:val="24"/>
          <w:szCs w:val="24"/>
          <w:lang w:val="en-US"/>
        </w:rPr>
        <w:t>, 25(1), 1-</w:t>
      </w:r>
      <w:proofErr w:type="gramStart"/>
      <w:r w:rsidRPr="00270D03">
        <w:rPr>
          <w:rFonts w:ascii="Times New Roman" w:hAnsi="Times New Roman" w:cs="Times New Roman"/>
          <w:sz w:val="24"/>
          <w:szCs w:val="24"/>
          <w:lang w:val="en-US"/>
        </w:rPr>
        <w:t>15.</w:t>
      </w:r>
      <w:proofErr w:type="gramEnd"/>
      <w:r w:rsidRPr="00270D03">
        <w:rPr>
          <w:rFonts w:ascii="Times New Roman" w:hAnsi="Times New Roman" w:cs="Times New Roman"/>
          <w:sz w:val="24"/>
          <w:szCs w:val="24"/>
          <w:lang w:val="en-US"/>
        </w:rPr>
        <w:t xml:space="preserve"> </w:t>
      </w:r>
      <w:proofErr w:type="spellStart"/>
      <w:proofErr w:type="gramStart"/>
      <w:r w:rsidRPr="00270D03">
        <w:rPr>
          <w:rFonts w:ascii="Times New Roman" w:hAnsi="Times New Roman" w:cs="Times New Roman"/>
          <w:sz w:val="24"/>
          <w:szCs w:val="24"/>
          <w:lang w:val="en-US"/>
        </w:rPr>
        <w:t>doi</w:t>
      </w:r>
      <w:proofErr w:type="spellEnd"/>
      <w:proofErr w:type="gramEnd"/>
      <w:r w:rsidRPr="00270D03">
        <w:rPr>
          <w:rFonts w:ascii="Times New Roman" w:hAnsi="Times New Roman" w:cs="Times New Roman"/>
          <w:sz w:val="24"/>
          <w:szCs w:val="24"/>
          <w:lang w:val="en-US"/>
        </w:rPr>
        <w:t>: 10.1038/ajh.2011.210</w:t>
      </w:r>
    </w:p>
    <w:p w:rsidR="00270D03" w:rsidRPr="00270D03" w:rsidRDefault="00270D03" w:rsidP="00270D03">
      <w:pPr>
        <w:spacing w:line="360" w:lineRule="auto"/>
        <w:ind w:left="851" w:hanging="851"/>
        <w:jc w:val="both"/>
        <w:rPr>
          <w:rFonts w:ascii="Times New Roman" w:hAnsi="Times New Roman" w:cs="Times New Roman"/>
          <w:sz w:val="24"/>
          <w:szCs w:val="24"/>
          <w:lang w:val="en-US"/>
        </w:rPr>
      </w:pPr>
      <w:proofErr w:type="spellStart"/>
      <w:proofErr w:type="gramStart"/>
      <w:r w:rsidRPr="00270D03">
        <w:rPr>
          <w:rFonts w:ascii="Times New Roman" w:hAnsi="Times New Roman" w:cs="Times New Roman"/>
          <w:sz w:val="24"/>
          <w:szCs w:val="24"/>
          <w:lang w:val="en-US"/>
        </w:rPr>
        <w:t>Graudal</w:t>
      </w:r>
      <w:proofErr w:type="spellEnd"/>
      <w:r w:rsidRPr="00270D03">
        <w:rPr>
          <w:rFonts w:ascii="Times New Roman" w:hAnsi="Times New Roman" w:cs="Times New Roman"/>
          <w:sz w:val="24"/>
          <w:szCs w:val="24"/>
          <w:lang w:val="en-US"/>
        </w:rPr>
        <w:t xml:space="preserve">, N., </w:t>
      </w:r>
      <w:proofErr w:type="spellStart"/>
      <w:r w:rsidRPr="00270D03">
        <w:rPr>
          <w:rFonts w:ascii="Times New Roman" w:hAnsi="Times New Roman" w:cs="Times New Roman"/>
          <w:sz w:val="24"/>
          <w:szCs w:val="24"/>
          <w:lang w:val="en-US"/>
        </w:rPr>
        <w:t>Jürgens</w:t>
      </w:r>
      <w:proofErr w:type="spellEnd"/>
      <w:r w:rsidRPr="00270D03">
        <w:rPr>
          <w:rFonts w:ascii="Times New Roman" w:hAnsi="Times New Roman" w:cs="Times New Roman"/>
          <w:sz w:val="24"/>
          <w:szCs w:val="24"/>
          <w:lang w:val="en-US"/>
        </w:rPr>
        <w:t xml:space="preserve">, G., </w:t>
      </w:r>
      <w:proofErr w:type="spellStart"/>
      <w:r w:rsidRPr="00270D03">
        <w:rPr>
          <w:rFonts w:ascii="Times New Roman" w:hAnsi="Times New Roman" w:cs="Times New Roman"/>
          <w:sz w:val="24"/>
          <w:szCs w:val="24"/>
          <w:lang w:val="en-US"/>
        </w:rPr>
        <w:t>Baslund</w:t>
      </w:r>
      <w:proofErr w:type="spellEnd"/>
      <w:r w:rsidRPr="00270D03">
        <w:rPr>
          <w:rFonts w:ascii="Times New Roman" w:hAnsi="Times New Roman" w:cs="Times New Roman"/>
          <w:sz w:val="24"/>
          <w:szCs w:val="24"/>
          <w:lang w:val="en-US"/>
        </w:rPr>
        <w:t>, B. &amp; Alderman M. H. (2014).</w:t>
      </w:r>
      <w:proofErr w:type="gramEnd"/>
      <w:r w:rsidRPr="00270D03">
        <w:rPr>
          <w:rFonts w:ascii="Times New Roman" w:hAnsi="Times New Roman" w:cs="Times New Roman"/>
          <w:sz w:val="24"/>
          <w:szCs w:val="24"/>
          <w:lang w:val="en-US"/>
        </w:rPr>
        <w:t xml:space="preserve"> Compared with usual sodium intake, low and excessive sodium diets are associated with increased mortality: a meta-analysis. American Journal of Hypertension: 27(9)</w:t>
      </w:r>
      <w:proofErr w:type="gramStart"/>
      <w:r w:rsidRPr="00270D03">
        <w:rPr>
          <w:rFonts w:ascii="Times New Roman" w:hAnsi="Times New Roman" w:cs="Times New Roman"/>
          <w:sz w:val="24"/>
          <w:szCs w:val="24"/>
          <w:lang w:val="en-US"/>
        </w:rPr>
        <w:t>,1129</w:t>
      </w:r>
      <w:proofErr w:type="gramEnd"/>
      <w:r w:rsidRPr="00270D03">
        <w:rPr>
          <w:rFonts w:ascii="Times New Roman" w:hAnsi="Times New Roman" w:cs="Times New Roman"/>
          <w:sz w:val="24"/>
          <w:szCs w:val="24"/>
          <w:lang w:val="en-US"/>
        </w:rPr>
        <w:t xml:space="preserve">-37. </w:t>
      </w:r>
      <w:proofErr w:type="spellStart"/>
      <w:proofErr w:type="gramStart"/>
      <w:r w:rsidRPr="00270D03">
        <w:rPr>
          <w:rFonts w:ascii="Times New Roman" w:hAnsi="Times New Roman" w:cs="Times New Roman"/>
          <w:sz w:val="24"/>
          <w:szCs w:val="24"/>
          <w:lang w:val="en-US"/>
        </w:rPr>
        <w:t>doi</w:t>
      </w:r>
      <w:proofErr w:type="spellEnd"/>
      <w:proofErr w:type="gramEnd"/>
      <w:r w:rsidRPr="00270D03">
        <w:rPr>
          <w:rFonts w:ascii="Times New Roman" w:hAnsi="Times New Roman" w:cs="Times New Roman"/>
          <w:sz w:val="24"/>
          <w:szCs w:val="24"/>
          <w:lang w:val="en-US"/>
        </w:rPr>
        <w:t>: 10.1093/</w:t>
      </w:r>
      <w:proofErr w:type="spellStart"/>
      <w:r w:rsidRPr="00270D03">
        <w:rPr>
          <w:rFonts w:ascii="Times New Roman" w:hAnsi="Times New Roman" w:cs="Times New Roman"/>
          <w:sz w:val="24"/>
          <w:szCs w:val="24"/>
          <w:lang w:val="en-US"/>
        </w:rPr>
        <w:t>ajh</w:t>
      </w:r>
      <w:proofErr w:type="spellEnd"/>
      <w:r w:rsidRPr="00270D03">
        <w:rPr>
          <w:rFonts w:ascii="Times New Roman" w:hAnsi="Times New Roman" w:cs="Times New Roman"/>
          <w:sz w:val="24"/>
          <w:szCs w:val="24"/>
          <w:lang w:val="en-US"/>
        </w:rPr>
        <w:t>/hpu028</w:t>
      </w:r>
    </w:p>
    <w:p w:rsidR="00270D03" w:rsidRPr="00270D03" w:rsidRDefault="00270D03" w:rsidP="00270D03">
      <w:pPr>
        <w:spacing w:line="360" w:lineRule="auto"/>
        <w:ind w:left="851" w:hanging="851"/>
        <w:jc w:val="both"/>
        <w:rPr>
          <w:rFonts w:ascii="Times New Roman" w:hAnsi="Times New Roman" w:cs="Times New Roman"/>
          <w:sz w:val="24"/>
          <w:szCs w:val="24"/>
          <w:lang w:val="en-US"/>
        </w:rPr>
      </w:pPr>
      <w:r w:rsidRPr="00270D03">
        <w:rPr>
          <w:rFonts w:ascii="Times New Roman" w:hAnsi="Times New Roman" w:cs="Times New Roman"/>
          <w:sz w:val="24"/>
          <w:szCs w:val="24"/>
          <w:lang w:val="en-US"/>
        </w:rPr>
        <w:t xml:space="preserve">Gupta, D, </w:t>
      </w:r>
      <w:proofErr w:type="spellStart"/>
      <w:r w:rsidRPr="00270D03">
        <w:rPr>
          <w:rFonts w:ascii="Times New Roman" w:hAnsi="Times New Roman" w:cs="Times New Roman"/>
          <w:sz w:val="24"/>
          <w:szCs w:val="24"/>
          <w:lang w:val="en-US"/>
        </w:rPr>
        <w:t>Georgiopoulou</w:t>
      </w:r>
      <w:proofErr w:type="spellEnd"/>
      <w:r w:rsidRPr="00270D03">
        <w:rPr>
          <w:rFonts w:ascii="Times New Roman" w:hAnsi="Times New Roman" w:cs="Times New Roman"/>
          <w:sz w:val="24"/>
          <w:szCs w:val="24"/>
          <w:lang w:val="en-US"/>
        </w:rPr>
        <w:t xml:space="preserve">, V. V., </w:t>
      </w:r>
      <w:proofErr w:type="spellStart"/>
      <w:r w:rsidRPr="00270D03">
        <w:rPr>
          <w:rFonts w:ascii="Times New Roman" w:hAnsi="Times New Roman" w:cs="Times New Roman"/>
          <w:sz w:val="24"/>
          <w:szCs w:val="24"/>
          <w:lang w:val="en-US"/>
        </w:rPr>
        <w:t>Kalogeropoulos</w:t>
      </w:r>
      <w:proofErr w:type="spellEnd"/>
      <w:r w:rsidRPr="00270D03">
        <w:rPr>
          <w:rFonts w:ascii="Times New Roman" w:hAnsi="Times New Roman" w:cs="Times New Roman"/>
          <w:sz w:val="24"/>
          <w:szCs w:val="24"/>
          <w:lang w:val="en-US"/>
        </w:rPr>
        <w:t xml:space="preserve">, A. P., Dunbar, S. B., Reilly, C. M. &amp; Sands, J. M. et. </w:t>
      </w:r>
      <w:proofErr w:type="gramStart"/>
      <w:r w:rsidRPr="00270D03">
        <w:rPr>
          <w:rFonts w:ascii="Times New Roman" w:hAnsi="Times New Roman" w:cs="Times New Roman"/>
          <w:sz w:val="24"/>
          <w:szCs w:val="24"/>
          <w:lang w:val="en-US"/>
        </w:rPr>
        <w:t>al</w:t>
      </w:r>
      <w:proofErr w:type="gramEnd"/>
      <w:r w:rsidRPr="00270D03">
        <w:rPr>
          <w:rFonts w:ascii="Times New Roman" w:hAnsi="Times New Roman" w:cs="Times New Roman"/>
          <w:sz w:val="24"/>
          <w:szCs w:val="24"/>
          <w:lang w:val="en-US"/>
        </w:rPr>
        <w:t xml:space="preserve">. Dietary sodium intake in heart failure. </w:t>
      </w:r>
      <w:proofErr w:type="gramStart"/>
      <w:r w:rsidRPr="00270D03">
        <w:rPr>
          <w:rFonts w:ascii="Times New Roman" w:hAnsi="Times New Roman" w:cs="Times New Roman"/>
          <w:sz w:val="24"/>
          <w:szCs w:val="24"/>
          <w:lang w:val="en-US"/>
        </w:rPr>
        <w:t>Circulation.</w:t>
      </w:r>
      <w:proofErr w:type="gramEnd"/>
      <w:r w:rsidRPr="00270D03">
        <w:rPr>
          <w:rFonts w:ascii="Times New Roman" w:hAnsi="Times New Roman" w:cs="Times New Roman"/>
          <w:sz w:val="24"/>
          <w:szCs w:val="24"/>
          <w:lang w:val="en-US"/>
        </w:rPr>
        <w:t xml:space="preserve"> </w:t>
      </w:r>
      <w:proofErr w:type="gramStart"/>
      <w:r w:rsidRPr="00270D03">
        <w:rPr>
          <w:rFonts w:ascii="Times New Roman" w:hAnsi="Times New Roman" w:cs="Times New Roman"/>
          <w:sz w:val="24"/>
          <w:szCs w:val="24"/>
          <w:lang w:val="en-US"/>
        </w:rPr>
        <w:t>2012; 126: 479-485.</w:t>
      </w:r>
      <w:proofErr w:type="gramEnd"/>
      <w:r w:rsidRPr="00270D03">
        <w:rPr>
          <w:rFonts w:ascii="Times New Roman" w:hAnsi="Times New Roman" w:cs="Times New Roman"/>
          <w:sz w:val="24"/>
          <w:szCs w:val="24"/>
          <w:lang w:val="en-US"/>
        </w:rPr>
        <w:t xml:space="preserve"> </w:t>
      </w:r>
      <w:proofErr w:type="spellStart"/>
      <w:proofErr w:type="gramStart"/>
      <w:r w:rsidRPr="00270D03">
        <w:rPr>
          <w:rFonts w:ascii="Times New Roman" w:hAnsi="Times New Roman" w:cs="Times New Roman"/>
          <w:sz w:val="24"/>
          <w:szCs w:val="24"/>
          <w:lang w:val="en-US"/>
        </w:rPr>
        <w:t>doi</w:t>
      </w:r>
      <w:proofErr w:type="spellEnd"/>
      <w:proofErr w:type="gramEnd"/>
      <w:r w:rsidRPr="00270D03">
        <w:rPr>
          <w:rFonts w:ascii="Times New Roman" w:hAnsi="Times New Roman" w:cs="Times New Roman"/>
          <w:sz w:val="24"/>
          <w:szCs w:val="24"/>
          <w:lang w:val="en-US"/>
        </w:rPr>
        <w:t>: 10.1161/CIRCULATIONAHA.111.062430</w:t>
      </w:r>
    </w:p>
    <w:p w:rsidR="00270D03" w:rsidRPr="00270D03" w:rsidRDefault="00270D03" w:rsidP="00270D03">
      <w:pPr>
        <w:spacing w:line="360" w:lineRule="auto"/>
        <w:ind w:left="851" w:hanging="851"/>
        <w:jc w:val="both"/>
        <w:rPr>
          <w:rFonts w:ascii="Times New Roman" w:hAnsi="Times New Roman" w:cs="Times New Roman"/>
          <w:sz w:val="24"/>
          <w:szCs w:val="24"/>
          <w:lang w:val="en-US"/>
        </w:rPr>
      </w:pPr>
      <w:proofErr w:type="gramStart"/>
      <w:r w:rsidRPr="00270D03">
        <w:rPr>
          <w:rFonts w:ascii="Times New Roman" w:hAnsi="Times New Roman" w:cs="Times New Roman"/>
          <w:sz w:val="24"/>
          <w:szCs w:val="24"/>
          <w:lang w:val="en-US"/>
        </w:rPr>
        <w:t>He, F. J. &amp; MacGregor, G. A. (2002).</w:t>
      </w:r>
      <w:proofErr w:type="gramEnd"/>
      <w:r w:rsidRPr="00270D03">
        <w:rPr>
          <w:rFonts w:ascii="Times New Roman" w:hAnsi="Times New Roman" w:cs="Times New Roman"/>
          <w:sz w:val="24"/>
          <w:szCs w:val="24"/>
          <w:lang w:val="en-US"/>
        </w:rPr>
        <w:t xml:space="preserve"> Effect of modest salt reduction on blood pressure: a meta-analysis of randomized trials. </w:t>
      </w:r>
      <w:proofErr w:type="gramStart"/>
      <w:r w:rsidRPr="00270D03">
        <w:rPr>
          <w:rFonts w:ascii="Times New Roman" w:hAnsi="Times New Roman" w:cs="Times New Roman"/>
          <w:sz w:val="24"/>
          <w:szCs w:val="24"/>
          <w:lang w:val="en-US"/>
        </w:rPr>
        <w:t xml:space="preserve">Implications for public </w:t>
      </w:r>
      <w:r w:rsidRPr="00270D03">
        <w:rPr>
          <w:rFonts w:ascii="Times New Roman" w:hAnsi="Times New Roman" w:cs="Times New Roman"/>
          <w:sz w:val="24"/>
          <w:szCs w:val="24"/>
          <w:lang w:val="en-US"/>
        </w:rPr>
        <w:tab/>
        <w:t>health.</w:t>
      </w:r>
      <w:proofErr w:type="gramEnd"/>
      <w:r w:rsidRPr="00270D03">
        <w:rPr>
          <w:rFonts w:ascii="Times New Roman" w:hAnsi="Times New Roman" w:cs="Times New Roman"/>
          <w:sz w:val="24"/>
          <w:szCs w:val="24"/>
          <w:lang w:val="en-US"/>
        </w:rPr>
        <w:t xml:space="preserve"> </w:t>
      </w:r>
      <w:proofErr w:type="gramStart"/>
      <w:r w:rsidRPr="00270D03">
        <w:rPr>
          <w:rFonts w:ascii="Times New Roman" w:hAnsi="Times New Roman" w:cs="Times New Roman"/>
          <w:sz w:val="24"/>
          <w:szCs w:val="24"/>
          <w:lang w:val="en-US"/>
        </w:rPr>
        <w:t xml:space="preserve">J Hum </w:t>
      </w:r>
      <w:proofErr w:type="spellStart"/>
      <w:r w:rsidRPr="00270D03">
        <w:rPr>
          <w:rFonts w:ascii="Times New Roman" w:hAnsi="Times New Roman" w:cs="Times New Roman"/>
          <w:sz w:val="24"/>
          <w:szCs w:val="24"/>
          <w:lang w:val="en-US"/>
        </w:rPr>
        <w:t>Hypertens</w:t>
      </w:r>
      <w:proofErr w:type="spellEnd"/>
      <w:r w:rsidRPr="00270D03">
        <w:rPr>
          <w:rFonts w:ascii="Times New Roman" w:hAnsi="Times New Roman" w:cs="Times New Roman"/>
          <w:sz w:val="24"/>
          <w:szCs w:val="24"/>
          <w:lang w:val="en-US"/>
        </w:rPr>
        <w:t>, 16(11), 761-70.</w:t>
      </w:r>
      <w:proofErr w:type="gramEnd"/>
      <w:r w:rsidRPr="00270D03">
        <w:rPr>
          <w:rFonts w:ascii="Times New Roman" w:hAnsi="Times New Roman" w:cs="Times New Roman"/>
          <w:sz w:val="24"/>
          <w:szCs w:val="24"/>
          <w:lang w:val="en-US"/>
        </w:rPr>
        <w:t xml:space="preserve"> </w:t>
      </w:r>
      <w:proofErr w:type="spellStart"/>
      <w:proofErr w:type="gramStart"/>
      <w:r w:rsidRPr="00270D03">
        <w:rPr>
          <w:rFonts w:ascii="Times New Roman" w:hAnsi="Times New Roman" w:cs="Times New Roman"/>
          <w:sz w:val="24"/>
          <w:szCs w:val="24"/>
          <w:lang w:val="en-US"/>
        </w:rPr>
        <w:t>doi</w:t>
      </w:r>
      <w:proofErr w:type="spellEnd"/>
      <w:proofErr w:type="gramEnd"/>
      <w:r w:rsidRPr="00270D03">
        <w:rPr>
          <w:rFonts w:ascii="Times New Roman" w:hAnsi="Times New Roman" w:cs="Times New Roman"/>
          <w:sz w:val="24"/>
          <w:szCs w:val="24"/>
          <w:lang w:val="en-US"/>
        </w:rPr>
        <w:t>: 10.1038/sj.jhh.1001459</w:t>
      </w:r>
    </w:p>
    <w:p w:rsidR="00270D03" w:rsidRPr="00270D03" w:rsidRDefault="00270D03" w:rsidP="00270D03">
      <w:pPr>
        <w:spacing w:line="360" w:lineRule="auto"/>
        <w:ind w:left="851" w:hanging="851"/>
        <w:jc w:val="both"/>
        <w:rPr>
          <w:rFonts w:ascii="Times New Roman" w:hAnsi="Times New Roman" w:cs="Times New Roman"/>
          <w:sz w:val="24"/>
          <w:szCs w:val="24"/>
          <w:lang w:val="en-US"/>
        </w:rPr>
      </w:pPr>
      <w:proofErr w:type="gramStart"/>
      <w:r w:rsidRPr="00270D03">
        <w:rPr>
          <w:rFonts w:ascii="Times New Roman" w:hAnsi="Times New Roman" w:cs="Times New Roman"/>
          <w:sz w:val="24"/>
          <w:szCs w:val="24"/>
          <w:lang w:val="en-US"/>
        </w:rPr>
        <w:t>He, F.J. &amp; MacGregor, G. A. (2003).</w:t>
      </w:r>
      <w:proofErr w:type="gramEnd"/>
      <w:r w:rsidRPr="00270D03">
        <w:rPr>
          <w:rFonts w:ascii="Times New Roman" w:hAnsi="Times New Roman" w:cs="Times New Roman"/>
          <w:sz w:val="24"/>
          <w:szCs w:val="24"/>
          <w:lang w:val="en-US"/>
        </w:rPr>
        <w:t xml:space="preserve"> How Far Should Salt Intake Be Reduced? Hypertension, 42, 1093-1099. </w:t>
      </w:r>
      <w:proofErr w:type="spellStart"/>
      <w:proofErr w:type="gramStart"/>
      <w:r w:rsidRPr="00270D03">
        <w:rPr>
          <w:rFonts w:ascii="Times New Roman" w:hAnsi="Times New Roman" w:cs="Times New Roman"/>
          <w:sz w:val="24"/>
          <w:szCs w:val="24"/>
          <w:lang w:val="en-US"/>
        </w:rPr>
        <w:t>doi</w:t>
      </w:r>
      <w:proofErr w:type="spellEnd"/>
      <w:proofErr w:type="gramEnd"/>
      <w:r w:rsidRPr="00270D03">
        <w:rPr>
          <w:rFonts w:ascii="Times New Roman" w:hAnsi="Times New Roman" w:cs="Times New Roman"/>
          <w:sz w:val="24"/>
          <w:szCs w:val="24"/>
          <w:lang w:val="en-US"/>
        </w:rPr>
        <w:t>: 10.1161/01.HYP.0000102864.05174.E8</w:t>
      </w:r>
    </w:p>
    <w:p w:rsidR="00270D03" w:rsidRPr="00270D03" w:rsidRDefault="00270D03" w:rsidP="00270D03">
      <w:pPr>
        <w:spacing w:line="360" w:lineRule="auto"/>
        <w:ind w:left="851" w:hanging="851"/>
        <w:jc w:val="both"/>
        <w:rPr>
          <w:rFonts w:ascii="Times New Roman" w:hAnsi="Times New Roman" w:cs="Times New Roman"/>
          <w:sz w:val="24"/>
          <w:szCs w:val="24"/>
          <w:lang w:val="en-US"/>
        </w:rPr>
      </w:pPr>
      <w:proofErr w:type="gramStart"/>
      <w:r w:rsidRPr="00270D03">
        <w:rPr>
          <w:rFonts w:ascii="Times New Roman" w:hAnsi="Times New Roman" w:cs="Times New Roman"/>
          <w:sz w:val="24"/>
          <w:szCs w:val="24"/>
          <w:lang w:val="en-US"/>
        </w:rPr>
        <w:t>He, F.J. &amp; MacGregor, G.A. (2009).</w:t>
      </w:r>
      <w:proofErr w:type="gramEnd"/>
      <w:r w:rsidRPr="00270D03">
        <w:rPr>
          <w:rFonts w:ascii="Times New Roman" w:hAnsi="Times New Roman" w:cs="Times New Roman"/>
          <w:sz w:val="24"/>
          <w:szCs w:val="24"/>
          <w:lang w:val="en-US"/>
        </w:rPr>
        <w:t xml:space="preserve"> A comprehensive review on salt and health and current experience of worldwide salt reduction </w:t>
      </w:r>
      <w:proofErr w:type="spellStart"/>
      <w:r w:rsidRPr="00270D03">
        <w:rPr>
          <w:rFonts w:ascii="Times New Roman" w:hAnsi="Times New Roman" w:cs="Times New Roman"/>
          <w:sz w:val="24"/>
          <w:szCs w:val="24"/>
          <w:lang w:val="en-US"/>
        </w:rPr>
        <w:t>programmes</w:t>
      </w:r>
      <w:proofErr w:type="spellEnd"/>
      <w:r w:rsidRPr="00270D03">
        <w:rPr>
          <w:rFonts w:ascii="Times New Roman" w:hAnsi="Times New Roman" w:cs="Times New Roman"/>
          <w:sz w:val="24"/>
          <w:szCs w:val="24"/>
          <w:lang w:val="en-US"/>
        </w:rPr>
        <w:t xml:space="preserve">. Journal of Human Hypertension, 23, 363–384. </w:t>
      </w:r>
      <w:proofErr w:type="spellStart"/>
      <w:proofErr w:type="gramStart"/>
      <w:r w:rsidRPr="00270D03">
        <w:rPr>
          <w:rFonts w:ascii="Times New Roman" w:hAnsi="Times New Roman" w:cs="Times New Roman"/>
          <w:sz w:val="24"/>
          <w:szCs w:val="24"/>
          <w:lang w:val="en-US"/>
        </w:rPr>
        <w:t>doi</w:t>
      </w:r>
      <w:proofErr w:type="spellEnd"/>
      <w:proofErr w:type="gramEnd"/>
      <w:r w:rsidRPr="00270D03">
        <w:rPr>
          <w:rFonts w:ascii="Times New Roman" w:hAnsi="Times New Roman" w:cs="Times New Roman"/>
          <w:sz w:val="24"/>
          <w:szCs w:val="24"/>
          <w:lang w:val="en-US"/>
        </w:rPr>
        <w:t>: 10.1038/jhh.2008.144.</w:t>
      </w:r>
    </w:p>
    <w:p w:rsidR="00270D03" w:rsidRPr="00590B46" w:rsidRDefault="00270D03" w:rsidP="00270D03">
      <w:pPr>
        <w:spacing w:line="360" w:lineRule="auto"/>
        <w:ind w:left="851" w:hanging="851"/>
        <w:jc w:val="both"/>
        <w:rPr>
          <w:rFonts w:ascii="Arial" w:hAnsi="Arial" w:cs="Arial"/>
          <w:sz w:val="24"/>
          <w:szCs w:val="24"/>
          <w:lang w:val="en-US"/>
        </w:rPr>
      </w:pPr>
      <w:proofErr w:type="gramStart"/>
      <w:r w:rsidRPr="00270D03">
        <w:rPr>
          <w:rFonts w:ascii="Times New Roman" w:hAnsi="Times New Roman" w:cs="Times New Roman"/>
          <w:sz w:val="24"/>
          <w:szCs w:val="24"/>
          <w:lang w:val="en-US"/>
        </w:rPr>
        <w:lastRenderedPageBreak/>
        <w:t>He, F.J., Li, J. &amp; MacGregor, G. A. (2013).</w:t>
      </w:r>
      <w:proofErr w:type="gramEnd"/>
      <w:r w:rsidRPr="00270D03">
        <w:rPr>
          <w:rFonts w:ascii="Times New Roman" w:hAnsi="Times New Roman" w:cs="Times New Roman"/>
          <w:sz w:val="24"/>
          <w:szCs w:val="24"/>
          <w:lang w:val="en-US"/>
        </w:rPr>
        <w:t xml:space="preserve"> </w:t>
      </w:r>
      <w:proofErr w:type="gramStart"/>
      <w:r w:rsidRPr="00270D03">
        <w:rPr>
          <w:rFonts w:ascii="Times New Roman" w:hAnsi="Times New Roman" w:cs="Times New Roman"/>
          <w:sz w:val="24"/>
          <w:szCs w:val="24"/>
          <w:lang w:val="en-US"/>
        </w:rPr>
        <w:t>Effect of longer-term modest salt reduction on blood pressure.</w:t>
      </w:r>
      <w:proofErr w:type="gramEnd"/>
      <w:r w:rsidRPr="00270D03">
        <w:rPr>
          <w:rFonts w:ascii="Times New Roman" w:hAnsi="Times New Roman" w:cs="Times New Roman"/>
          <w:sz w:val="24"/>
          <w:szCs w:val="24"/>
          <w:lang w:val="en-US"/>
        </w:rPr>
        <w:t xml:space="preserve"> </w:t>
      </w:r>
      <w:proofErr w:type="gramStart"/>
      <w:r w:rsidRPr="00270D03">
        <w:rPr>
          <w:rFonts w:ascii="Times New Roman" w:hAnsi="Times New Roman" w:cs="Times New Roman"/>
          <w:sz w:val="24"/>
          <w:szCs w:val="24"/>
          <w:lang w:val="en-US"/>
        </w:rPr>
        <w:t>Cochrane Database of Systematic Reviews, 4(CD004937).</w:t>
      </w:r>
      <w:proofErr w:type="gramEnd"/>
      <w:r w:rsidRPr="00270D03">
        <w:rPr>
          <w:rFonts w:ascii="Times New Roman" w:hAnsi="Times New Roman" w:cs="Times New Roman"/>
          <w:sz w:val="24"/>
          <w:szCs w:val="24"/>
          <w:lang w:val="en-US"/>
        </w:rPr>
        <w:t xml:space="preserve"> </w:t>
      </w:r>
      <w:proofErr w:type="spellStart"/>
      <w:proofErr w:type="gramStart"/>
      <w:r w:rsidRPr="00270D03">
        <w:rPr>
          <w:rFonts w:ascii="Times New Roman" w:hAnsi="Times New Roman" w:cs="Times New Roman"/>
          <w:sz w:val="24"/>
          <w:szCs w:val="24"/>
          <w:lang w:val="en-US"/>
        </w:rPr>
        <w:t>doi</w:t>
      </w:r>
      <w:proofErr w:type="spellEnd"/>
      <w:proofErr w:type="gramEnd"/>
      <w:r w:rsidRPr="00270D03">
        <w:rPr>
          <w:rFonts w:ascii="Times New Roman" w:hAnsi="Times New Roman" w:cs="Times New Roman"/>
          <w:sz w:val="24"/>
          <w:szCs w:val="24"/>
          <w:lang w:val="en-US"/>
        </w:rPr>
        <w:t>: 10.1002/14651858.CD004937.pub2.</w:t>
      </w:r>
    </w:p>
    <w:p w:rsidR="00270D03" w:rsidRPr="00270D03" w:rsidRDefault="00270D03" w:rsidP="00270D03">
      <w:pPr>
        <w:spacing w:line="360" w:lineRule="auto"/>
        <w:ind w:left="851" w:hanging="851"/>
        <w:jc w:val="both"/>
        <w:rPr>
          <w:rFonts w:ascii="Times New Roman" w:hAnsi="Times New Roman" w:cs="Times New Roman"/>
          <w:sz w:val="24"/>
          <w:szCs w:val="24"/>
          <w:lang w:val="en-US"/>
        </w:rPr>
      </w:pPr>
      <w:r w:rsidRPr="00270D03">
        <w:rPr>
          <w:rFonts w:ascii="Times New Roman" w:hAnsi="Times New Roman" w:cs="Times New Roman"/>
          <w:sz w:val="24"/>
          <w:szCs w:val="24"/>
          <w:lang w:val="en-US"/>
        </w:rPr>
        <w:t xml:space="preserve">Hooper, L., Bartlett, C., Davey, S. G. &amp; </w:t>
      </w:r>
      <w:proofErr w:type="spellStart"/>
      <w:r w:rsidRPr="00270D03">
        <w:rPr>
          <w:rFonts w:ascii="Times New Roman" w:hAnsi="Times New Roman" w:cs="Times New Roman"/>
          <w:sz w:val="24"/>
          <w:szCs w:val="24"/>
          <w:lang w:val="en-US"/>
        </w:rPr>
        <w:t>Ebrahim</w:t>
      </w:r>
      <w:proofErr w:type="spellEnd"/>
      <w:r w:rsidRPr="00270D03">
        <w:rPr>
          <w:rFonts w:ascii="Times New Roman" w:hAnsi="Times New Roman" w:cs="Times New Roman"/>
          <w:sz w:val="24"/>
          <w:szCs w:val="24"/>
          <w:lang w:val="en-US"/>
        </w:rPr>
        <w:t xml:space="preserve">, S. (2004). </w:t>
      </w:r>
      <w:proofErr w:type="gramStart"/>
      <w:r w:rsidRPr="00270D03">
        <w:rPr>
          <w:rFonts w:ascii="Times New Roman" w:hAnsi="Times New Roman" w:cs="Times New Roman"/>
          <w:sz w:val="24"/>
          <w:szCs w:val="24"/>
          <w:lang w:val="en-US"/>
        </w:rPr>
        <w:t>Advice to reduce dietary salt for prevention of cardiovascular disease.</w:t>
      </w:r>
      <w:proofErr w:type="gramEnd"/>
      <w:r w:rsidRPr="00270D03">
        <w:rPr>
          <w:rFonts w:ascii="Times New Roman" w:hAnsi="Times New Roman" w:cs="Times New Roman"/>
          <w:sz w:val="24"/>
          <w:szCs w:val="24"/>
          <w:lang w:val="en-US"/>
        </w:rPr>
        <w:t xml:space="preserve"> </w:t>
      </w:r>
      <w:proofErr w:type="gramStart"/>
      <w:r w:rsidRPr="00270D03">
        <w:rPr>
          <w:rFonts w:ascii="Times New Roman" w:hAnsi="Times New Roman" w:cs="Times New Roman"/>
          <w:sz w:val="24"/>
          <w:szCs w:val="24"/>
          <w:lang w:val="en-US"/>
        </w:rPr>
        <w:t>Cochrane Database of Systematic Reviews, 1 (CD003656).</w:t>
      </w:r>
      <w:proofErr w:type="gramEnd"/>
      <w:r w:rsidRPr="00270D03">
        <w:rPr>
          <w:rFonts w:ascii="Times New Roman" w:hAnsi="Times New Roman" w:cs="Times New Roman"/>
          <w:sz w:val="24"/>
          <w:szCs w:val="24"/>
          <w:lang w:val="en-US"/>
        </w:rPr>
        <w:t xml:space="preserve"> </w:t>
      </w:r>
      <w:proofErr w:type="spellStart"/>
      <w:proofErr w:type="gramStart"/>
      <w:r w:rsidRPr="00270D03">
        <w:rPr>
          <w:rFonts w:ascii="Times New Roman" w:hAnsi="Times New Roman" w:cs="Times New Roman"/>
          <w:sz w:val="24"/>
          <w:szCs w:val="24"/>
          <w:lang w:val="en-US"/>
        </w:rPr>
        <w:t>doi</w:t>
      </w:r>
      <w:proofErr w:type="spellEnd"/>
      <w:proofErr w:type="gramEnd"/>
      <w:r w:rsidRPr="00270D03">
        <w:rPr>
          <w:rFonts w:ascii="Times New Roman" w:hAnsi="Times New Roman" w:cs="Times New Roman"/>
          <w:sz w:val="24"/>
          <w:szCs w:val="24"/>
          <w:lang w:val="en-US"/>
        </w:rPr>
        <w:t>: 10.1002/14651858.CD003656.pub2</w:t>
      </w:r>
    </w:p>
    <w:p w:rsidR="00270D03" w:rsidRPr="00E66BDC" w:rsidRDefault="00270D03" w:rsidP="00270D03">
      <w:pPr>
        <w:spacing w:line="360" w:lineRule="auto"/>
        <w:ind w:left="851" w:hanging="851"/>
        <w:jc w:val="both"/>
        <w:rPr>
          <w:rFonts w:ascii="Times New Roman" w:hAnsi="Times New Roman" w:cs="Times New Roman"/>
          <w:sz w:val="24"/>
          <w:szCs w:val="24"/>
          <w:lang w:val="en-US"/>
        </w:rPr>
      </w:pPr>
      <w:proofErr w:type="gramStart"/>
      <w:r w:rsidRPr="00270D03">
        <w:rPr>
          <w:rFonts w:ascii="Times New Roman" w:hAnsi="Times New Roman" w:cs="Times New Roman"/>
          <w:sz w:val="24"/>
          <w:szCs w:val="24"/>
          <w:lang w:val="en-US"/>
        </w:rPr>
        <w:t xml:space="preserve">Huang, L., </w:t>
      </w:r>
      <w:proofErr w:type="spellStart"/>
      <w:r w:rsidRPr="00270D03">
        <w:rPr>
          <w:rFonts w:ascii="Times New Roman" w:hAnsi="Times New Roman" w:cs="Times New Roman"/>
          <w:sz w:val="24"/>
          <w:szCs w:val="24"/>
          <w:lang w:val="en-US"/>
        </w:rPr>
        <w:t>Crino</w:t>
      </w:r>
      <w:proofErr w:type="spellEnd"/>
      <w:r w:rsidRPr="00270D03">
        <w:rPr>
          <w:rFonts w:ascii="Times New Roman" w:hAnsi="Times New Roman" w:cs="Times New Roman"/>
          <w:sz w:val="24"/>
          <w:szCs w:val="24"/>
          <w:lang w:val="en-US"/>
        </w:rPr>
        <w:t xml:space="preserve">, M., Wu, J. H. Y., Woodward, M., </w:t>
      </w:r>
      <w:proofErr w:type="spellStart"/>
      <w:r w:rsidRPr="00270D03">
        <w:rPr>
          <w:rFonts w:ascii="Times New Roman" w:hAnsi="Times New Roman" w:cs="Times New Roman"/>
          <w:sz w:val="24"/>
          <w:szCs w:val="24"/>
          <w:lang w:val="en-US"/>
        </w:rPr>
        <w:t>Barzi</w:t>
      </w:r>
      <w:proofErr w:type="spellEnd"/>
      <w:r w:rsidRPr="00270D03">
        <w:rPr>
          <w:rFonts w:ascii="Times New Roman" w:hAnsi="Times New Roman" w:cs="Times New Roman"/>
          <w:sz w:val="24"/>
          <w:szCs w:val="24"/>
          <w:lang w:val="en-US"/>
        </w:rPr>
        <w:t>, F., Land, M. A. et al (2015).</w:t>
      </w:r>
      <w:proofErr w:type="gramEnd"/>
      <w:r w:rsidRPr="00270D03">
        <w:rPr>
          <w:rFonts w:ascii="Times New Roman" w:hAnsi="Times New Roman" w:cs="Times New Roman"/>
          <w:sz w:val="24"/>
          <w:szCs w:val="24"/>
          <w:lang w:val="en-US"/>
        </w:rPr>
        <w:t xml:space="preserve"> Mean population salt intake estimated from 24-h urine samples and spot urine samples: a systematic review and meta-analysis. International Journal of Epidemiology, 1–12. </w:t>
      </w:r>
      <w:proofErr w:type="spellStart"/>
      <w:proofErr w:type="gramStart"/>
      <w:r w:rsidRPr="00270D03">
        <w:rPr>
          <w:rFonts w:ascii="Times New Roman" w:hAnsi="Times New Roman" w:cs="Times New Roman"/>
          <w:sz w:val="24"/>
          <w:szCs w:val="24"/>
          <w:lang w:val="en-US"/>
        </w:rPr>
        <w:t>doi</w:t>
      </w:r>
      <w:proofErr w:type="spellEnd"/>
      <w:proofErr w:type="gramEnd"/>
      <w:r w:rsidRPr="00270D03">
        <w:rPr>
          <w:rFonts w:ascii="Times New Roman" w:hAnsi="Times New Roman" w:cs="Times New Roman"/>
          <w:sz w:val="24"/>
          <w:szCs w:val="24"/>
          <w:lang w:val="en-US"/>
        </w:rPr>
        <w:t>: 10.1093/</w:t>
      </w:r>
      <w:proofErr w:type="spellStart"/>
      <w:r w:rsidRPr="00270D03">
        <w:rPr>
          <w:rFonts w:ascii="Times New Roman" w:hAnsi="Times New Roman" w:cs="Times New Roman"/>
          <w:sz w:val="24"/>
          <w:szCs w:val="24"/>
          <w:lang w:val="en-US"/>
        </w:rPr>
        <w:t>ije</w:t>
      </w:r>
      <w:proofErr w:type="spellEnd"/>
      <w:r w:rsidRPr="00270D03">
        <w:rPr>
          <w:rFonts w:ascii="Times New Roman" w:hAnsi="Times New Roman" w:cs="Times New Roman"/>
          <w:sz w:val="24"/>
          <w:szCs w:val="24"/>
          <w:lang w:val="en-US"/>
        </w:rPr>
        <w:t>/dyv313</w:t>
      </w:r>
    </w:p>
    <w:p w:rsidR="008215B8" w:rsidRPr="00E66BDC" w:rsidRDefault="008215B8" w:rsidP="00E66BDC">
      <w:pPr>
        <w:spacing w:line="360" w:lineRule="auto"/>
        <w:ind w:left="851" w:hanging="851"/>
        <w:jc w:val="both"/>
        <w:rPr>
          <w:rFonts w:ascii="Times New Roman" w:hAnsi="Times New Roman" w:cs="Times New Roman"/>
          <w:sz w:val="24"/>
          <w:szCs w:val="24"/>
          <w:lang w:val="en-US"/>
        </w:rPr>
      </w:pPr>
      <w:r w:rsidRPr="00E66BDC">
        <w:rPr>
          <w:rFonts w:ascii="Times New Roman" w:hAnsi="Times New Roman" w:cs="Times New Roman"/>
          <w:sz w:val="24"/>
          <w:szCs w:val="24"/>
          <w:lang w:val="en-US"/>
        </w:rPr>
        <w:t xml:space="preserve">He, J., </w:t>
      </w:r>
      <w:proofErr w:type="spellStart"/>
      <w:proofErr w:type="gramStart"/>
      <w:r w:rsidRPr="00E66BDC">
        <w:rPr>
          <w:rFonts w:ascii="Times New Roman" w:hAnsi="Times New Roman" w:cs="Times New Roman"/>
          <w:sz w:val="24"/>
          <w:szCs w:val="24"/>
          <w:lang w:val="en-US"/>
        </w:rPr>
        <w:t>Gu</w:t>
      </w:r>
      <w:proofErr w:type="spellEnd"/>
      <w:proofErr w:type="gramEnd"/>
      <w:r w:rsidRPr="00E66BDC">
        <w:rPr>
          <w:rFonts w:ascii="Times New Roman" w:hAnsi="Times New Roman" w:cs="Times New Roman"/>
          <w:sz w:val="24"/>
          <w:szCs w:val="24"/>
          <w:lang w:val="en-US"/>
        </w:rPr>
        <w:t xml:space="preserve">, D., Chen, J., et al (2009). </w:t>
      </w:r>
      <w:proofErr w:type="gramStart"/>
      <w:r w:rsidRPr="00E66BDC">
        <w:rPr>
          <w:rFonts w:ascii="Times New Roman" w:hAnsi="Times New Roman" w:cs="Times New Roman"/>
          <w:sz w:val="24"/>
          <w:szCs w:val="24"/>
          <w:lang w:val="en-US"/>
        </w:rPr>
        <w:t xml:space="preserve">Gender difference in blood pressure responses to dietary sodium intervention in the </w:t>
      </w:r>
      <w:proofErr w:type="spellStart"/>
      <w:r w:rsidRPr="00E66BDC">
        <w:rPr>
          <w:rFonts w:ascii="Times New Roman" w:hAnsi="Times New Roman" w:cs="Times New Roman"/>
          <w:sz w:val="24"/>
          <w:szCs w:val="24"/>
          <w:lang w:val="en-US"/>
        </w:rPr>
        <w:t>GenSalt</w:t>
      </w:r>
      <w:proofErr w:type="spellEnd"/>
      <w:r w:rsidRPr="00E66BDC">
        <w:rPr>
          <w:rFonts w:ascii="Times New Roman" w:hAnsi="Times New Roman" w:cs="Times New Roman"/>
          <w:sz w:val="24"/>
          <w:szCs w:val="24"/>
          <w:lang w:val="en-US"/>
        </w:rPr>
        <w:t xml:space="preserve"> study.</w:t>
      </w:r>
      <w:proofErr w:type="gramEnd"/>
      <w:r w:rsidRPr="00E66BDC">
        <w:rPr>
          <w:rFonts w:ascii="Times New Roman" w:hAnsi="Times New Roman" w:cs="Times New Roman"/>
          <w:sz w:val="24"/>
          <w:szCs w:val="24"/>
          <w:lang w:val="en-US"/>
        </w:rPr>
        <w:t xml:space="preserve"> </w:t>
      </w:r>
      <w:r w:rsidRPr="00E66BDC">
        <w:rPr>
          <w:rFonts w:ascii="Times New Roman" w:hAnsi="Times New Roman" w:cs="Times New Roman"/>
          <w:i/>
          <w:sz w:val="24"/>
          <w:szCs w:val="24"/>
          <w:lang w:val="en-US"/>
        </w:rPr>
        <w:t xml:space="preserve">J </w:t>
      </w:r>
      <w:proofErr w:type="spellStart"/>
      <w:r w:rsidRPr="00E66BDC">
        <w:rPr>
          <w:rFonts w:ascii="Times New Roman" w:hAnsi="Times New Roman" w:cs="Times New Roman"/>
          <w:i/>
          <w:sz w:val="24"/>
          <w:szCs w:val="24"/>
          <w:lang w:val="en-US"/>
        </w:rPr>
        <w:t>Hypertens</w:t>
      </w:r>
      <w:proofErr w:type="spellEnd"/>
      <w:r w:rsidRPr="00E66BDC">
        <w:rPr>
          <w:rFonts w:ascii="Times New Roman" w:hAnsi="Times New Roman" w:cs="Times New Roman"/>
          <w:i/>
          <w:sz w:val="24"/>
          <w:szCs w:val="24"/>
          <w:lang w:val="en-US"/>
        </w:rPr>
        <w:t>,</w:t>
      </w:r>
      <w:r w:rsidRPr="00E66BDC">
        <w:rPr>
          <w:rFonts w:ascii="Times New Roman" w:hAnsi="Times New Roman" w:cs="Times New Roman"/>
          <w:sz w:val="24"/>
          <w:szCs w:val="24"/>
          <w:lang w:val="en-US"/>
        </w:rPr>
        <w:t xml:space="preserve"> 27, 48-54.</w:t>
      </w:r>
    </w:p>
    <w:p w:rsidR="00EE5749" w:rsidRPr="00E66BDC" w:rsidRDefault="00EE5749" w:rsidP="00E66BDC">
      <w:pPr>
        <w:spacing w:line="360" w:lineRule="auto"/>
        <w:ind w:left="851" w:hanging="851"/>
        <w:jc w:val="both"/>
        <w:rPr>
          <w:rFonts w:ascii="Times New Roman" w:hAnsi="Times New Roman" w:cs="Times New Roman"/>
          <w:sz w:val="24"/>
          <w:szCs w:val="24"/>
        </w:rPr>
      </w:pPr>
      <w:r w:rsidRPr="00E66BDC">
        <w:rPr>
          <w:rFonts w:ascii="Times New Roman" w:hAnsi="Times New Roman" w:cs="Times New Roman"/>
          <w:sz w:val="24"/>
          <w:szCs w:val="24"/>
        </w:rPr>
        <w:t>Instituto Mexicano del Seguro Social (2014). Diagnóstico y tratamiento de la hipertensión arterial en el primer nivel de atención, México.</w:t>
      </w:r>
    </w:p>
    <w:p w:rsidR="00EE5749" w:rsidRPr="00E66BDC" w:rsidRDefault="00EE5749" w:rsidP="00E66BDC">
      <w:pPr>
        <w:spacing w:line="360" w:lineRule="auto"/>
        <w:ind w:left="851" w:hanging="851"/>
        <w:jc w:val="both"/>
        <w:rPr>
          <w:rFonts w:ascii="Times New Roman" w:hAnsi="Times New Roman" w:cs="Times New Roman"/>
          <w:sz w:val="24"/>
          <w:szCs w:val="24"/>
          <w:lang w:val="en-US"/>
        </w:rPr>
      </w:pPr>
      <w:r w:rsidRPr="00E66BDC">
        <w:rPr>
          <w:rFonts w:ascii="Times New Roman" w:hAnsi="Times New Roman" w:cs="Times New Roman"/>
          <w:sz w:val="24"/>
          <w:szCs w:val="24"/>
        </w:rPr>
        <w:t xml:space="preserve">Instituto Mexicano del Seguro Social (2014). Tratamiento de la diabetes mellitus tipo 2 en el primer nivel de atención, </w:t>
      </w:r>
      <w:r w:rsidRPr="00E66BDC">
        <w:rPr>
          <w:rFonts w:ascii="Times New Roman" w:hAnsi="Times New Roman" w:cs="Times New Roman"/>
          <w:sz w:val="24"/>
          <w:szCs w:val="24"/>
          <w:lang w:val="en-US"/>
        </w:rPr>
        <w:t>México.</w:t>
      </w:r>
    </w:p>
    <w:p w:rsidR="00EE5749" w:rsidRPr="00E66BDC" w:rsidRDefault="00EE5749" w:rsidP="00E66BDC">
      <w:pPr>
        <w:spacing w:line="360" w:lineRule="auto"/>
        <w:ind w:left="851" w:hanging="851"/>
        <w:jc w:val="both"/>
        <w:rPr>
          <w:rFonts w:ascii="Times New Roman" w:hAnsi="Times New Roman" w:cs="Times New Roman"/>
          <w:sz w:val="24"/>
          <w:szCs w:val="24"/>
          <w:lang w:val="en-US"/>
        </w:rPr>
      </w:pPr>
      <w:r w:rsidRPr="00E66BDC">
        <w:rPr>
          <w:rFonts w:ascii="Times New Roman" w:hAnsi="Times New Roman" w:cs="Times New Roman"/>
          <w:sz w:val="24"/>
          <w:szCs w:val="24"/>
          <w:lang w:val="en-US"/>
        </w:rPr>
        <w:t xml:space="preserve">INTERSALT (1988). </w:t>
      </w:r>
      <w:proofErr w:type="gramStart"/>
      <w:r w:rsidRPr="00E66BDC">
        <w:rPr>
          <w:rFonts w:ascii="Times New Roman" w:hAnsi="Times New Roman" w:cs="Times New Roman"/>
          <w:sz w:val="24"/>
          <w:szCs w:val="24"/>
          <w:lang w:val="en-US"/>
        </w:rPr>
        <w:t>An international study of electrolyte excretion and blood pressure.</w:t>
      </w:r>
      <w:proofErr w:type="gramEnd"/>
      <w:r w:rsidRPr="00E66BDC">
        <w:rPr>
          <w:rFonts w:ascii="Times New Roman" w:hAnsi="Times New Roman" w:cs="Times New Roman"/>
          <w:sz w:val="24"/>
          <w:szCs w:val="24"/>
          <w:lang w:val="en-US"/>
        </w:rPr>
        <w:t xml:space="preserve"> </w:t>
      </w:r>
      <w:proofErr w:type="gramStart"/>
      <w:r w:rsidRPr="00E66BDC">
        <w:rPr>
          <w:rFonts w:ascii="Times New Roman" w:hAnsi="Times New Roman" w:cs="Times New Roman"/>
          <w:sz w:val="24"/>
          <w:szCs w:val="24"/>
          <w:lang w:val="en-US"/>
        </w:rPr>
        <w:t>Results for 24 hour urinary sodium and potassium excretion.</w:t>
      </w:r>
      <w:proofErr w:type="gramEnd"/>
      <w:r w:rsidRPr="00E66BDC">
        <w:rPr>
          <w:rFonts w:ascii="Times New Roman" w:hAnsi="Times New Roman" w:cs="Times New Roman"/>
          <w:sz w:val="24"/>
          <w:szCs w:val="24"/>
          <w:lang w:val="en-US"/>
        </w:rPr>
        <w:t xml:space="preserve"> </w:t>
      </w:r>
      <w:r w:rsidRPr="00E66BDC">
        <w:rPr>
          <w:rFonts w:ascii="Times New Roman" w:hAnsi="Times New Roman" w:cs="Times New Roman"/>
          <w:i/>
          <w:sz w:val="24"/>
          <w:szCs w:val="24"/>
          <w:lang w:val="en-US"/>
        </w:rPr>
        <w:t>BMJ</w:t>
      </w:r>
      <w:r w:rsidRPr="00E66BDC">
        <w:rPr>
          <w:rFonts w:ascii="Times New Roman" w:hAnsi="Times New Roman" w:cs="Times New Roman"/>
          <w:sz w:val="24"/>
          <w:szCs w:val="24"/>
          <w:lang w:val="en-US"/>
        </w:rPr>
        <w:t xml:space="preserve"> 297, 319-328.</w:t>
      </w:r>
    </w:p>
    <w:p w:rsidR="00EE5749" w:rsidRPr="00E66BDC" w:rsidRDefault="00EE5749" w:rsidP="00E66BDC">
      <w:pPr>
        <w:spacing w:line="360" w:lineRule="auto"/>
        <w:ind w:left="851" w:hanging="851"/>
        <w:jc w:val="both"/>
        <w:rPr>
          <w:rFonts w:ascii="Times New Roman" w:hAnsi="Times New Roman" w:cs="Times New Roman"/>
          <w:i/>
          <w:iCs/>
          <w:sz w:val="24"/>
          <w:szCs w:val="24"/>
          <w:lang w:val="en-US"/>
        </w:rPr>
      </w:pPr>
      <w:proofErr w:type="gramStart"/>
      <w:r w:rsidRPr="00E66BDC">
        <w:rPr>
          <w:rFonts w:ascii="Times New Roman" w:hAnsi="Times New Roman" w:cs="Times New Roman"/>
          <w:sz w:val="24"/>
          <w:szCs w:val="24"/>
          <w:lang w:val="en-US"/>
        </w:rPr>
        <w:t>Institute of Medicine (</w:t>
      </w:r>
      <w:r w:rsidRPr="00E66BDC">
        <w:rPr>
          <w:rFonts w:ascii="Times New Roman" w:hAnsi="Times New Roman" w:cs="Times New Roman"/>
          <w:iCs/>
          <w:sz w:val="24"/>
          <w:szCs w:val="24"/>
          <w:lang w:val="en-US"/>
        </w:rPr>
        <w:t>2013).</w:t>
      </w:r>
      <w:proofErr w:type="gramEnd"/>
      <w:r w:rsidRPr="00E66BDC">
        <w:rPr>
          <w:rFonts w:ascii="Times New Roman" w:hAnsi="Times New Roman" w:cs="Times New Roman"/>
          <w:iCs/>
          <w:sz w:val="24"/>
          <w:szCs w:val="24"/>
          <w:lang w:val="en-US"/>
        </w:rPr>
        <w:t xml:space="preserve"> </w:t>
      </w:r>
      <w:proofErr w:type="gramStart"/>
      <w:r w:rsidRPr="00E66BDC">
        <w:rPr>
          <w:rFonts w:ascii="Times New Roman" w:hAnsi="Times New Roman" w:cs="Times New Roman"/>
          <w:sz w:val="24"/>
          <w:szCs w:val="24"/>
          <w:lang w:val="en-US"/>
        </w:rPr>
        <w:t>Sodium Intake in Populations Assessment of Evidence.</w:t>
      </w:r>
      <w:proofErr w:type="gramEnd"/>
      <w:r w:rsidRPr="00E66BDC">
        <w:rPr>
          <w:rFonts w:ascii="Times New Roman" w:hAnsi="Times New Roman" w:cs="Times New Roman"/>
          <w:sz w:val="24"/>
          <w:szCs w:val="24"/>
          <w:lang w:val="en-US"/>
        </w:rPr>
        <w:t xml:space="preserve"> </w:t>
      </w:r>
      <w:proofErr w:type="gramStart"/>
      <w:r w:rsidRPr="00E66BDC">
        <w:rPr>
          <w:rFonts w:ascii="Times New Roman" w:hAnsi="Times New Roman" w:cs="Times New Roman"/>
          <w:i/>
          <w:iCs/>
          <w:sz w:val="24"/>
          <w:szCs w:val="24"/>
          <w:lang w:val="en-US"/>
        </w:rPr>
        <w:t>National Academy of Sciences.</w:t>
      </w:r>
      <w:proofErr w:type="gramEnd"/>
    </w:p>
    <w:p w:rsidR="00D317D3" w:rsidRDefault="00D317D3" w:rsidP="00E66BDC">
      <w:pPr>
        <w:spacing w:line="360" w:lineRule="auto"/>
        <w:ind w:left="851" w:hanging="851"/>
        <w:jc w:val="both"/>
        <w:rPr>
          <w:rFonts w:ascii="Times New Roman" w:hAnsi="Times New Roman" w:cs="Times New Roman"/>
          <w:sz w:val="24"/>
          <w:szCs w:val="24"/>
          <w:lang w:val="en-US"/>
        </w:rPr>
      </w:pPr>
      <w:r w:rsidRPr="00E66BDC">
        <w:rPr>
          <w:rFonts w:ascii="Times New Roman" w:hAnsi="Times New Roman" w:cs="Times New Roman"/>
          <w:sz w:val="24"/>
          <w:szCs w:val="24"/>
        </w:rPr>
        <w:t xml:space="preserve">López-Jaramillo, P., Sánchez, R. A., Díaz, M., Cobos, L., Bryce, A., Parra-Carrillo, J. Z. et al. (2013). Consenso latinoamericano de hipertensión en pacientes con diabetes tipo 2 y síndrome metabólico. </w:t>
      </w:r>
      <w:proofErr w:type="spellStart"/>
      <w:r w:rsidRPr="00E66BDC">
        <w:rPr>
          <w:rFonts w:ascii="Times New Roman" w:hAnsi="Times New Roman" w:cs="Times New Roman"/>
          <w:i/>
          <w:sz w:val="24"/>
          <w:szCs w:val="24"/>
          <w:lang w:val="en-US"/>
        </w:rPr>
        <w:t>Acta</w:t>
      </w:r>
      <w:proofErr w:type="spellEnd"/>
      <w:r w:rsidRPr="00E66BDC">
        <w:rPr>
          <w:rFonts w:ascii="Times New Roman" w:hAnsi="Times New Roman" w:cs="Times New Roman"/>
          <w:i/>
          <w:sz w:val="24"/>
          <w:szCs w:val="24"/>
          <w:lang w:val="en-US"/>
        </w:rPr>
        <w:t xml:space="preserve"> Med </w:t>
      </w:r>
      <w:proofErr w:type="spellStart"/>
      <w:r w:rsidRPr="00E66BDC">
        <w:rPr>
          <w:rFonts w:ascii="Times New Roman" w:hAnsi="Times New Roman" w:cs="Times New Roman"/>
          <w:i/>
          <w:sz w:val="24"/>
          <w:szCs w:val="24"/>
          <w:lang w:val="en-US"/>
        </w:rPr>
        <w:t>Colomb</w:t>
      </w:r>
      <w:proofErr w:type="spellEnd"/>
      <w:r w:rsidRPr="00E66BDC">
        <w:rPr>
          <w:rFonts w:ascii="Times New Roman" w:hAnsi="Times New Roman" w:cs="Times New Roman"/>
          <w:sz w:val="24"/>
          <w:szCs w:val="24"/>
          <w:lang w:val="en-US"/>
        </w:rPr>
        <w:t>, 38, 154-172.</w:t>
      </w:r>
    </w:p>
    <w:p w:rsidR="00270D03" w:rsidRPr="00270D03" w:rsidRDefault="00270D03" w:rsidP="00270D03">
      <w:pPr>
        <w:spacing w:line="360" w:lineRule="auto"/>
        <w:ind w:left="851" w:hanging="851"/>
        <w:jc w:val="both"/>
        <w:rPr>
          <w:rFonts w:ascii="Times New Roman" w:hAnsi="Times New Roman" w:cs="Times New Roman"/>
          <w:sz w:val="24"/>
          <w:szCs w:val="24"/>
        </w:rPr>
      </w:pPr>
      <w:proofErr w:type="spellStart"/>
      <w:r w:rsidRPr="00270D03">
        <w:rPr>
          <w:rFonts w:ascii="Times New Roman" w:hAnsi="Times New Roman" w:cs="Times New Roman"/>
          <w:sz w:val="24"/>
          <w:szCs w:val="24"/>
        </w:rPr>
        <w:t>Kalogeropoulos</w:t>
      </w:r>
      <w:proofErr w:type="spellEnd"/>
      <w:r w:rsidRPr="00270D03">
        <w:rPr>
          <w:rFonts w:ascii="Times New Roman" w:hAnsi="Times New Roman" w:cs="Times New Roman"/>
          <w:sz w:val="24"/>
          <w:szCs w:val="24"/>
        </w:rPr>
        <w:t xml:space="preserve">, A. P., </w:t>
      </w:r>
      <w:proofErr w:type="spellStart"/>
      <w:r w:rsidRPr="00270D03">
        <w:rPr>
          <w:rFonts w:ascii="Times New Roman" w:hAnsi="Times New Roman" w:cs="Times New Roman"/>
          <w:sz w:val="24"/>
          <w:szCs w:val="24"/>
        </w:rPr>
        <w:t>Georgiopoulou</w:t>
      </w:r>
      <w:proofErr w:type="spellEnd"/>
      <w:r w:rsidRPr="00270D03">
        <w:rPr>
          <w:rFonts w:ascii="Times New Roman" w:hAnsi="Times New Roman" w:cs="Times New Roman"/>
          <w:sz w:val="24"/>
          <w:szCs w:val="24"/>
        </w:rPr>
        <w:t>,  V. V., Murphy, R. A., Newman, A. B., Bauer, D. C. et al. (2015). Dietary sodium content, mortality, and risk for cardiovascular events in older adults. The Health, Aging, and Body Composition (Health ABC) Study. JAMA Intern Med, 175(3), 410-419. doi:10.1001/jamainternmed.2014.6278</w:t>
      </w:r>
    </w:p>
    <w:p w:rsidR="00270D03" w:rsidRPr="00E66BDC" w:rsidRDefault="00270D03" w:rsidP="00270D03">
      <w:pPr>
        <w:spacing w:line="360" w:lineRule="auto"/>
        <w:ind w:left="851" w:hanging="851"/>
        <w:jc w:val="both"/>
        <w:rPr>
          <w:rFonts w:ascii="Times New Roman" w:hAnsi="Times New Roman" w:cs="Times New Roman"/>
          <w:sz w:val="24"/>
          <w:szCs w:val="24"/>
          <w:lang w:val="en-US"/>
        </w:rPr>
      </w:pPr>
      <w:proofErr w:type="spellStart"/>
      <w:r w:rsidRPr="00270D03">
        <w:rPr>
          <w:rFonts w:ascii="Times New Roman" w:hAnsi="Times New Roman" w:cs="Times New Roman"/>
          <w:sz w:val="24"/>
          <w:szCs w:val="24"/>
        </w:rPr>
        <w:lastRenderedPageBreak/>
        <w:t>Kyu</w:t>
      </w:r>
      <w:proofErr w:type="spellEnd"/>
      <w:r w:rsidRPr="00270D03">
        <w:rPr>
          <w:rFonts w:ascii="Times New Roman" w:hAnsi="Times New Roman" w:cs="Times New Roman"/>
          <w:sz w:val="24"/>
          <w:szCs w:val="24"/>
        </w:rPr>
        <w:t xml:space="preserve">, H. S. (2014). Dietary salt intake and hypertension. </w:t>
      </w:r>
      <w:proofErr w:type="spellStart"/>
      <w:r w:rsidRPr="00270D03">
        <w:rPr>
          <w:rFonts w:ascii="Times New Roman" w:hAnsi="Times New Roman" w:cs="Times New Roman"/>
          <w:sz w:val="24"/>
          <w:szCs w:val="24"/>
        </w:rPr>
        <w:t>Electrolyte</w:t>
      </w:r>
      <w:proofErr w:type="spellEnd"/>
      <w:r w:rsidRPr="00270D03">
        <w:rPr>
          <w:rFonts w:ascii="Times New Roman" w:hAnsi="Times New Roman" w:cs="Times New Roman"/>
          <w:sz w:val="24"/>
          <w:szCs w:val="24"/>
        </w:rPr>
        <w:t xml:space="preserve"> </w:t>
      </w:r>
      <w:proofErr w:type="spellStart"/>
      <w:r w:rsidRPr="00270D03">
        <w:rPr>
          <w:rFonts w:ascii="Times New Roman" w:hAnsi="Times New Roman" w:cs="Times New Roman"/>
          <w:sz w:val="24"/>
          <w:szCs w:val="24"/>
        </w:rPr>
        <w:t>Blood</w:t>
      </w:r>
      <w:proofErr w:type="spellEnd"/>
      <w:r w:rsidRPr="00270D03">
        <w:rPr>
          <w:rFonts w:ascii="Times New Roman" w:hAnsi="Times New Roman" w:cs="Times New Roman"/>
          <w:sz w:val="24"/>
          <w:szCs w:val="24"/>
        </w:rPr>
        <w:t xml:space="preserve"> </w:t>
      </w:r>
      <w:proofErr w:type="spellStart"/>
      <w:r w:rsidRPr="00270D03">
        <w:rPr>
          <w:rFonts w:ascii="Times New Roman" w:hAnsi="Times New Roman" w:cs="Times New Roman"/>
          <w:sz w:val="24"/>
          <w:szCs w:val="24"/>
        </w:rPr>
        <w:t>Press</w:t>
      </w:r>
      <w:proofErr w:type="spellEnd"/>
      <w:r w:rsidRPr="00270D03">
        <w:rPr>
          <w:rFonts w:ascii="Times New Roman" w:hAnsi="Times New Roman" w:cs="Times New Roman"/>
          <w:sz w:val="24"/>
          <w:szCs w:val="24"/>
        </w:rPr>
        <w:t xml:space="preserve">, 12, 7-18, </w:t>
      </w:r>
      <w:proofErr w:type="spellStart"/>
      <w:r w:rsidRPr="00270D03">
        <w:rPr>
          <w:rFonts w:ascii="Times New Roman" w:hAnsi="Times New Roman" w:cs="Times New Roman"/>
          <w:sz w:val="24"/>
          <w:szCs w:val="24"/>
        </w:rPr>
        <w:t>doi</w:t>
      </w:r>
      <w:proofErr w:type="spellEnd"/>
      <w:r w:rsidRPr="00270D03">
        <w:rPr>
          <w:rFonts w:ascii="Times New Roman" w:hAnsi="Times New Roman" w:cs="Times New Roman"/>
          <w:sz w:val="24"/>
          <w:szCs w:val="24"/>
        </w:rPr>
        <w:t xml:space="preserve">: </w:t>
      </w:r>
      <w:hyperlink r:id="rId17" w:history="1">
        <w:r w:rsidRPr="00270D03">
          <w:rPr>
            <w:rFonts w:ascii="Times New Roman" w:hAnsi="Times New Roman" w:cs="Times New Roman"/>
          </w:rPr>
          <w:t>http://dx.doi.org/10.5049/EBP.2014.12.1</w:t>
        </w:r>
      </w:hyperlink>
    </w:p>
    <w:p w:rsidR="00D317D3" w:rsidRDefault="00D317D3" w:rsidP="00E66BDC">
      <w:pPr>
        <w:spacing w:line="360" w:lineRule="auto"/>
        <w:ind w:left="851" w:hanging="851"/>
        <w:jc w:val="both"/>
        <w:rPr>
          <w:rFonts w:ascii="Times New Roman" w:hAnsi="Times New Roman" w:cs="Times New Roman"/>
          <w:sz w:val="24"/>
          <w:szCs w:val="24"/>
          <w:lang w:val="en-US"/>
        </w:rPr>
      </w:pPr>
      <w:proofErr w:type="spellStart"/>
      <w:proofErr w:type="gramStart"/>
      <w:r w:rsidRPr="00E66BDC">
        <w:rPr>
          <w:rFonts w:ascii="Times New Roman" w:hAnsi="Times New Roman" w:cs="Times New Roman"/>
          <w:sz w:val="24"/>
          <w:szCs w:val="24"/>
          <w:lang w:val="en-US"/>
        </w:rPr>
        <w:t>Mozaffarian</w:t>
      </w:r>
      <w:proofErr w:type="spellEnd"/>
      <w:r w:rsidRPr="00E66BDC">
        <w:rPr>
          <w:rFonts w:ascii="Times New Roman" w:hAnsi="Times New Roman" w:cs="Times New Roman"/>
          <w:sz w:val="24"/>
          <w:szCs w:val="24"/>
          <w:lang w:val="en-US"/>
        </w:rPr>
        <w:t>, D., Singh, G. M. &amp; Powles, J. (2014).</w:t>
      </w:r>
      <w:proofErr w:type="gramEnd"/>
      <w:r w:rsidRPr="00E66BDC">
        <w:rPr>
          <w:rFonts w:ascii="Times New Roman" w:hAnsi="Times New Roman" w:cs="Times New Roman"/>
          <w:sz w:val="24"/>
          <w:szCs w:val="24"/>
          <w:lang w:val="en-US"/>
        </w:rPr>
        <w:t xml:space="preserve"> </w:t>
      </w:r>
      <w:proofErr w:type="gramStart"/>
      <w:r w:rsidRPr="00E66BDC">
        <w:rPr>
          <w:rFonts w:ascii="Times New Roman" w:hAnsi="Times New Roman" w:cs="Times New Roman"/>
          <w:sz w:val="24"/>
          <w:szCs w:val="24"/>
          <w:lang w:val="en-US"/>
        </w:rPr>
        <w:t xml:space="preserve">Sodium and </w:t>
      </w:r>
      <w:proofErr w:type="spellStart"/>
      <w:r w:rsidRPr="00E66BDC">
        <w:rPr>
          <w:rFonts w:ascii="Times New Roman" w:hAnsi="Times New Roman" w:cs="Times New Roman"/>
          <w:sz w:val="24"/>
          <w:szCs w:val="24"/>
          <w:lang w:val="en-US"/>
        </w:rPr>
        <w:t>Cardiovasvcular</w:t>
      </w:r>
      <w:proofErr w:type="spellEnd"/>
      <w:r w:rsidRPr="00E66BDC">
        <w:rPr>
          <w:rFonts w:ascii="Times New Roman" w:hAnsi="Times New Roman" w:cs="Times New Roman"/>
          <w:sz w:val="24"/>
          <w:szCs w:val="24"/>
          <w:lang w:val="en-US"/>
        </w:rPr>
        <w:t xml:space="preserve"> Disease.</w:t>
      </w:r>
      <w:proofErr w:type="gramEnd"/>
      <w:r w:rsidRPr="00E66BDC">
        <w:rPr>
          <w:rFonts w:ascii="Times New Roman" w:hAnsi="Times New Roman" w:cs="Times New Roman"/>
          <w:i/>
          <w:sz w:val="24"/>
          <w:szCs w:val="24"/>
          <w:lang w:val="en-US"/>
        </w:rPr>
        <w:t xml:space="preserve"> </w:t>
      </w:r>
      <w:proofErr w:type="gramStart"/>
      <w:r w:rsidRPr="00E66BDC">
        <w:rPr>
          <w:rFonts w:ascii="Times New Roman" w:hAnsi="Times New Roman" w:cs="Times New Roman"/>
          <w:sz w:val="24"/>
          <w:szCs w:val="24"/>
          <w:lang w:val="en-US"/>
        </w:rPr>
        <w:t>Correspondence.</w:t>
      </w:r>
      <w:proofErr w:type="gramEnd"/>
      <w:r w:rsidRPr="00E66BDC">
        <w:rPr>
          <w:rFonts w:ascii="Times New Roman" w:hAnsi="Times New Roman" w:cs="Times New Roman"/>
          <w:i/>
          <w:sz w:val="24"/>
          <w:szCs w:val="24"/>
          <w:lang w:val="en-US"/>
        </w:rPr>
        <w:t xml:space="preserve"> N ENGL J MED, </w:t>
      </w:r>
      <w:r w:rsidRPr="00E66BDC">
        <w:rPr>
          <w:rFonts w:ascii="Times New Roman" w:hAnsi="Times New Roman" w:cs="Times New Roman"/>
          <w:sz w:val="24"/>
          <w:szCs w:val="24"/>
          <w:lang w:val="en-US"/>
        </w:rPr>
        <w:t>371(22), 2134-2139.</w:t>
      </w:r>
    </w:p>
    <w:p w:rsidR="006C0851" w:rsidRDefault="006C0851" w:rsidP="00E66BDC">
      <w:pPr>
        <w:spacing w:line="360" w:lineRule="auto"/>
        <w:ind w:left="851" w:hanging="851"/>
        <w:jc w:val="both"/>
        <w:rPr>
          <w:rFonts w:ascii="Times New Roman" w:hAnsi="Times New Roman" w:cs="Times New Roman"/>
          <w:sz w:val="24"/>
          <w:szCs w:val="24"/>
          <w:lang w:val="en-US"/>
        </w:rPr>
      </w:pPr>
      <w:proofErr w:type="spellStart"/>
      <w:proofErr w:type="gramStart"/>
      <w:r w:rsidRPr="006C0851">
        <w:rPr>
          <w:rFonts w:ascii="Times New Roman" w:hAnsi="Times New Roman" w:cs="Times New Roman"/>
          <w:sz w:val="24"/>
          <w:szCs w:val="24"/>
          <w:lang w:val="en-US"/>
        </w:rPr>
        <w:t>Mozaffarian</w:t>
      </w:r>
      <w:proofErr w:type="spellEnd"/>
      <w:r w:rsidRPr="006C0851">
        <w:rPr>
          <w:rFonts w:ascii="Times New Roman" w:hAnsi="Times New Roman" w:cs="Times New Roman"/>
          <w:sz w:val="24"/>
          <w:szCs w:val="24"/>
          <w:lang w:val="en-US"/>
        </w:rPr>
        <w:t xml:space="preserve">, D., </w:t>
      </w:r>
      <w:proofErr w:type="spellStart"/>
      <w:r w:rsidRPr="006C0851">
        <w:rPr>
          <w:rFonts w:ascii="Times New Roman" w:hAnsi="Times New Roman" w:cs="Times New Roman"/>
          <w:sz w:val="24"/>
          <w:szCs w:val="24"/>
          <w:lang w:val="en-US"/>
        </w:rPr>
        <w:t>Fahimi</w:t>
      </w:r>
      <w:proofErr w:type="spellEnd"/>
      <w:r w:rsidRPr="006C0851">
        <w:rPr>
          <w:rFonts w:ascii="Times New Roman" w:hAnsi="Times New Roman" w:cs="Times New Roman"/>
          <w:sz w:val="24"/>
          <w:szCs w:val="24"/>
          <w:lang w:val="en-US"/>
        </w:rPr>
        <w:t xml:space="preserve">, S., Singh, G. M., Micha, R., </w:t>
      </w:r>
      <w:proofErr w:type="spellStart"/>
      <w:r w:rsidRPr="006C0851">
        <w:rPr>
          <w:rFonts w:ascii="Times New Roman" w:hAnsi="Times New Roman" w:cs="Times New Roman"/>
          <w:sz w:val="24"/>
          <w:szCs w:val="24"/>
          <w:lang w:val="en-US"/>
        </w:rPr>
        <w:t>Khatibzadeh</w:t>
      </w:r>
      <w:proofErr w:type="spellEnd"/>
      <w:r w:rsidRPr="006C0851">
        <w:rPr>
          <w:rFonts w:ascii="Times New Roman" w:hAnsi="Times New Roman" w:cs="Times New Roman"/>
          <w:sz w:val="24"/>
          <w:szCs w:val="24"/>
          <w:lang w:val="en-US"/>
        </w:rPr>
        <w:t xml:space="preserve">, S., </w:t>
      </w:r>
      <w:proofErr w:type="spellStart"/>
      <w:r w:rsidRPr="006C0851">
        <w:rPr>
          <w:rFonts w:ascii="Times New Roman" w:hAnsi="Times New Roman" w:cs="Times New Roman"/>
          <w:sz w:val="24"/>
          <w:szCs w:val="24"/>
          <w:lang w:val="en-US"/>
        </w:rPr>
        <w:t>Engell</w:t>
      </w:r>
      <w:proofErr w:type="spellEnd"/>
      <w:r w:rsidRPr="006C0851">
        <w:rPr>
          <w:rFonts w:ascii="Times New Roman" w:hAnsi="Times New Roman" w:cs="Times New Roman"/>
          <w:sz w:val="24"/>
          <w:szCs w:val="24"/>
          <w:lang w:val="en-US"/>
        </w:rPr>
        <w:t>, R. E. et al. (2014).</w:t>
      </w:r>
      <w:proofErr w:type="gramEnd"/>
      <w:r w:rsidRPr="006C0851">
        <w:rPr>
          <w:rFonts w:ascii="Times New Roman" w:hAnsi="Times New Roman" w:cs="Times New Roman"/>
          <w:sz w:val="24"/>
          <w:szCs w:val="24"/>
          <w:lang w:val="en-US"/>
        </w:rPr>
        <w:t xml:space="preserve"> </w:t>
      </w:r>
      <w:proofErr w:type="gramStart"/>
      <w:r w:rsidRPr="006C0851">
        <w:rPr>
          <w:rFonts w:ascii="Times New Roman" w:hAnsi="Times New Roman" w:cs="Times New Roman"/>
          <w:sz w:val="24"/>
          <w:szCs w:val="24"/>
          <w:lang w:val="en-US"/>
        </w:rPr>
        <w:t>Global sodium consumption and death from cardiovascular causes.</w:t>
      </w:r>
      <w:proofErr w:type="gramEnd"/>
      <w:r w:rsidRPr="006C0851">
        <w:rPr>
          <w:rFonts w:ascii="Times New Roman" w:hAnsi="Times New Roman" w:cs="Times New Roman"/>
          <w:sz w:val="24"/>
          <w:szCs w:val="24"/>
          <w:lang w:val="en-US"/>
        </w:rPr>
        <w:t xml:space="preserve"> </w:t>
      </w:r>
      <w:proofErr w:type="gramStart"/>
      <w:r w:rsidRPr="006C0851">
        <w:rPr>
          <w:rFonts w:ascii="Times New Roman" w:hAnsi="Times New Roman" w:cs="Times New Roman"/>
          <w:sz w:val="24"/>
          <w:szCs w:val="24"/>
          <w:lang w:val="en-US"/>
        </w:rPr>
        <w:t xml:space="preserve">N </w:t>
      </w:r>
      <w:proofErr w:type="spellStart"/>
      <w:r w:rsidRPr="006C0851">
        <w:rPr>
          <w:rFonts w:ascii="Times New Roman" w:hAnsi="Times New Roman" w:cs="Times New Roman"/>
          <w:sz w:val="24"/>
          <w:szCs w:val="24"/>
          <w:lang w:val="en-US"/>
        </w:rPr>
        <w:t>Engl</w:t>
      </w:r>
      <w:proofErr w:type="spellEnd"/>
      <w:r w:rsidRPr="006C0851">
        <w:rPr>
          <w:rFonts w:ascii="Times New Roman" w:hAnsi="Times New Roman" w:cs="Times New Roman"/>
          <w:sz w:val="24"/>
          <w:szCs w:val="24"/>
          <w:lang w:val="en-US"/>
        </w:rPr>
        <w:t xml:space="preserve"> J Med, 4 (371), 624-34.</w:t>
      </w:r>
      <w:proofErr w:type="gramEnd"/>
      <w:r w:rsidRPr="006C0851">
        <w:rPr>
          <w:rFonts w:ascii="Times New Roman" w:hAnsi="Times New Roman" w:cs="Times New Roman"/>
          <w:sz w:val="24"/>
          <w:szCs w:val="24"/>
          <w:lang w:val="en-US"/>
        </w:rPr>
        <w:t xml:space="preserve"> </w:t>
      </w:r>
      <w:proofErr w:type="spellStart"/>
      <w:proofErr w:type="gramStart"/>
      <w:r w:rsidRPr="006C0851">
        <w:rPr>
          <w:rFonts w:ascii="Times New Roman" w:hAnsi="Times New Roman" w:cs="Times New Roman"/>
          <w:sz w:val="24"/>
          <w:szCs w:val="24"/>
          <w:lang w:val="en-US"/>
        </w:rPr>
        <w:t>doi</w:t>
      </w:r>
      <w:proofErr w:type="spellEnd"/>
      <w:proofErr w:type="gramEnd"/>
      <w:r w:rsidRPr="006C0851">
        <w:rPr>
          <w:rFonts w:ascii="Times New Roman" w:hAnsi="Times New Roman" w:cs="Times New Roman"/>
          <w:sz w:val="24"/>
          <w:szCs w:val="24"/>
          <w:lang w:val="en-US"/>
        </w:rPr>
        <w:t>: 10.1056/NEJMoa1304127</w:t>
      </w:r>
    </w:p>
    <w:p w:rsidR="006C0851" w:rsidRPr="006C0851" w:rsidRDefault="006C0851" w:rsidP="006C0851">
      <w:pPr>
        <w:spacing w:line="360" w:lineRule="auto"/>
        <w:ind w:left="851" w:hanging="851"/>
        <w:jc w:val="both"/>
        <w:rPr>
          <w:rFonts w:ascii="Times New Roman" w:hAnsi="Times New Roman" w:cs="Times New Roman"/>
          <w:iCs/>
          <w:sz w:val="24"/>
          <w:szCs w:val="24"/>
          <w:lang w:val="en-US"/>
        </w:rPr>
      </w:pPr>
      <w:r w:rsidRPr="006C0851">
        <w:rPr>
          <w:rFonts w:ascii="Times New Roman" w:hAnsi="Times New Roman" w:cs="Times New Roman"/>
          <w:sz w:val="24"/>
          <w:szCs w:val="24"/>
          <w:lang w:val="en-US"/>
        </w:rPr>
        <w:t xml:space="preserve">O´Donnell, M. J., Yusuf, S., </w:t>
      </w:r>
      <w:proofErr w:type="spellStart"/>
      <w:r w:rsidRPr="006C0851">
        <w:rPr>
          <w:rFonts w:ascii="Times New Roman" w:hAnsi="Times New Roman" w:cs="Times New Roman"/>
          <w:sz w:val="24"/>
          <w:szCs w:val="24"/>
          <w:lang w:val="en-US"/>
        </w:rPr>
        <w:t>Mente</w:t>
      </w:r>
      <w:proofErr w:type="spellEnd"/>
      <w:r w:rsidRPr="006C0851">
        <w:rPr>
          <w:rFonts w:ascii="Times New Roman" w:hAnsi="Times New Roman" w:cs="Times New Roman"/>
          <w:sz w:val="24"/>
          <w:szCs w:val="24"/>
          <w:lang w:val="en-US"/>
        </w:rPr>
        <w:t xml:space="preserve">, A., </w:t>
      </w:r>
      <w:proofErr w:type="gramStart"/>
      <w:r w:rsidRPr="006C0851">
        <w:rPr>
          <w:rFonts w:ascii="Times New Roman" w:hAnsi="Times New Roman" w:cs="Times New Roman"/>
          <w:sz w:val="24"/>
          <w:szCs w:val="24"/>
          <w:lang w:val="en-US"/>
        </w:rPr>
        <w:t>Gao</w:t>
      </w:r>
      <w:proofErr w:type="gramEnd"/>
      <w:r w:rsidRPr="006C0851">
        <w:rPr>
          <w:rFonts w:ascii="Times New Roman" w:hAnsi="Times New Roman" w:cs="Times New Roman"/>
          <w:sz w:val="24"/>
          <w:szCs w:val="24"/>
          <w:lang w:val="en-US"/>
        </w:rPr>
        <w:t xml:space="preserve">, P., Mann, J. F., </w:t>
      </w:r>
      <w:proofErr w:type="spellStart"/>
      <w:r w:rsidRPr="006C0851">
        <w:rPr>
          <w:rFonts w:ascii="Times New Roman" w:hAnsi="Times New Roman" w:cs="Times New Roman"/>
          <w:sz w:val="24"/>
          <w:szCs w:val="24"/>
          <w:lang w:val="en-US"/>
        </w:rPr>
        <w:t>Teo</w:t>
      </w:r>
      <w:proofErr w:type="spellEnd"/>
      <w:r w:rsidRPr="006C0851">
        <w:rPr>
          <w:rFonts w:ascii="Times New Roman" w:hAnsi="Times New Roman" w:cs="Times New Roman"/>
          <w:sz w:val="24"/>
          <w:szCs w:val="24"/>
          <w:lang w:val="en-US"/>
        </w:rPr>
        <w:t xml:space="preserve">, K. et al. (2011). </w:t>
      </w:r>
      <w:proofErr w:type="gramStart"/>
      <w:r w:rsidRPr="006C0851">
        <w:rPr>
          <w:rFonts w:ascii="Times New Roman" w:hAnsi="Times New Roman" w:cs="Times New Roman"/>
          <w:sz w:val="24"/>
          <w:szCs w:val="24"/>
          <w:lang w:val="en-US"/>
        </w:rPr>
        <w:t>Urinary Sodium and Potassium Excretion and Risk of Cardiovascular Events.</w:t>
      </w:r>
      <w:proofErr w:type="gramEnd"/>
      <w:r w:rsidRPr="006C0851">
        <w:rPr>
          <w:rFonts w:ascii="Times New Roman" w:hAnsi="Times New Roman" w:cs="Times New Roman"/>
          <w:sz w:val="24"/>
          <w:szCs w:val="24"/>
          <w:lang w:val="en-US"/>
        </w:rPr>
        <w:t xml:space="preserve"> JAMA, 306(20), 2229-2238. </w:t>
      </w:r>
      <w:proofErr w:type="spellStart"/>
      <w:proofErr w:type="gramStart"/>
      <w:r w:rsidRPr="006C0851">
        <w:rPr>
          <w:rFonts w:ascii="Times New Roman" w:hAnsi="Times New Roman" w:cs="Times New Roman"/>
          <w:sz w:val="24"/>
          <w:szCs w:val="24"/>
          <w:lang w:val="en-US"/>
        </w:rPr>
        <w:t>doi</w:t>
      </w:r>
      <w:proofErr w:type="spellEnd"/>
      <w:proofErr w:type="gramEnd"/>
      <w:r w:rsidRPr="006C0851">
        <w:rPr>
          <w:rFonts w:ascii="Times New Roman" w:hAnsi="Times New Roman" w:cs="Times New Roman"/>
          <w:sz w:val="24"/>
          <w:szCs w:val="24"/>
          <w:lang w:val="en-US"/>
        </w:rPr>
        <w:t>: 10.1001/jama.2011.1729.</w:t>
      </w:r>
    </w:p>
    <w:p w:rsidR="006C0851" w:rsidRPr="006C0851" w:rsidRDefault="006C0851" w:rsidP="006C0851">
      <w:pPr>
        <w:spacing w:line="360" w:lineRule="auto"/>
        <w:ind w:left="851" w:hanging="851"/>
        <w:jc w:val="both"/>
        <w:rPr>
          <w:rFonts w:ascii="Times New Roman" w:hAnsi="Times New Roman" w:cs="Times New Roman"/>
          <w:sz w:val="24"/>
          <w:szCs w:val="24"/>
          <w:lang w:val="en-US"/>
        </w:rPr>
      </w:pPr>
      <w:proofErr w:type="spellStart"/>
      <w:r w:rsidRPr="006C0851">
        <w:rPr>
          <w:rFonts w:ascii="Times New Roman" w:hAnsi="Times New Roman" w:cs="Times New Roman"/>
          <w:sz w:val="24"/>
          <w:szCs w:val="24"/>
          <w:lang w:val="en-US"/>
        </w:rPr>
        <w:t>Organización</w:t>
      </w:r>
      <w:proofErr w:type="spellEnd"/>
      <w:r w:rsidRPr="006C0851">
        <w:rPr>
          <w:rFonts w:ascii="Times New Roman" w:hAnsi="Times New Roman" w:cs="Times New Roman"/>
          <w:sz w:val="24"/>
          <w:szCs w:val="24"/>
          <w:lang w:val="en-US"/>
        </w:rPr>
        <w:t xml:space="preserve"> Mundial de la </w:t>
      </w:r>
      <w:proofErr w:type="spellStart"/>
      <w:r w:rsidRPr="006C0851">
        <w:rPr>
          <w:rFonts w:ascii="Times New Roman" w:hAnsi="Times New Roman" w:cs="Times New Roman"/>
          <w:sz w:val="24"/>
          <w:szCs w:val="24"/>
          <w:lang w:val="en-US"/>
        </w:rPr>
        <w:t>Salud</w:t>
      </w:r>
      <w:proofErr w:type="spellEnd"/>
      <w:r w:rsidRPr="006C0851">
        <w:rPr>
          <w:rFonts w:ascii="Times New Roman" w:hAnsi="Times New Roman" w:cs="Times New Roman"/>
          <w:sz w:val="24"/>
          <w:szCs w:val="24"/>
          <w:lang w:val="en-US"/>
        </w:rPr>
        <w:t xml:space="preserve"> Guideline: Sodium intake for adults and children, 2012. Geneva, World Health Organization. Recuperado de: </w:t>
      </w:r>
      <w:hyperlink r:id="rId18" w:history="1">
        <w:r w:rsidRPr="006C0851">
          <w:rPr>
            <w:rFonts w:ascii="Times New Roman" w:hAnsi="Times New Roman" w:cs="Times New Roman"/>
            <w:sz w:val="24"/>
            <w:szCs w:val="24"/>
            <w:lang w:val="en-US"/>
          </w:rPr>
          <w:t>http://www.who.int/nutrition/publications/guidelines/sodium_intake/en/</w:t>
        </w:r>
      </w:hyperlink>
    </w:p>
    <w:p w:rsidR="006C0851" w:rsidRPr="006C0851" w:rsidRDefault="006C0851" w:rsidP="006C0851">
      <w:pPr>
        <w:spacing w:line="360" w:lineRule="auto"/>
        <w:ind w:left="851" w:hanging="851"/>
        <w:jc w:val="both"/>
        <w:rPr>
          <w:rFonts w:ascii="Times New Roman" w:hAnsi="Times New Roman" w:cs="Times New Roman"/>
          <w:sz w:val="24"/>
          <w:szCs w:val="24"/>
          <w:lang w:val="en-US"/>
        </w:rPr>
      </w:pPr>
      <w:r w:rsidRPr="006C0851">
        <w:rPr>
          <w:rFonts w:ascii="Times New Roman" w:hAnsi="Times New Roman" w:cs="Times New Roman"/>
          <w:sz w:val="24"/>
          <w:szCs w:val="24"/>
          <w:lang w:val="en-US"/>
        </w:rPr>
        <w:t xml:space="preserve">Organización Mundial de la Salud (2016). Cardiovascular diseases. WHO. Recuperado </w:t>
      </w:r>
      <w:r w:rsidRPr="006C0851">
        <w:rPr>
          <w:rFonts w:ascii="Times New Roman" w:hAnsi="Times New Roman" w:cs="Times New Roman"/>
          <w:sz w:val="24"/>
          <w:szCs w:val="24"/>
          <w:lang w:val="en-US"/>
        </w:rPr>
        <w:tab/>
        <w:t xml:space="preserve">de: </w:t>
      </w:r>
      <w:r w:rsidRPr="006C0851">
        <w:rPr>
          <w:rFonts w:ascii="Times New Roman" w:hAnsi="Times New Roman" w:cs="Times New Roman"/>
          <w:sz w:val="24"/>
          <w:szCs w:val="24"/>
          <w:lang w:val="en-US"/>
        </w:rPr>
        <w:tab/>
      </w:r>
      <w:hyperlink r:id="rId19" w:history="1">
        <w:r w:rsidRPr="006C0851">
          <w:rPr>
            <w:rFonts w:ascii="Times New Roman" w:hAnsi="Times New Roman" w:cs="Times New Roman"/>
            <w:sz w:val="24"/>
            <w:szCs w:val="24"/>
            <w:lang w:val="en-US"/>
          </w:rPr>
          <w:t>http://www.who.int/cardiovascular_diseases/en/</w:t>
        </w:r>
      </w:hyperlink>
    </w:p>
    <w:p w:rsidR="006C0851" w:rsidRPr="006C0851" w:rsidRDefault="006C0851" w:rsidP="006C0851">
      <w:pPr>
        <w:spacing w:line="360" w:lineRule="auto"/>
        <w:ind w:left="851" w:hanging="851"/>
        <w:jc w:val="both"/>
        <w:rPr>
          <w:rFonts w:ascii="Times New Roman" w:hAnsi="Times New Roman" w:cs="Times New Roman"/>
          <w:sz w:val="24"/>
          <w:szCs w:val="24"/>
          <w:lang w:val="en-US"/>
        </w:rPr>
      </w:pPr>
      <w:r w:rsidRPr="006C0851">
        <w:rPr>
          <w:rFonts w:ascii="Times New Roman" w:hAnsi="Times New Roman" w:cs="Times New Roman"/>
          <w:sz w:val="24"/>
          <w:szCs w:val="24"/>
          <w:lang w:val="en-US"/>
        </w:rPr>
        <w:t xml:space="preserve">Organización Mundial de la Salud (2015). Enfermedades cardiovasculares, OMS. Recuperado de: </w:t>
      </w:r>
      <w:hyperlink r:id="rId20" w:history="1">
        <w:r w:rsidRPr="006C0851">
          <w:rPr>
            <w:rFonts w:ascii="Times New Roman" w:hAnsi="Times New Roman" w:cs="Times New Roman"/>
            <w:sz w:val="24"/>
            <w:szCs w:val="24"/>
            <w:lang w:val="en-US"/>
          </w:rPr>
          <w:t>http://www.who.int/mediacentre/factsheets/fs317/es/</w:t>
        </w:r>
      </w:hyperlink>
    </w:p>
    <w:p w:rsidR="006C0851" w:rsidRPr="006C0851" w:rsidRDefault="006C0851" w:rsidP="006C0851">
      <w:pPr>
        <w:spacing w:line="360" w:lineRule="auto"/>
        <w:ind w:left="851" w:hanging="851"/>
        <w:jc w:val="both"/>
        <w:rPr>
          <w:rFonts w:ascii="Times New Roman" w:hAnsi="Times New Roman" w:cs="Times New Roman"/>
          <w:sz w:val="24"/>
          <w:szCs w:val="24"/>
          <w:lang w:val="en-US"/>
        </w:rPr>
      </w:pPr>
      <w:r w:rsidRPr="006C0851">
        <w:rPr>
          <w:rFonts w:ascii="Times New Roman" w:hAnsi="Times New Roman" w:cs="Times New Roman"/>
          <w:sz w:val="24"/>
          <w:szCs w:val="24"/>
          <w:lang w:val="en-US"/>
        </w:rPr>
        <w:t xml:space="preserve">Organización Mundial de la Salud (2014). </w:t>
      </w:r>
      <w:proofErr w:type="spellStart"/>
      <w:proofErr w:type="gramStart"/>
      <w:r w:rsidRPr="006C0851">
        <w:rPr>
          <w:rFonts w:ascii="Times New Roman" w:hAnsi="Times New Roman" w:cs="Times New Roman"/>
          <w:sz w:val="24"/>
          <w:szCs w:val="24"/>
          <w:lang w:val="en-US"/>
        </w:rPr>
        <w:t>Noncommunicable</w:t>
      </w:r>
      <w:proofErr w:type="spellEnd"/>
      <w:r w:rsidRPr="006C0851">
        <w:rPr>
          <w:rFonts w:ascii="Times New Roman" w:hAnsi="Times New Roman" w:cs="Times New Roman"/>
          <w:sz w:val="24"/>
          <w:szCs w:val="24"/>
          <w:lang w:val="en-US"/>
        </w:rPr>
        <w:t xml:space="preserve"> Diseases (NCD) Country Profiles.</w:t>
      </w:r>
      <w:proofErr w:type="gramEnd"/>
      <w:r w:rsidRPr="006C0851">
        <w:rPr>
          <w:rFonts w:ascii="Times New Roman" w:hAnsi="Times New Roman" w:cs="Times New Roman"/>
          <w:sz w:val="24"/>
          <w:szCs w:val="24"/>
          <w:lang w:val="en-US"/>
        </w:rPr>
        <w:t xml:space="preserve"> WHO. Recuperado de: </w:t>
      </w:r>
      <w:hyperlink r:id="rId21" w:history="1">
        <w:r w:rsidRPr="006C0851">
          <w:rPr>
            <w:rFonts w:ascii="Times New Roman" w:hAnsi="Times New Roman" w:cs="Times New Roman"/>
            <w:sz w:val="24"/>
            <w:szCs w:val="24"/>
            <w:lang w:val="en-US"/>
          </w:rPr>
          <w:t>http://www.who.int/nmh/countries/mex_en.pdf</w:t>
        </w:r>
      </w:hyperlink>
    </w:p>
    <w:p w:rsidR="006C0851" w:rsidRPr="006C0851" w:rsidRDefault="006C0851" w:rsidP="006C0851">
      <w:pPr>
        <w:spacing w:line="360" w:lineRule="auto"/>
        <w:ind w:left="851" w:hanging="851"/>
        <w:jc w:val="both"/>
        <w:rPr>
          <w:rFonts w:ascii="Times New Roman" w:hAnsi="Times New Roman" w:cs="Times New Roman"/>
          <w:iCs/>
          <w:sz w:val="24"/>
          <w:szCs w:val="24"/>
          <w:lang w:val="en-US"/>
        </w:rPr>
      </w:pPr>
      <w:r w:rsidRPr="006C0851">
        <w:rPr>
          <w:rFonts w:ascii="Times New Roman" w:hAnsi="Times New Roman" w:cs="Times New Roman"/>
          <w:sz w:val="24"/>
          <w:szCs w:val="24"/>
          <w:lang w:val="en-US"/>
        </w:rPr>
        <w:t xml:space="preserve">Organización Panamericana de la Salud (2013). La reducción de la sal en las Américas: una guía para la acción en los países. Washington, D.C. Recuperado de: </w:t>
      </w:r>
      <w:hyperlink r:id="rId22" w:history="1">
        <w:r w:rsidRPr="006C0851">
          <w:rPr>
            <w:rFonts w:ascii="Times New Roman" w:hAnsi="Times New Roman" w:cs="Times New Roman"/>
            <w:sz w:val="24"/>
            <w:szCs w:val="24"/>
            <w:lang w:val="en-US"/>
          </w:rPr>
          <w:t>http://www.paho.org/hq/index.php?option=com_docman&amp;task=cat_view&amp;gid=5395&amp;Itemid=3482&amp;lang=es</w:t>
        </w:r>
      </w:hyperlink>
    </w:p>
    <w:p w:rsidR="006C0851" w:rsidRPr="006C0851" w:rsidRDefault="006C0851" w:rsidP="006C0851">
      <w:pPr>
        <w:spacing w:line="360" w:lineRule="auto"/>
        <w:ind w:left="851" w:hanging="851"/>
        <w:jc w:val="both"/>
        <w:rPr>
          <w:rFonts w:ascii="Times New Roman" w:hAnsi="Times New Roman" w:cs="Times New Roman"/>
          <w:iCs/>
          <w:sz w:val="24"/>
          <w:szCs w:val="24"/>
          <w:lang w:val="en-US"/>
        </w:rPr>
      </w:pPr>
      <w:r w:rsidRPr="006C0851">
        <w:rPr>
          <w:rFonts w:ascii="Times New Roman" w:hAnsi="Times New Roman" w:cs="Times New Roman"/>
          <w:iCs/>
          <w:sz w:val="24"/>
          <w:szCs w:val="24"/>
          <w:lang w:val="en-US"/>
        </w:rPr>
        <w:t xml:space="preserve">Organización Panamericana de la Salud. Programa de la OPS/OMS: Reducción de la sal (s. f.). Washington, D.C. Recuperado de: </w:t>
      </w:r>
      <w:hyperlink r:id="rId23" w:history="1">
        <w:r w:rsidRPr="006C0851">
          <w:rPr>
            <w:rFonts w:ascii="Times New Roman" w:hAnsi="Times New Roman" w:cs="Times New Roman"/>
            <w:iCs/>
            <w:lang w:val="en-US"/>
          </w:rPr>
          <w:t>http://www.paho.org/hq/index.php?option=com_topics&amp;view=article&amp;id=352&amp;Itemid=40940&amp;lang=es</w:t>
        </w:r>
      </w:hyperlink>
    </w:p>
    <w:p w:rsidR="00D317D3" w:rsidRPr="00E66BDC" w:rsidRDefault="00D317D3" w:rsidP="00E66BDC">
      <w:pPr>
        <w:spacing w:line="360" w:lineRule="auto"/>
        <w:ind w:left="851" w:hanging="851"/>
        <w:jc w:val="both"/>
        <w:rPr>
          <w:rFonts w:ascii="Times New Roman" w:hAnsi="Times New Roman" w:cs="Times New Roman"/>
          <w:iCs/>
          <w:sz w:val="24"/>
          <w:szCs w:val="24"/>
          <w:lang w:val="en-US"/>
        </w:rPr>
      </w:pPr>
      <w:proofErr w:type="spellStart"/>
      <w:r w:rsidRPr="00E66BDC">
        <w:rPr>
          <w:rFonts w:ascii="Times New Roman" w:hAnsi="Times New Roman" w:cs="Times New Roman"/>
          <w:iCs/>
          <w:sz w:val="24"/>
          <w:szCs w:val="24"/>
          <w:lang w:val="en-US"/>
        </w:rPr>
        <w:lastRenderedPageBreak/>
        <w:t>Oparil</w:t>
      </w:r>
      <w:proofErr w:type="spellEnd"/>
      <w:r w:rsidRPr="00E66BDC">
        <w:rPr>
          <w:rFonts w:ascii="Times New Roman" w:hAnsi="Times New Roman" w:cs="Times New Roman"/>
          <w:iCs/>
          <w:sz w:val="24"/>
          <w:szCs w:val="24"/>
          <w:lang w:val="en-US"/>
        </w:rPr>
        <w:t xml:space="preserve"> S. (2014). </w:t>
      </w:r>
      <w:proofErr w:type="gramStart"/>
      <w:r w:rsidRPr="00E66BDC">
        <w:rPr>
          <w:rFonts w:ascii="Times New Roman" w:hAnsi="Times New Roman" w:cs="Times New Roman"/>
          <w:iCs/>
          <w:sz w:val="24"/>
          <w:szCs w:val="24"/>
          <w:lang w:val="en-US"/>
        </w:rPr>
        <w:t>Low Sodium Intake - Cardiovascular Health Benefit or Risk?</w:t>
      </w:r>
      <w:proofErr w:type="gramEnd"/>
      <w:r w:rsidRPr="00E66BDC">
        <w:rPr>
          <w:rFonts w:ascii="Times New Roman" w:hAnsi="Times New Roman" w:cs="Times New Roman"/>
          <w:iCs/>
          <w:sz w:val="24"/>
          <w:szCs w:val="24"/>
          <w:lang w:val="en-US"/>
        </w:rPr>
        <w:t xml:space="preserve"> </w:t>
      </w:r>
      <w:r w:rsidRPr="00E66BDC">
        <w:rPr>
          <w:rFonts w:ascii="Times New Roman" w:hAnsi="Times New Roman" w:cs="Times New Roman"/>
          <w:i/>
          <w:iCs/>
          <w:sz w:val="24"/>
          <w:szCs w:val="24"/>
          <w:lang w:val="en-US"/>
        </w:rPr>
        <w:t xml:space="preserve">N </w:t>
      </w:r>
      <w:proofErr w:type="spellStart"/>
      <w:r w:rsidRPr="00E66BDC">
        <w:rPr>
          <w:rFonts w:ascii="Times New Roman" w:hAnsi="Times New Roman" w:cs="Times New Roman"/>
          <w:i/>
          <w:iCs/>
          <w:sz w:val="24"/>
          <w:szCs w:val="24"/>
          <w:lang w:val="en-US"/>
        </w:rPr>
        <w:t>Engl</w:t>
      </w:r>
      <w:proofErr w:type="spellEnd"/>
      <w:r w:rsidRPr="00E66BDC">
        <w:rPr>
          <w:rFonts w:ascii="Times New Roman" w:hAnsi="Times New Roman" w:cs="Times New Roman"/>
          <w:i/>
          <w:iCs/>
          <w:sz w:val="24"/>
          <w:szCs w:val="24"/>
          <w:lang w:val="en-US"/>
        </w:rPr>
        <w:t xml:space="preserve"> J Med</w:t>
      </w:r>
      <w:r w:rsidRPr="00E66BDC">
        <w:rPr>
          <w:rFonts w:ascii="Times New Roman" w:hAnsi="Times New Roman" w:cs="Times New Roman"/>
          <w:iCs/>
          <w:sz w:val="24"/>
          <w:szCs w:val="24"/>
          <w:lang w:val="en-US"/>
        </w:rPr>
        <w:t xml:space="preserve">, 371(7), 677-679. </w:t>
      </w:r>
    </w:p>
    <w:p w:rsidR="00D317D3" w:rsidRPr="00E66BDC" w:rsidRDefault="00D317D3" w:rsidP="00E66BDC">
      <w:pPr>
        <w:spacing w:line="360" w:lineRule="auto"/>
        <w:ind w:left="851" w:hanging="851"/>
        <w:jc w:val="both"/>
        <w:rPr>
          <w:rFonts w:ascii="Times New Roman" w:hAnsi="Times New Roman" w:cs="Times New Roman"/>
          <w:sz w:val="24"/>
          <w:szCs w:val="24"/>
          <w:lang w:val="en-US"/>
        </w:rPr>
      </w:pPr>
      <w:r w:rsidRPr="00E66BDC">
        <w:rPr>
          <w:rFonts w:ascii="Times New Roman" w:hAnsi="Times New Roman" w:cs="Times New Roman"/>
          <w:sz w:val="24"/>
          <w:szCs w:val="24"/>
        </w:rPr>
        <w:t xml:space="preserve">Organización Mundial de la Salud </w:t>
      </w:r>
      <w:r w:rsidRPr="00E66BDC">
        <w:rPr>
          <w:rFonts w:ascii="Times New Roman" w:hAnsi="Times New Roman" w:cs="Times New Roman"/>
          <w:sz w:val="24"/>
          <w:szCs w:val="24"/>
          <w:lang w:val="en-US"/>
        </w:rPr>
        <w:t xml:space="preserve">(2012). </w:t>
      </w:r>
      <w:r w:rsidRPr="00E66BDC">
        <w:rPr>
          <w:rFonts w:ascii="Times New Roman" w:hAnsi="Times New Roman" w:cs="Times New Roman"/>
          <w:iCs/>
          <w:sz w:val="24"/>
          <w:szCs w:val="24"/>
          <w:lang w:val="en-US"/>
        </w:rPr>
        <w:t>Guideline: Sodium intake for adults and children</w:t>
      </w:r>
      <w:r w:rsidRPr="00E66BDC">
        <w:rPr>
          <w:rFonts w:ascii="Times New Roman" w:hAnsi="Times New Roman" w:cs="Times New Roman"/>
          <w:sz w:val="24"/>
          <w:szCs w:val="24"/>
          <w:lang w:val="en-US"/>
        </w:rPr>
        <w:t xml:space="preserve">. </w:t>
      </w:r>
      <w:proofErr w:type="gramStart"/>
      <w:r w:rsidRPr="00E66BDC">
        <w:rPr>
          <w:rFonts w:ascii="Times New Roman" w:hAnsi="Times New Roman" w:cs="Times New Roman"/>
          <w:sz w:val="24"/>
          <w:szCs w:val="24"/>
          <w:lang w:val="en-US"/>
        </w:rPr>
        <w:t>Geneva, WHO.</w:t>
      </w:r>
      <w:proofErr w:type="gramEnd"/>
      <w:r w:rsidRPr="00E66BDC">
        <w:rPr>
          <w:rFonts w:ascii="Times New Roman" w:hAnsi="Times New Roman" w:cs="Times New Roman"/>
          <w:sz w:val="24"/>
          <w:szCs w:val="24"/>
          <w:lang w:val="en-US"/>
        </w:rPr>
        <w:t xml:space="preserve"> </w:t>
      </w:r>
    </w:p>
    <w:p w:rsidR="00D317D3" w:rsidRPr="00E66BDC" w:rsidRDefault="00D317D3" w:rsidP="00E66BDC">
      <w:pPr>
        <w:spacing w:line="360" w:lineRule="auto"/>
        <w:ind w:left="851" w:hanging="851"/>
        <w:jc w:val="both"/>
        <w:rPr>
          <w:rFonts w:ascii="Times New Roman" w:hAnsi="Times New Roman" w:cs="Times New Roman"/>
          <w:sz w:val="24"/>
          <w:szCs w:val="24"/>
          <w:lang w:val="en-US"/>
        </w:rPr>
      </w:pPr>
      <w:proofErr w:type="spellStart"/>
      <w:r w:rsidRPr="00E66BDC">
        <w:rPr>
          <w:rFonts w:ascii="Times New Roman" w:hAnsi="Times New Roman" w:cs="Times New Roman"/>
          <w:sz w:val="24"/>
          <w:szCs w:val="24"/>
          <w:lang w:val="en-US"/>
        </w:rPr>
        <w:t>Organización</w:t>
      </w:r>
      <w:proofErr w:type="spellEnd"/>
      <w:r w:rsidRPr="00E66BDC">
        <w:rPr>
          <w:rFonts w:ascii="Times New Roman" w:hAnsi="Times New Roman" w:cs="Times New Roman"/>
          <w:sz w:val="24"/>
          <w:szCs w:val="24"/>
          <w:lang w:val="en-US"/>
        </w:rPr>
        <w:t xml:space="preserve"> Mundial de la </w:t>
      </w:r>
      <w:proofErr w:type="spellStart"/>
      <w:r w:rsidRPr="00E66BDC">
        <w:rPr>
          <w:rFonts w:ascii="Times New Roman" w:hAnsi="Times New Roman" w:cs="Times New Roman"/>
          <w:sz w:val="24"/>
          <w:szCs w:val="24"/>
          <w:lang w:val="en-US"/>
        </w:rPr>
        <w:t>Salud</w:t>
      </w:r>
      <w:proofErr w:type="spellEnd"/>
      <w:r w:rsidRPr="00E66BDC">
        <w:rPr>
          <w:rFonts w:ascii="Times New Roman" w:hAnsi="Times New Roman" w:cs="Times New Roman"/>
          <w:sz w:val="24"/>
          <w:szCs w:val="24"/>
          <w:lang w:val="en-US"/>
        </w:rPr>
        <w:t xml:space="preserve"> (2013). </w:t>
      </w:r>
      <w:proofErr w:type="gramStart"/>
      <w:r w:rsidRPr="00E66BDC">
        <w:rPr>
          <w:rFonts w:ascii="Times New Roman" w:hAnsi="Times New Roman" w:cs="Times New Roman"/>
          <w:sz w:val="24"/>
          <w:szCs w:val="24"/>
          <w:lang w:val="en-US"/>
        </w:rPr>
        <w:t xml:space="preserve">Global action plan for the prevention and control of non </w:t>
      </w:r>
      <w:proofErr w:type="spellStart"/>
      <w:r w:rsidRPr="00E66BDC">
        <w:rPr>
          <w:rFonts w:ascii="Times New Roman" w:hAnsi="Times New Roman" w:cs="Times New Roman"/>
          <w:sz w:val="24"/>
          <w:szCs w:val="24"/>
          <w:lang w:val="en-US"/>
        </w:rPr>
        <w:t>comunicable</w:t>
      </w:r>
      <w:proofErr w:type="spellEnd"/>
      <w:r w:rsidRPr="00E66BDC">
        <w:rPr>
          <w:rFonts w:ascii="Times New Roman" w:hAnsi="Times New Roman" w:cs="Times New Roman"/>
          <w:sz w:val="24"/>
          <w:szCs w:val="24"/>
          <w:lang w:val="en-US"/>
        </w:rPr>
        <w:t xml:space="preserve"> diseases 2013-2020.</w:t>
      </w:r>
      <w:proofErr w:type="gramEnd"/>
    </w:p>
    <w:p w:rsidR="00D317D3" w:rsidRPr="00E66BDC" w:rsidRDefault="00D317D3" w:rsidP="00E66BDC">
      <w:pPr>
        <w:spacing w:line="360" w:lineRule="auto"/>
        <w:ind w:left="851" w:hanging="851"/>
        <w:jc w:val="both"/>
        <w:rPr>
          <w:rFonts w:ascii="Times New Roman" w:hAnsi="Times New Roman" w:cs="Times New Roman"/>
          <w:sz w:val="24"/>
          <w:szCs w:val="24"/>
        </w:rPr>
      </w:pPr>
      <w:r w:rsidRPr="00E66BDC">
        <w:rPr>
          <w:rFonts w:ascii="Times New Roman" w:hAnsi="Times New Roman" w:cs="Times New Roman"/>
          <w:sz w:val="24"/>
          <w:szCs w:val="24"/>
        </w:rPr>
        <w:t xml:space="preserve">Organización Panamericana de la Salud (2011). Grupo de expertos de la OMS/OPS sobre la prevención de las enfermedades cardiovasculares mediante la reducción de la ingesta de sal alimentaria de toda la población. </w:t>
      </w:r>
    </w:p>
    <w:p w:rsidR="00D317D3" w:rsidRPr="00E66BDC" w:rsidRDefault="00D317D3" w:rsidP="00E66BDC">
      <w:pPr>
        <w:spacing w:line="360" w:lineRule="auto"/>
        <w:ind w:left="851" w:hanging="851"/>
        <w:jc w:val="both"/>
        <w:rPr>
          <w:rFonts w:ascii="Times New Roman" w:hAnsi="Times New Roman" w:cs="Times New Roman"/>
          <w:sz w:val="24"/>
          <w:szCs w:val="24"/>
          <w:lang w:val="en-US"/>
        </w:rPr>
      </w:pPr>
      <w:r w:rsidRPr="00E66BDC">
        <w:rPr>
          <w:rFonts w:ascii="Times New Roman" w:hAnsi="Times New Roman" w:cs="Times New Roman"/>
          <w:sz w:val="24"/>
          <w:szCs w:val="24"/>
        </w:rPr>
        <w:t xml:space="preserve">Paterna, S., </w:t>
      </w:r>
      <w:proofErr w:type="spellStart"/>
      <w:r w:rsidRPr="00E66BDC">
        <w:rPr>
          <w:rFonts w:ascii="Times New Roman" w:hAnsi="Times New Roman" w:cs="Times New Roman"/>
          <w:sz w:val="24"/>
          <w:szCs w:val="24"/>
        </w:rPr>
        <w:t>Parrinello</w:t>
      </w:r>
      <w:proofErr w:type="spellEnd"/>
      <w:r w:rsidRPr="00E66BDC">
        <w:rPr>
          <w:rFonts w:ascii="Times New Roman" w:hAnsi="Times New Roman" w:cs="Times New Roman"/>
          <w:sz w:val="24"/>
          <w:szCs w:val="24"/>
        </w:rPr>
        <w:t xml:space="preserve">, G., </w:t>
      </w:r>
      <w:proofErr w:type="spellStart"/>
      <w:r w:rsidRPr="00E66BDC">
        <w:rPr>
          <w:rFonts w:ascii="Times New Roman" w:hAnsi="Times New Roman" w:cs="Times New Roman"/>
          <w:sz w:val="24"/>
          <w:szCs w:val="24"/>
        </w:rPr>
        <w:t>Fasullo</w:t>
      </w:r>
      <w:proofErr w:type="spellEnd"/>
      <w:r w:rsidRPr="00E66BDC">
        <w:rPr>
          <w:rFonts w:ascii="Times New Roman" w:hAnsi="Times New Roman" w:cs="Times New Roman"/>
          <w:sz w:val="24"/>
          <w:szCs w:val="24"/>
        </w:rPr>
        <w:t xml:space="preserve">, S., </w:t>
      </w:r>
      <w:proofErr w:type="spellStart"/>
      <w:r w:rsidRPr="00E66BDC">
        <w:rPr>
          <w:rFonts w:ascii="Times New Roman" w:hAnsi="Times New Roman" w:cs="Times New Roman"/>
          <w:sz w:val="24"/>
          <w:szCs w:val="24"/>
        </w:rPr>
        <w:t>Sarullo</w:t>
      </w:r>
      <w:proofErr w:type="spellEnd"/>
      <w:r w:rsidRPr="00E66BDC">
        <w:rPr>
          <w:rFonts w:ascii="Times New Roman" w:hAnsi="Times New Roman" w:cs="Times New Roman"/>
          <w:sz w:val="24"/>
          <w:szCs w:val="24"/>
        </w:rPr>
        <w:t xml:space="preserve">, F. M. &amp; </w:t>
      </w:r>
      <w:proofErr w:type="spellStart"/>
      <w:r w:rsidRPr="00E66BDC">
        <w:rPr>
          <w:rFonts w:ascii="Times New Roman" w:hAnsi="Times New Roman" w:cs="Times New Roman"/>
          <w:sz w:val="24"/>
          <w:szCs w:val="24"/>
        </w:rPr>
        <w:t>DiPasquale</w:t>
      </w:r>
      <w:proofErr w:type="spellEnd"/>
      <w:r w:rsidRPr="00E66BDC">
        <w:rPr>
          <w:rFonts w:ascii="Times New Roman" w:hAnsi="Times New Roman" w:cs="Times New Roman"/>
          <w:sz w:val="24"/>
          <w:szCs w:val="24"/>
        </w:rPr>
        <w:t xml:space="preserve"> P. (2008). </w:t>
      </w:r>
      <w:r w:rsidRPr="00E66BDC">
        <w:rPr>
          <w:rFonts w:ascii="Times New Roman" w:hAnsi="Times New Roman" w:cs="Times New Roman"/>
          <w:sz w:val="24"/>
          <w:szCs w:val="24"/>
          <w:lang w:val="en-US"/>
        </w:rPr>
        <w:t xml:space="preserve">Normal-sodium diet compared with low-sodium diet in compensated congestive heart failure: is sodium an old enemy or a new friend? </w:t>
      </w:r>
      <w:r w:rsidRPr="00E66BDC">
        <w:rPr>
          <w:rFonts w:ascii="Times New Roman" w:hAnsi="Times New Roman" w:cs="Times New Roman"/>
          <w:i/>
          <w:sz w:val="24"/>
          <w:szCs w:val="24"/>
          <w:lang w:val="en-US"/>
        </w:rPr>
        <w:t>Clinical Science</w:t>
      </w:r>
      <w:r w:rsidRPr="00E66BDC">
        <w:rPr>
          <w:rFonts w:ascii="Times New Roman" w:hAnsi="Times New Roman" w:cs="Times New Roman"/>
          <w:sz w:val="24"/>
          <w:szCs w:val="24"/>
          <w:lang w:val="en-US"/>
        </w:rPr>
        <w:t>, 114, 221–230.</w:t>
      </w:r>
    </w:p>
    <w:p w:rsidR="00D317D3" w:rsidRPr="00E66BDC" w:rsidRDefault="00D317D3" w:rsidP="00E66BDC">
      <w:pPr>
        <w:spacing w:line="360" w:lineRule="auto"/>
        <w:ind w:left="851" w:hanging="851"/>
        <w:jc w:val="both"/>
        <w:rPr>
          <w:rFonts w:ascii="Times New Roman" w:hAnsi="Times New Roman" w:cs="Times New Roman"/>
          <w:sz w:val="24"/>
          <w:szCs w:val="24"/>
          <w:lang w:val="en-US"/>
        </w:rPr>
      </w:pPr>
      <w:proofErr w:type="spellStart"/>
      <w:proofErr w:type="gramStart"/>
      <w:r w:rsidRPr="00E66BDC">
        <w:rPr>
          <w:rFonts w:ascii="Times New Roman" w:hAnsi="Times New Roman" w:cs="Times New Roman"/>
          <w:sz w:val="24"/>
          <w:szCs w:val="24"/>
          <w:lang w:val="en-US"/>
        </w:rPr>
        <w:t>Penner</w:t>
      </w:r>
      <w:proofErr w:type="spellEnd"/>
      <w:r w:rsidRPr="00E66BDC">
        <w:rPr>
          <w:rFonts w:ascii="Times New Roman" w:hAnsi="Times New Roman" w:cs="Times New Roman"/>
          <w:sz w:val="24"/>
          <w:szCs w:val="24"/>
          <w:lang w:val="en-US"/>
        </w:rPr>
        <w:t xml:space="preserve">, S. B., Campbell, N., </w:t>
      </w:r>
      <w:proofErr w:type="spellStart"/>
      <w:r w:rsidRPr="00E66BDC">
        <w:rPr>
          <w:rFonts w:ascii="Times New Roman" w:hAnsi="Times New Roman" w:cs="Times New Roman"/>
          <w:sz w:val="24"/>
          <w:szCs w:val="24"/>
          <w:lang w:val="en-US"/>
        </w:rPr>
        <w:t>Chockalingam</w:t>
      </w:r>
      <w:proofErr w:type="spellEnd"/>
      <w:r w:rsidRPr="00E66BDC">
        <w:rPr>
          <w:rFonts w:ascii="Times New Roman" w:hAnsi="Times New Roman" w:cs="Times New Roman"/>
          <w:sz w:val="24"/>
          <w:szCs w:val="24"/>
          <w:lang w:val="en-US"/>
        </w:rPr>
        <w:t xml:space="preserve">, A., </w:t>
      </w:r>
      <w:proofErr w:type="spellStart"/>
      <w:r w:rsidRPr="00E66BDC">
        <w:rPr>
          <w:rFonts w:ascii="Times New Roman" w:hAnsi="Times New Roman" w:cs="Times New Roman"/>
          <w:sz w:val="24"/>
          <w:szCs w:val="24"/>
          <w:lang w:val="en-US"/>
        </w:rPr>
        <w:t>Zarne</w:t>
      </w:r>
      <w:proofErr w:type="spellEnd"/>
      <w:r w:rsidRPr="00E66BDC">
        <w:rPr>
          <w:rFonts w:ascii="Times New Roman" w:hAnsi="Times New Roman" w:cs="Times New Roman"/>
          <w:sz w:val="24"/>
          <w:szCs w:val="24"/>
          <w:lang w:val="en-US"/>
        </w:rPr>
        <w:t>, K. &amp;, Van, V. B. (2007).</w:t>
      </w:r>
      <w:proofErr w:type="gramEnd"/>
      <w:r w:rsidRPr="00E66BDC">
        <w:rPr>
          <w:rFonts w:ascii="Times New Roman" w:hAnsi="Times New Roman" w:cs="Times New Roman"/>
          <w:sz w:val="24"/>
          <w:szCs w:val="24"/>
          <w:lang w:val="en-US"/>
        </w:rPr>
        <w:t xml:space="preserve"> Dietary sodium and cardiovascular outcomes: a rational approach.</w:t>
      </w:r>
      <w:r w:rsidRPr="00E66BDC">
        <w:rPr>
          <w:rFonts w:ascii="Times New Roman" w:hAnsi="Times New Roman" w:cs="Times New Roman"/>
          <w:i/>
          <w:sz w:val="24"/>
          <w:szCs w:val="24"/>
          <w:lang w:val="en-US"/>
        </w:rPr>
        <w:t xml:space="preserve"> Can J </w:t>
      </w:r>
      <w:proofErr w:type="spellStart"/>
      <w:proofErr w:type="gramStart"/>
      <w:r w:rsidRPr="00E66BDC">
        <w:rPr>
          <w:rFonts w:ascii="Times New Roman" w:hAnsi="Times New Roman" w:cs="Times New Roman"/>
          <w:i/>
          <w:sz w:val="24"/>
          <w:szCs w:val="24"/>
          <w:lang w:val="en-US"/>
        </w:rPr>
        <w:t>Cardiol</w:t>
      </w:r>
      <w:proofErr w:type="spellEnd"/>
      <w:r w:rsidRPr="00E66BDC">
        <w:rPr>
          <w:rFonts w:ascii="Times New Roman" w:hAnsi="Times New Roman" w:cs="Times New Roman"/>
          <w:sz w:val="24"/>
          <w:szCs w:val="24"/>
          <w:lang w:val="en-US"/>
        </w:rPr>
        <w:t>.,</w:t>
      </w:r>
      <w:proofErr w:type="gramEnd"/>
      <w:r w:rsidRPr="00E66BDC">
        <w:rPr>
          <w:rFonts w:ascii="Times New Roman" w:hAnsi="Times New Roman" w:cs="Times New Roman"/>
          <w:sz w:val="24"/>
          <w:szCs w:val="24"/>
          <w:lang w:val="en-US"/>
        </w:rPr>
        <w:t xml:space="preserve"> 23(7), 567-572.</w:t>
      </w:r>
    </w:p>
    <w:p w:rsidR="006C0851" w:rsidRPr="006C0851" w:rsidRDefault="006C0851" w:rsidP="006C0851">
      <w:pPr>
        <w:spacing w:line="360" w:lineRule="auto"/>
        <w:ind w:left="851" w:hanging="851"/>
        <w:jc w:val="both"/>
        <w:rPr>
          <w:rFonts w:ascii="Times New Roman" w:hAnsi="Times New Roman" w:cs="Times New Roman"/>
          <w:sz w:val="24"/>
          <w:szCs w:val="24"/>
          <w:lang w:val="en-US"/>
        </w:rPr>
      </w:pPr>
      <w:r w:rsidRPr="006C0851">
        <w:rPr>
          <w:rFonts w:ascii="Times New Roman" w:hAnsi="Times New Roman" w:cs="Times New Roman"/>
          <w:sz w:val="24"/>
          <w:szCs w:val="24"/>
          <w:lang w:val="en-US"/>
        </w:rPr>
        <w:t xml:space="preserve">Secretaría de Salud (2010). Detección y estratificación de factores de riesgo cardiovascular. CENETEC México. Recuperado de:  </w:t>
      </w:r>
      <w:hyperlink r:id="rId24" w:history="1">
        <w:r w:rsidRPr="006C0851">
          <w:rPr>
            <w:rFonts w:ascii="Times New Roman" w:hAnsi="Times New Roman" w:cs="Times New Roman"/>
            <w:sz w:val="24"/>
            <w:szCs w:val="24"/>
            <w:lang w:val="en-US"/>
          </w:rPr>
          <w:t>http://www.cenetec.salud.gob.mx/descargas/gpc/CatalogoMaestro/421IMSS_421_11_Factores_riesgo_cardiovascular/IMSS_421_11_RIESGOCARDIOVASCULAR.pdf</w:t>
        </w:r>
      </w:hyperlink>
    </w:p>
    <w:p w:rsidR="006C0851" w:rsidRPr="006C0851" w:rsidRDefault="006C0851" w:rsidP="006C0851">
      <w:pPr>
        <w:spacing w:line="360" w:lineRule="auto"/>
        <w:ind w:left="851" w:hanging="851"/>
        <w:jc w:val="both"/>
        <w:rPr>
          <w:rFonts w:ascii="Times New Roman" w:hAnsi="Times New Roman" w:cs="Times New Roman"/>
          <w:sz w:val="24"/>
          <w:szCs w:val="24"/>
          <w:lang w:val="en-US"/>
        </w:rPr>
      </w:pPr>
      <w:r w:rsidRPr="006C0851">
        <w:rPr>
          <w:rFonts w:ascii="Times New Roman" w:hAnsi="Times New Roman" w:cs="Times New Roman"/>
          <w:sz w:val="24"/>
          <w:szCs w:val="24"/>
          <w:lang w:val="en-US"/>
        </w:rPr>
        <w:t xml:space="preserve">Secretaría de Salud (2015). SINAVE/DGE/SALUD/Panorama Epidemiológico y Estadístico de la Mortalidad en México 2011, México. Recuperado de: </w:t>
      </w:r>
      <w:hyperlink r:id="rId25" w:history="1">
        <w:r w:rsidRPr="006C0851">
          <w:rPr>
            <w:rFonts w:ascii="Times New Roman" w:hAnsi="Times New Roman" w:cs="Times New Roman"/>
            <w:sz w:val="24"/>
            <w:szCs w:val="24"/>
            <w:lang w:val="en-US"/>
          </w:rPr>
          <w:t>http://www.epidemiologia.salud.gob.mx/doctos/infoepid/publicaciones/mortalidad/PEEMortalidad_VE2011.pdf</w:t>
        </w:r>
      </w:hyperlink>
    </w:p>
    <w:p w:rsidR="006C0851" w:rsidRPr="006C0851" w:rsidRDefault="006C0851" w:rsidP="006C0851">
      <w:pPr>
        <w:spacing w:line="360" w:lineRule="auto"/>
        <w:ind w:left="851" w:hanging="851"/>
        <w:jc w:val="both"/>
        <w:rPr>
          <w:rFonts w:ascii="Times New Roman" w:hAnsi="Times New Roman" w:cs="Times New Roman"/>
          <w:sz w:val="24"/>
          <w:szCs w:val="24"/>
          <w:lang w:val="en-US"/>
        </w:rPr>
      </w:pPr>
      <w:proofErr w:type="spellStart"/>
      <w:r w:rsidRPr="006C0851">
        <w:rPr>
          <w:rFonts w:ascii="Times New Roman" w:hAnsi="Times New Roman" w:cs="Times New Roman"/>
          <w:sz w:val="24"/>
          <w:szCs w:val="24"/>
          <w:lang w:val="en-US"/>
        </w:rPr>
        <w:t>Shoaibi</w:t>
      </w:r>
      <w:proofErr w:type="spellEnd"/>
      <w:r w:rsidRPr="006C0851">
        <w:rPr>
          <w:rFonts w:ascii="Times New Roman" w:hAnsi="Times New Roman" w:cs="Times New Roman"/>
          <w:sz w:val="24"/>
          <w:szCs w:val="24"/>
          <w:lang w:val="en-US"/>
        </w:rPr>
        <w:t xml:space="preserve">, A., </w:t>
      </w:r>
      <w:proofErr w:type="spellStart"/>
      <w:r w:rsidRPr="006C0851">
        <w:rPr>
          <w:rFonts w:ascii="Times New Roman" w:hAnsi="Times New Roman" w:cs="Times New Roman"/>
          <w:sz w:val="24"/>
          <w:szCs w:val="24"/>
          <w:lang w:val="en-US"/>
        </w:rPr>
        <w:t>Ghandour</w:t>
      </w:r>
      <w:proofErr w:type="spellEnd"/>
      <w:r w:rsidRPr="006C0851">
        <w:rPr>
          <w:rFonts w:ascii="Times New Roman" w:hAnsi="Times New Roman" w:cs="Times New Roman"/>
          <w:sz w:val="24"/>
          <w:szCs w:val="24"/>
          <w:lang w:val="en-US"/>
        </w:rPr>
        <w:t xml:space="preserve">, R., </w:t>
      </w:r>
      <w:proofErr w:type="spellStart"/>
      <w:r w:rsidRPr="006C0851">
        <w:rPr>
          <w:rFonts w:ascii="Times New Roman" w:hAnsi="Times New Roman" w:cs="Times New Roman"/>
          <w:sz w:val="24"/>
          <w:szCs w:val="24"/>
          <w:lang w:val="en-US"/>
        </w:rPr>
        <w:t>Khatib</w:t>
      </w:r>
      <w:proofErr w:type="spellEnd"/>
      <w:r w:rsidRPr="006C0851">
        <w:rPr>
          <w:rFonts w:ascii="Times New Roman" w:hAnsi="Times New Roman" w:cs="Times New Roman"/>
          <w:sz w:val="24"/>
          <w:szCs w:val="24"/>
          <w:lang w:val="en-US"/>
        </w:rPr>
        <w:t xml:space="preserve">, R., Mason, H., O´Flaherty, M., </w:t>
      </w:r>
      <w:proofErr w:type="spellStart"/>
      <w:r w:rsidRPr="006C0851">
        <w:rPr>
          <w:rFonts w:ascii="Times New Roman" w:hAnsi="Times New Roman" w:cs="Times New Roman"/>
          <w:sz w:val="24"/>
          <w:szCs w:val="24"/>
          <w:lang w:val="en-US"/>
        </w:rPr>
        <w:t>Capewell</w:t>
      </w:r>
      <w:proofErr w:type="spellEnd"/>
      <w:r w:rsidRPr="006C0851">
        <w:rPr>
          <w:rFonts w:ascii="Times New Roman" w:hAnsi="Times New Roman" w:cs="Times New Roman"/>
          <w:sz w:val="24"/>
          <w:szCs w:val="24"/>
          <w:lang w:val="en-US"/>
        </w:rPr>
        <w:t xml:space="preserve"> S. </w:t>
      </w:r>
      <w:proofErr w:type="gramStart"/>
      <w:r w:rsidRPr="006C0851">
        <w:rPr>
          <w:rFonts w:ascii="Times New Roman" w:hAnsi="Times New Roman" w:cs="Times New Roman"/>
          <w:sz w:val="24"/>
          <w:szCs w:val="24"/>
          <w:lang w:val="en-US"/>
        </w:rPr>
        <w:t>et</w:t>
      </w:r>
      <w:proofErr w:type="gramEnd"/>
      <w:r w:rsidRPr="006C0851">
        <w:rPr>
          <w:rFonts w:ascii="Times New Roman" w:hAnsi="Times New Roman" w:cs="Times New Roman"/>
          <w:sz w:val="24"/>
          <w:szCs w:val="24"/>
          <w:lang w:val="en-US"/>
        </w:rPr>
        <w:t xml:space="preserve">. </w:t>
      </w:r>
      <w:proofErr w:type="gramStart"/>
      <w:r w:rsidRPr="006C0851">
        <w:rPr>
          <w:rFonts w:ascii="Times New Roman" w:hAnsi="Times New Roman" w:cs="Times New Roman"/>
          <w:sz w:val="24"/>
          <w:szCs w:val="24"/>
          <w:lang w:val="en-US"/>
        </w:rPr>
        <w:t>al. (2013).</w:t>
      </w:r>
      <w:proofErr w:type="gramEnd"/>
      <w:r w:rsidRPr="006C0851">
        <w:rPr>
          <w:rFonts w:ascii="Times New Roman" w:hAnsi="Times New Roman" w:cs="Times New Roman"/>
          <w:sz w:val="24"/>
          <w:szCs w:val="24"/>
          <w:lang w:val="en-US"/>
        </w:rPr>
        <w:t xml:space="preserve"> Salt reduction as a population-based intervention for the prevention of coronary heart diseases: an economic assessment. </w:t>
      </w:r>
      <w:proofErr w:type="gramStart"/>
      <w:r w:rsidRPr="006C0851">
        <w:rPr>
          <w:rFonts w:ascii="Times New Roman" w:hAnsi="Times New Roman" w:cs="Times New Roman"/>
          <w:sz w:val="24"/>
          <w:szCs w:val="24"/>
          <w:lang w:val="en-US"/>
        </w:rPr>
        <w:t>Lancet, 382(S33).</w:t>
      </w:r>
      <w:proofErr w:type="gramEnd"/>
      <w:r w:rsidRPr="006C0851">
        <w:rPr>
          <w:rFonts w:ascii="Times New Roman" w:hAnsi="Times New Roman" w:cs="Times New Roman"/>
          <w:sz w:val="24"/>
          <w:szCs w:val="24"/>
          <w:lang w:val="en-US"/>
        </w:rPr>
        <w:t xml:space="preserve"> </w:t>
      </w:r>
      <w:proofErr w:type="spellStart"/>
      <w:proofErr w:type="gramStart"/>
      <w:r w:rsidRPr="006C0851">
        <w:rPr>
          <w:rFonts w:ascii="Times New Roman" w:hAnsi="Times New Roman" w:cs="Times New Roman"/>
          <w:sz w:val="24"/>
          <w:szCs w:val="24"/>
          <w:lang w:val="en-US"/>
        </w:rPr>
        <w:t>doi</w:t>
      </w:r>
      <w:proofErr w:type="spellEnd"/>
      <w:proofErr w:type="gramEnd"/>
      <w:r w:rsidRPr="006C0851">
        <w:rPr>
          <w:rFonts w:ascii="Times New Roman" w:hAnsi="Times New Roman" w:cs="Times New Roman"/>
          <w:sz w:val="24"/>
          <w:szCs w:val="24"/>
          <w:lang w:val="en-US"/>
        </w:rPr>
        <w:t xml:space="preserve">: </w:t>
      </w:r>
      <w:hyperlink r:id="rId26" w:history="1">
        <w:r w:rsidRPr="006C0851">
          <w:rPr>
            <w:rFonts w:ascii="Times New Roman" w:hAnsi="Times New Roman" w:cs="Times New Roman"/>
            <w:sz w:val="24"/>
            <w:szCs w:val="24"/>
            <w:lang w:val="en-US"/>
          </w:rPr>
          <w:t>http://dx.doi.org/10.1016/S0140-6736(13)62605-7</w:t>
        </w:r>
      </w:hyperlink>
    </w:p>
    <w:p w:rsidR="006C0851" w:rsidRPr="006C0851" w:rsidRDefault="006C0851" w:rsidP="006C0851">
      <w:pPr>
        <w:spacing w:line="360" w:lineRule="auto"/>
        <w:ind w:left="851" w:hanging="851"/>
        <w:jc w:val="both"/>
        <w:rPr>
          <w:rFonts w:ascii="Times New Roman" w:hAnsi="Times New Roman" w:cs="Times New Roman"/>
          <w:sz w:val="24"/>
          <w:szCs w:val="24"/>
          <w:lang w:val="en-US"/>
        </w:rPr>
      </w:pPr>
      <w:proofErr w:type="spellStart"/>
      <w:proofErr w:type="gramStart"/>
      <w:r w:rsidRPr="006C0851">
        <w:rPr>
          <w:rFonts w:ascii="Times New Roman" w:hAnsi="Times New Roman" w:cs="Times New Roman"/>
          <w:sz w:val="24"/>
          <w:szCs w:val="24"/>
          <w:lang w:val="en-US"/>
        </w:rPr>
        <w:lastRenderedPageBreak/>
        <w:t>Stolarz-Skrzypek</w:t>
      </w:r>
      <w:proofErr w:type="spellEnd"/>
      <w:r w:rsidRPr="006C0851">
        <w:rPr>
          <w:rFonts w:ascii="Times New Roman" w:hAnsi="Times New Roman" w:cs="Times New Roman"/>
          <w:sz w:val="24"/>
          <w:szCs w:val="24"/>
          <w:lang w:val="en-US"/>
        </w:rPr>
        <w:t xml:space="preserve">, K., Kuznetsova, T., Thijs, L., </w:t>
      </w:r>
      <w:proofErr w:type="spellStart"/>
      <w:r w:rsidRPr="006C0851">
        <w:rPr>
          <w:rFonts w:ascii="Times New Roman" w:hAnsi="Times New Roman" w:cs="Times New Roman"/>
          <w:sz w:val="24"/>
          <w:szCs w:val="24"/>
          <w:lang w:val="en-US"/>
        </w:rPr>
        <w:t>Tikhonoff</w:t>
      </w:r>
      <w:proofErr w:type="spellEnd"/>
      <w:r w:rsidRPr="006C0851">
        <w:rPr>
          <w:rFonts w:ascii="Times New Roman" w:hAnsi="Times New Roman" w:cs="Times New Roman"/>
          <w:sz w:val="24"/>
          <w:szCs w:val="24"/>
          <w:lang w:val="en-US"/>
        </w:rPr>
        <w:t xml:space="preserve">, V., </w:t>
      </w:r>
      <w:proofErr w:type="spellStart"/>
      <w:r w:rsidRPr="006C0851">
        <w:rPr>
          <w:rFonts w:ascii="Times New Roman" w:hAnsi="Times New Roman" w:cs="Times New Roman"/>
          <w:sz w:val="24"/>
          <w:szCs w:val="24"/>
          <w:lang w:val="en-US"/>
        </w:rPr>
        <w:t>Seidlerová</w:t>
      </w:r>
      <w:proofErr w:type="spellEnd"/>
      <w:r w:rsidRPr="006C0851">
        <w:rPr>
          <w:rFonts w:ascii="Times New Roman" w:hAnsi="Times New Roman" w:cs="Times New Roman"/>
          <w:sz w:val="24"/>
          <w:szCs w:val="24"/>
          <w:lang w:val="en-US"/>
        </w:rPr>
        <w:t xml:space="preserve">, J., </w:t>
      </w:r>
      <w:proofErr w:type="spellStart"/>
      <w:r w:rsidRPr="006C0851">
        <w:rPr>
          <w:rFonts w:ascii="Times New Roman" w:hAnsi="Times New Roman" w:cs="Times New Roman"/>
          <w:sz w:val="24"/>
          <w:szCs w:val="24"/>
          <w:lang w:val="en-US"/>
        </w:rPr>
        <w:t>Richart</w:t>
      </w:r>
      <w:proofErr w:type="spellEnd"/>
      <w:r w:rsidRPr="006C0851">
        <w:rPr>
          <w:rFonts w:ascii="Times New Roman" w:hAnsi="Times New Roman" w:cs="Times New Roman"/>
          <w:sz w:val="24"/>
          <w:szCs w:val="24"/>
          <w:lang w:val="en-US"/>
        </w:rPr>
        <w:t>, T. et al. (2011).</w:t>
      </w:r>
      <w:proofErr w:type="gramEnd"/>
      <w:r w:rsidRPr="006C0851">
        <w:rPr>
          <w:rFonts w:ascii="Times New Roman" w:hAnsi="Times New Roman" w:cs="Times New Roman"/>
          <w:sz w:val="24"/>
          <w:szCs w:val="24"/>
          <w:lang w:val="en-US"/>
        </w:rPr>
        <w:t xml:space="preserve"> Fatal and nonfatal outcomes, incidence of </w:t>
      </w:r>
      <w:proofErr w:type="gramStart"/>
      <w:r w:rsidRPr="006C0851">
        <w:rPr>
          <w:rFonts w:ascii="Times New Roman" w:hAnsi="Times New Roman" w:cs="Times New Roman"/>
          <w:sz w:val="24"/>
          <w:szCs w:val="24"/>
          <w:lang w:val="en-US"/>
        </w:rPr>
        <w:t>hypertension,</w:t>
      </w:r>
      <w:proofErr w:type="gramEnd"/>
      <w:r w:rsidRPr="006C0851">
        <w:rPr>
          <w:rFonts w:ascii="Times New Roman" w:hAnsi="Times New Roman" w:cs="Times New Roman"/>
          <w:sz w:val="24"/>
          <w:szCs w:val="24"/>
          <w:lang w:val="en-US"/>
        </w:rPr>
        <w:t xml:space="preserve"> and blood pressure changes in relation to urinary sodium excretion. JAMA, 305(17), 1777-1785. </w:t>
      </w:r>
      <w:proofErr w:type="spellStart"/>
      <w:proofErr w:type="gramStart"/>
      <w:r w:rsidRPr="006C0851">
        <w:rPr>
          <w:rFonts w:ascii="Times New Roman" w:hAnsi="Times New Roman" w:cs="Times New Roman"/>
          <w:sz w:val="24"/>
          <w:szCs w:val="24"/>
          <w:lang w:val="en-US"/>
        </w:rPr>
        <w:t>doi</w:t>
      </w:r>
      <w:proofErr w:type="spellEnd"/>
      <w:proofErr w:type="gramEnd"/>
      <w:r w:rsidRPr="006C0851">
        <w:rPr>
          <w:rFonts w:ascii="Times New Roman" w:hAnsi="Times New Roman" w:cs="Times New Roman"/>
          <w:sz w:val="24"/>
          <w:szCs w:val="24"/>
          <w:lang w:val="en-US"/>
        </w:rPr>
        <w:t>: 10.1001/jama.2011.5740.</w:t>
      </w:r>
    </w:p>
    <w:p w:rsidR="006C0851" w:rsidRDefault="006C0851" w:rsidP="006C0851">
      <w:pPr>
        <w:spacing w:line="360" w:lineRule="auto"/>
        <w:ind w:left="851" w:hanging="851"/>
        <w:jc w:val="both"/>
        <w:rPr>
          <w:rFonts w:ascii="Times New Roman" w:hAnsi="Times New Roman" w:cs="Times New Roman"/>
          <w:sz w:val="24"/>
          <w:szCs w:val="24"/>
        </w:rPr>
      </w:pPr>
      <w:proofErr w:type="spellStart"/>
      <w:proofErr w:type="gramStart"/>
      <w:r w:rsidRPr="006C0851">
        <w:rPr>
          <w:rFonts w:ascii="Times New Roman" w:hAnsi="Times New Roman" w:cs="Times New Roman"/>
          <w:sz w:val="24"/>
          <w:szCs w:val="24"/>
          <w:lang w:val="en-US"/>
        </w:rPr>
        <w:t>Strazzullo</w:t>
      </w:r>
      <w:proofErr w:type="spellEnd"/>
      <w:r w:rsidRPr="006C0851">
        <w:rPr>
          <w:rFonts w:ascii="Times New Roman" w:hAnsi="Times New Roman" w:cs="Times New Roman"/>
          <w:sz w:val="24"/>
          <w:szCs w:val="24"/>
          <w:lang w:val="en-US"/>
        </w:rPr>
        <w:t xml:space="preserve">, P., </w:t>
      </w:r>
      <w:proofErr w:type="spellStart"/>
      <w:r w:rsidRPr="006C0851">
        <w:rPr>
          <w:rFonts w:ascii="Times New Roman" w:hAnsi="Times New Roman" w:cs="Times New Roman"/>
          <w:sz w:val="24"/>
          <w:szCs w:val="24"/>
          <w:lang w:val="en-US"/>
        </w:rPr>
        <w:t>D'Elia</w:t>
      </w:r>
      <w:proofErr w:type="spellEnd"/>
      <w:r w:rsidRPr="006C0851">
        <w:rPr>
          <w:rFonts w:ascii="Times New Roman" w:hAnsi="Times New Roman" w:cs="Times New Roman"/>
          <w:sz w:val="24"/>
          <w:szCs w:val="24"/>
          <w:lang w:val="en-US"/>
        </w:rPr>
        <w:t xml:space="preserve">, L., </w:t>
      </w:r>
      <w:proofErr w:type="spellStart"/>
      <w:r w:rsidRPr="006C0851">
        <w:rPr>
          <w:rFonts w:ascii="Times New Roman" w:hAnsi="Times New Roman" w:cs="Times New Roman"/>
          <w:sz w:val="24"/>
          <w:szCs w:val="24"/>
          <w:lang w:val="en-US"/>
        </w:rPr>
        <w:t>Kandala</w:t>
      </w:r>
      <w:proofErr w:type="spellEnd"/>
      <w:r w:rsidRPr="006C0851">
        <w:rPr>
          <w:rFonts w:ascii="Times New Roman" w:hAnsi="Times New Roman" w:cs="Times New Roman"/>
          <w:sz w:val="24"/>
          <w:szCs w:val="24"/>
          <w:lang w:val="en-US"/>
        </w:rPr>
        <w:t xml:space="preserve">, N. B. &amp; </w:t>
      </w:r>
      <w:proofErr w:type="spellStart"/>
      <w:r w:rsidRPr="006C0851">
        <w:rPr>
          <w:rFonts w:ascii="Times New Roman" w:hAnsi="Times New Roman" w:cs="Times New Roman"/>
          <w:sz w:val="24"/>
          <w:szCs w:val="24"/>
          <w:lang w:val="en-US"/>
        </w:rPr>
        <w:t>Cappuccio</w:t>
      </w:r>
      <w:proofErr w:type="spellEnd"/>
      <w:r w:rsidRPr="006C0851">
        <w:rPr>
          <w:rFonts w:ascii="Times New Roman" w:hAnsi="Times New Roman" w:cs="Times New Roman"/>
          <w:sz w:val="24"/>
          <w:szCs w:val="24"/>
          <w:lang w:val="en-US"/>
        </w:rPr>
        <w:t>, F. P. (2009).</w:t>
      </w:r>
      <w:proofErr w:type="gramEnd"/>
      <w:r w:rsidRPr="006C0851">
        <w:rPr>
          <w:rFonts w:ascii="Times New Roman" w:hAnsi="Times New Roman" w:cs="Times New Roman"/>
          <w:sz w:val="24"/>
          <w:szCs w:val="24"/>
          <w:lang w:val="en-US"/>
        </w:rPr>
        <w:t xml:space="preserve"> Salt intake, stroke, and cardiovascular disease: </w:t>
      </w:r>
      <w:proofErr w:type="spellStart"/>
      <w:r w:rsidRPr="006C0851">
        <w:rPr>
          <w:rFonts w:ascii="Times New Roman" w:hAnsi="Times New Roman" w:cs="Times New Roman"/>
          <w:sz w:val="24"/>
          <w:szCs w:val="24"/>
          <w:lang w:val="en-US"/>
        </w:rPr>
        <w:t>metaanalysis</w:t>
      </w:r>
      <w:proofErr w:type="spellEnd"/>
      <w:r w:rsidRPr="006C0851">
        <w:rPr>
          <w:rFonts w:ascii="Times New Roman" w:hAnsi="Times New Roman" w:cs="Times New Roman"/>
          <w:sz w:val="24"/>
          <w:szCs w:val="24"/>
          <w:lang w:val="en-US"/>
        </w:rPr>
        <w:t xml:space="preserve"> of prospective studies. </w:t>
      </w:r>
      <w:r w:rsidRPr="006C0851">
        <w:rPr>
          <w:rFonts w:ascii="Times New Roman" w:hAnsi="Times New Roman" w:cs="Times New Roman"/>
          <w:sz w:val="24"/>
          <w:szCs w:val="24"/>
          <w:lang w:val="en-US"/>
        </w:rPr>
        <w:tab/>
      </w:r>
      <w:proofErr w:type="gramStart"/>
      <w:r w:rsidRPr="006C0851">
        <w:rPr>
          <w:rFonts w:ascii="Times New Roman" w:hAnsi="Times New Roman" w:cs="Times New Roman"/>
          <w:sz w:val="24"/>
          <w:szCs w:val="24"/>
          <w:lang w:val="en-US"/>
        </w:rPr>
        <w:t>BMJ, 339, b4567.</w:t>
      </w:r>
      <w:proofErr w:type="gramEnd"/>
      <w:r w:rsidRPr="006C0851">
        <w:rPr>
          <w:rFonts w:ascii="Times New Roman" w:hAnsi="Times New Roman" w:cs="Times New Roman"/>
          <w:sz w:val="24"/>
          <w:szCs w:val="24"/>
          <w:lang w:val="en-US"/>
        </w:rPr>
        <w:t xml:space="preserve"> </w:t>
      </w:r>
      <w:proofErr w:type="spellStart"/>
      <w:proofErr w:type="gramStart"/>
      <w:r w:rsidRPr="006C0851">
        <w:rPr>
          <w:rFonts w:ascii="Times New Roman" w:hAnsi="Times New Roman" w:cs="Times New Roman"/>
          <w:sz w:val="24"/>
          <w:szCs w:val="24"/>
          <w:lang w:val="en-US"/>
        </w:rPr>
        <w:t>doi</w:t>
      </w:r>
      <w:proofErr w:type="spellEnd"/>
      <w:proofErr w:type="gramEnd"/>
      <w:r w:rsidRPr="006C0851">
        <w:rPr>
          <w:rFonts w:ascii="Times New Roman" w:hAnsi="Times New Roman" w:cs="Times New Roman"/>
          <w:sz w:val="24"/>
          <w:szCs w:val="24"/>
          <w:lang w:val="en-US"/>
        </w:rPr>
        <w:t>: 10.1136/bmj.b4567</w:t>
      </w:r>
    </w:p>
    <w:p w:rsidR="00D317D3" w:rsidRPr="00E66BDC" w:rsidRDefault="00D317D3" w:rsidP="00E66BDC">
      <w:pPr>
        <w:spacing w:line="360" w:lineRule="auto"/>
        <w:ind w:left="851" w:hanging="851"/>
        <w:jc w:val="both"/>
        <w:rPr>
          <w:rFonts w:ascii="Times New Roman" w:hAnsi="Times New Roman" w:cs="Times New Roman"/>
          <w:sz w:val="24"/>
          <w:szCs w:val="24"/>
        </w:rPr>
      </w:pPr>
      <w:r w:rsidRPr="00E66BDC">
        <w:rPr>
          <w:rFonts w:ascii="Times New Roman" w:hAnsi="Times New Roman" w:cs="Times New Roman"/>
          <w:sz w:val="24"/>
          <w:szCs w:val="24"/>
        </w:rPr>
        <w:t>Secretaría de Salud (2009). Norma Oficial Mexicana NOM-030-SSA2-2009</w:t>
      </w:r>
      <w:r w:rsidR="00106547" w:rsidRPr="00E66BDC">
        <w:rPr>
          <w:rFonts w:ascii="Times New Roman" w:hAnsi="Times New Roman" w:cs="Times New Roman"/>
          <w:sz w:val="24"/>
          <w:szCs w:val="24"/>
        </w:rPr>
        <w:t>.</w:t>
      </w:r>
      <w:r w:rsidRPr="00E66BDC">
        <w:rPr>
          <w:rFonts w:ascii="Times New Roman" w:hAnsi="Times New Roman" w:cs="Times New Roman"/>
          <w:sz w:val="24"/>
          <w:szCs w:val="24"/>
        </w:rPr>
        <w:t xml:space="preserve"> Para la prevención, detección, diagnóstico, tratamiento y control de la hipertensión arterial sistémica, México.</w:t>
      </w:r>
    </w:p>
    <w:p w:rsidR="00D317D3" w:rsidRPr="00E66BDC" w:rsidRDefault="00D317D3" w:rsidP="00E66BDC">
      <w:pPr>
        <w:spacing w:line="360" w:lineRule="auto"/>
        <w:ind w:left="851" w:hanging="851"/>
        <w:jc w:val="both"/>
        <w:rPr>
          <w:rFonts w:ascii="Times New Roman" w:hAnsi="Times New Roman" w:cs="Times New Roman"/>
          <w:sz w:val="24"/>
          <w:szCs w:val="24"/>
        </w:rPr>
      </w:pPr>
      <w:r w:rsidRPr="00E66BDC">
        <w:rPr>
          <w:rFonts w:ascii="Times New Roman" w:hAnsi="Times New Roman" w:cs="Times New Roman"/>
          <w:sz w:val="24"/>
          <w:szCs w:val="24"/>
        </w:rPr>
        <w:t>Secretaría de Salud (2010). Norma Oficial Mexicana NOM-015-SSA2-2010</w:t>
      </w:r>
      <w:r w:rsidR="00106547" w:rsidRPr="00E66BDC">
        <w:rPr>
          <w:rFonts w:ascii="Times New Roman" w:hAnsi="Times New Roman" w:cs="Times New Roman"/>
          <w:sz w:val="24"/>
          <w:szCs w:val="24"/>
        </w:rPr>
        <w:t>.</w:t>
      </w:r>
      <w:r w:rsidRPr="00E66BDC">
        <w:rPr>
          <w:rFonts w:ascii="Times New Roman" w:hAnsi="Times New Roman" w:cs="Times New Roman"/>
          <w:sz w:val="24"/>
          <w:szCs w:val="24"/>
        </w:rPr>
        <w:t xml:space="preserve"> Para la prevención, tratamiento y control de la diabetes mellitus, México.</w:t>
      </w:r>
    </w:p>
    <w:p w:rsidR="00D317D3" w:rsidRPr="00E66BDC" w:rsidRDefault="00D317D3" w:rsidP="00E66BDC">
      <w:pPr>
        <w:spacing w:line="360" w:lineRule="auto"/>
        <w:ind w:left="851" w:hanging="851"/>
        <w:jc w:val="both"/>
        <w:rPr>
          <w:rFonts w:ascii="Times New Roman" w:hAnsi="Times New Roman" w:cs="Times New Roman"/>
          <w:bCs/>
          <w:sz w:val="24"/>
          <w:szCs w:val="24"/>
          <w:lang w:val="es-ES"/>
        </w:rPr>
      </w:pPr>
      <w:r w:rsidRPr="00E66BDC">
        <w:rPr>
          <w:rFonts w:ascii="Times New Roman" w:hAnsi="Times New Roman" w:cs="Times New Roman"/>
          <w:bCs/>
          <w:sz w:val="24"/>
          <w:szCs w:val="24"/>
          <w:lang w:val="es-ES"/>
        </w:rPr>
        <w:t xml:space="preserve">Secretaría de Salud (2010). Detección y estratificación de factores de riesgo cardiovascular, México. </w:t>
      </w:r>
    </w:p>
    <w:p w:rsidR="00D317D3" w:rsidRDefault="00D317D3" w:rsidP="00E66BDC">
      <w:pPr>
        <w:spacing w:line="360" w:lineRule="auto"/>
        <w:ind w:left="851" w:hanging="851"/>
        <w:jc w:val="both"/>
        <w:rPr>
          <w:rFonts w:ascii="Times New Roman" w:hAnsi="Times New Roman" w:cs="Times New Roman"/>
          <w:bCs/>
          <w:sz w:val="24"/>
          <w:szCs w:val="24"/>
          <w:lang w:val="es-ES"/>
        </w:rPr>
      </w:pPr>
      <w:r w:rsidRPr="00E66BDC">
        <w:rPr>
          <w:rFonts w:ascii="Times New Roman" w:hAnsi="Times New Roman" w:cs="Times New Roman"/>
          <w:bCs/>
          <w:sz w:val="24"/>
          <w:szCs w:val="24"/>
          <w:lang w:val="es-ES"/>
        </w:rPr>
        <w:t xml:space="preserve">Secretaría de Salud. Diagnóstico y tratamiento de </w:t>
      </w:r>
      <w:proofErr w:type="spellStart"/>
      <w:r w:rsidRPr="00E66BDC">
        <w:rPr>
          <w:rFonts w:ascii="Times New Roman" w:hAnsi="Times New Roman" w:cs="Times New Roman"/>
          <w:bCs/>
          <w:sz w:val="24"/>
          <w:szCs w:val="24"/>
          <w:lang w:val="es-ES"/>
        </w:rPr>
        <w:t>dislipidemias</w:t>
      </w:r>
      <w:proofErr w:type="spellEnd"/>
      <w:r w:rsidRPr="00E66BDC">
        <w:rPr>
          <w:rFonts w:ascii="Times New Roman" w:hAnsi="Times New Roman" w:cs="Times New Roman"/>
          <w:bCs/>
          <w:sz w:val="24"/>
          <w:szCs w:val="24"/>
          <w:lang w:val="es-ES"/>
        </w:rPr>
        <w:t xml:space="preserve"> (2012), México.</w:t>
      </w:r>
    </w:p>
    <w:p w:rsidR="00101353" w:rsidRPr="00101353" w:rsidRDefault="00101353" w:rsidP="00101353">
      <w:pPr>
        <w:spacing w:line="360" w:lineRule="auto"/>
        <w:ind w:left="851" w:hanging="851"/>
        <w:jc w:val="both"/>
        <w:rPr>
          <w:rFonts w:ascii="Times New Roman" w:hAnsi="Times New Roman" w:cs="Times New Roman"/>
          <w:bCs/>
          <w:sz w:val="24"/>
          <w:szCs w:val="24"/>
          <w:lang w:val="es-ES"/>
        </w:rPr>
      </w:pPr>
      <w:r w:rsidRPr="00101353">
        <w:rPr>
          <w:rFonts w:ascii="Times New Roman" w:hAnsi="Times New Roman" w:cs="Times New Roman"/>
          <w:bCs/>
          <w:sz w:val="24"/>
          <w:szCs w:val="24"/>
          <w:lang w:val="es-ES"/>
        </w:rPr>
        <w:t xml:space="preserve">Thomas, M. C., Moran, J., </w:t>
      </w:r>
      <w:proofErr w:type="spellStart"/>
      <w:r w:rsidRPr="00101353">
        <w:rPr>
          <w:rFonts w:ascii="Times New Roman" w:hAnsi="Times New Roman" w:cs="Times New Roman"/>
          <w:bCs/>
          <w:sz w:val="24"/>
          <w:szCs w:val="24"/>
          <w:lang w:val="es-ES"/>
        </w:rPr>
        <w:t>Forsblom</w:t>
      </w:r>
      <w:proofErr w:type="spellEnd"/>
      <w:r w:rsidRPr="00101353">
        <w:rPr>
          <w:rFonts w:ascii="Times New Roman" w:hAnsi="Times New Roman" w:cs="Times New Roman"/>
          <w:bCs/>
          <w:sz w:val="24"/>
          <w:szCs w:val="24"/>
          <w:lang w:val="es-ES"/>
        </w:rPr>
        <w:t xml:space="preserve">, C., </w:t>
      </w:r>
      <w:proofErr w:type="spellStart"/>
      <w:r w:rsidRPr="00101353">
        <w:rPr>
          <w:rFonts w:ascii="Times New Roman" w:hAnsi="Times New Roman" w:cs="Times New Roman"/>
          <w:bCs/>
          <w:sz w:val="24"/>
          <w:szCs w:val="24"/>
          <w:lang w:val="es-ES"/>
        </w:rPr>
        <w:t>Hartjutsalo</w:t>
      </w:r>
      <w:proofErr w:type="spellEnd"/>
      <w:r w:rsidRPr="00101353">
        <w:rPr>
          <w:rFonts w:ascii="Times New Roman" w:hAnsi="Times New Roman" w:cs="Times New Roman"/>
          <w:bCs/>
          <w:sz w:val="24"/>
          <w:szCs w:val="24"/>
          <w:lang w:val="es-ES"/>
        </w:rPr>
        <w:t xml:space="preserve">, V., Thorn, L., </w:t>
      </w:r>
      <w:proofErr w:type="spellStart"/>
      <w:r w:rsidRPr="00101353">
        <w:rPr>
          <w:rFonts w:ascii="Times New Roman" w:hAnsi="Times New Roman" w:cs="Times New Roman"/>
          <w:bCs/>
          <w:sz w:val="24"/>
          <w:szCs w:val="24"/>
          <w:lang w:val="es-ES"/>
        </w:rPr>
        <w:t>Ahola</w:t>
      </w:r>
      <w:proofErr w:type="spellEnd"/>
      <w:r w:rsidRPr="00101353">
        <w:rPr>
          <w:rFonts w:ascii="Times New Roman" w:hAnsi="Times New Roman" w:cs="Times New Roman"/>
          <w:bCs/>
          <w:sz w:val="24"/>
          <w:szCs w:val="24"/>
          <w:lang w:val="es-ES"/>
        </w:rPr>
        <w:t xml:space="preserve">, A. et al. (2011). The association between dietary sodium intake, ESRD, and all-cause mortality in patients with type 1 diabetes. Diabetes Care, 34, 861–866. </w:t>
      </w:r>
      <w:proofErr w:type="spellStart"/>
      <w:proofErr w:type="gramStart"/>
      <w:r w:rsidRPr="00101353">
        <w:rPr>
          <w:rFonts w:ascii="Times New Roman" w:hAnsi="Times New Roman" w:cs="Times New Roman"/>
          <w:bCs/>
          <w:sz w:val="24"/>
          <w:szCs w:val="24"/>
          <w:lang w:val="es-ES"/>
        </w:rPr>
        <w:t>doi</w:t>
      </w:r>
      <w:proofErr w:type="spellEnd"/>
      <w:proofErr w:type="gramEnd"/>
      <w:r w:rsidRPr="00101353">
        <w:rPr>
          <w:rFonts w:ascii="Times New Roman" w:hAnsi="Times New Roman" w:cs="Times New Roman"/>
          <w:bCs/>
          <w:sz w:val="24"/>
          <w:szCs w:val="24"/>
          <w:lang w:val="es-ES"/>
        </w:rPr>
        <w:t>:  10.2337/dc10-1722.</w:t>
      </w:r>
    </w:p>
    <w:p w:rsidR="00101353" w:rsidRDefault="00101353" w:rsidP="00101353">
      <w:pPr>
        <w:spacing w:line="360" w:lineRule="auto"/>
        <w:ind w:left="851" w:hanging="851"/>
        <w:jc w:val="both"/>
        <w:rPr>
          <w:rFonts w:ascii="Times New Roman" w:hAnsi="Times New Roman" w:cs="Times New Roman"/>
          <w:bCs/>
          <w:sz w:val="24"/>
          <w:szCs w:val="24"/>
          <w:lang w:val="es-ES"/>
        </w:rPr>
      </w:pPr>
      <w:proofErr w:type="spellStart"/>
      <w:r w:rsidRPr="00101353">
        <w:rPr>
          <w:rFonts w:ascii="Times New Roman" w:hAnsi="Times New Roman" w:cs="Times New Roman"/>
          <w:bCs/>
          <w:sz w:val="24"/>
          <w:szCs w:val="24"/>
          <w:lang w:val="es-ES"/>
        </w:rPr>
        <w:t>Tikellis</w:t>
      </w:r>
      <w:proofErr w:type="spellEnd"/>
      <w:r w:rsidRPr="00101353">
        <w:rPr>
          <w:rFonts w:ascii="Times New Roman" w:hAnsi="Times New Roman" w:cs="Times New Roman"/>
          <w:bCs/>
          <w:sz w:val="24"/>
          <w:szCs w:val="24"/>
          <w:lang w:val="es-ES"/>
        </w:rPr>
        <w:t xml:space="preserve">, C., Pickering, R. J., </w:t>
      </w:r>
      <w:proofErr w:type="spellStart"/>
      <w:r w:rsidRPr="00101353">
        <w:rPr>
          <w:rFonts w:ascii="Times New Roman" w:hAnsi="Times New Roman" w:cs="Times New Roman"/>
          <w:bCs/>
          <w:sz w:val="24"/>
          <w:szCs w:val="24"/>
          <w:lang w:val="es-ES"/>
        </w:rPr>
        <w:t>Tsorotes</w:t>
      </w:r>
      <w:proofErr w:type="spellEnd"/>
      <w:r w:rsidRPr="00101353">
        <w:rPr>
          <w:rFonts w:ascii="Times New Roman" w:hAnsi="Times New Roman" w:cs="Times New Roman"/>
          <w:bCs/>
          <w:sz w:val="24"/>
          <w:szCs w:val="24"/>
          <w:lang w:val="es-ES"/>
        </w:rPr>
        <w:t xml:space="preserve">, D., </w:t>
      </w:r>
      <w:proofErr w:type="spellStart"/>
      <w:r w:rsidRPr="00101353">
        <w:rPr>
          <w:rFonts w:ascii="Times New Roman" w:hAnsi="Times New Roman" w:cs="Times New Roman"/>
          <w:bCs/>
          <w:sz w:val="24"/>
          <w:szCs w:val="24"/>
          <w:lang w:val="es-ES"/>
        </w:rPr>
        <w:t>Harjutsalo</w:t>
      </w:r>
      <w:proofErr w:type="spellEnd"/>
      <w:r w:rsidRPr="00101353">
        <w:rPr>
          <w:rFonts w:ascii="Times New Roman" w:hAnsi="Times New Roman" w:cs="Times New Roman"/>
          <w:bCs/>
          <w:sz w:val="24"/>
          <w:szCs w:val="24"/>
          <w:lang w:val="es-ES"/>
        </w:rPr>
        <w:t xml:space="preserve">, V., Thorn, L., </w:t>
      </w:r>
      <w:proofErr w:type="spellStart"/>
      <w:r w:rsidRPr="00101353">
        <w:rPr>
          <w:rFonts w:ascii="Times New Roman" w:hAnsi="Times New Roman" w:cs="Times New Roman"/>
          <w:bCs/>
          <w:sz w:val="24"/>
          <w:szCs w:val="24"/>
          <w:lang w:val="es-ES"/>
        </w:rPr>
        <w:t>Ahola</w:t>
      </w:r>
      <w:proofErr w:type="spellEnd"/>
      <w:r w:rsidRPr="00101353">
        <w:rPr>
          <w:rFonts w:ascii="Times New Roman" w:hAnsi="Times New Roman" w:cs="Times New Roman"/>
          <w:bCs/>
          <w:sz w:val="24"/>
          <w:szCs w:val="24"/>
          <w:lang w:val="es-ES"/>
        </w:rPr>
        <w:t xml:space="preserve">, A. et al. (2013). </w:t>
      </w:r>
      <w:proofErr w:type="spellStart"/>
      <w:r w:rsidRPr="00101353">
        <w:rPr>
          <w:rFonts w:ascii="Times New Roman" w:hAnsi="Times New Roman" w:cs="Times New Roman"/>
          <w:bCs/>
          <w:sz w:val="24"/>
          <w:szCs w:val="24"/>
          <w:lang w:val="es-ES"/>
        </w:rPr>
        <w:t>Association</w:t>
      </w:r>
      <w:proofErr w:type="spellEnd"/>
      <w:r w:rsidRPr="00101353">
        <w:rPr>
          <w:rFonts w:ascii="Times New Roman" w:hAnsi="Times New Roman" w:cs="Times New Roman"/>
          <w:bCs/>
          <w:sz w:val="24"/>
          <w:szCs w:val="24"/>
          <w:lang w:val="es-ES"/>
        </w:rPr>
        <w:t xml:space="preserve"> of </w:t>
      </w:r>
      <w:proofErr w:type="spellStart"/>
      <w:r w:rsidRPr="00101353">
        <w:rPr>
          <w:rFonts w:ascii="Times New Roman" w:hAnsi="Times New Roman" w:cs="Times New Roman"/>
          <w:bCs/>
          <w:sz w:val="24"/>
          <w:szCs w:val="24"/>
          <w:lang w:val="es-ES"/>
        </w:rPr>
        <w:t>dietary</w:t>
      </w:r>
      <w:proofErr w:type="spellEnd"/>
      <w:r w:rsidRPr="00101353">
        <w:rPr>
          <w:rFonts w:ascii="Times New Roman" w:hAnsi="Times New Roman" w:cs="Times New Roman"/>
          <w:bCs/>
          <w:sz w:val="24"/>
          <w:szCs w:val="24"/>
          <w:lang w:val="es-ES"/>
        </w:rPr>
        <w:t xml:space="preserve"> </w:t>
      </w:r>
      <w:proofErr w:type="spellStart"/>
      <w:r w:rsidRPr="00101353">
        <w:rPr>
          <w:rFonts w:ascii="Times New Roman" w:hAnsi="Times New Roman" w:cs="Times New Roman"/>
          <w:bCs/>
          <w:sz w:val="24"/>
          <w:szCs w:val="24"/>
          <w:lang w:val="es-ES"/>
        </w:rPr>
        <w:t>sodium</w:t>
      </w:r>
      <w:proofErr w:type="spellEnd"/>
      <w:r w:rsidRPr="00101353">
        <w:rPr>
          <w:rFonts w:ascii="Times New Roman" w:hAnsi="Times New Roman" w:cs="Times New Roman"/>
          <w:bCs/>
          <w:sz w:val="24"/>
          <w:szCs w:val="24"/>
          <w:lang w:val="es-ES"/>
        </w:rPr>
        <w:t xml:space="preserve"> </w:t>
      </w:r>
      <w:proofErr w:type="spellStart"/>
      <w:r w:rsidRPr="00101353">
        <w:rPr>
          <w:rFonts w:ascii="Times New Roman" w:hAnsi="Times New Roman" w:cs="Times New Roman"/>
          <w:bCs/>
          <w:sz w:val="24"/>
          <w:szCs w:val="24"/>
          <w:lang w:val="es-ES"/>
        </w:rPr>
        <w:t>intake</w:t>
      </w:r>
      <w:proofErr w:type="spellEnd"/>
      <w:r w:rsidRPr="00101353">
        <w:rPr>
          <w:rFonts w:ascii="Times New Roman" w:hAnsi="Times New Roman" w:cs="Times New Roman"/>
          <w:bCs/>
          <w:sz w:val="24"/>
          <w:szCs w:val="24"/>
          <w:lang w:val="es-ES"/>
        </w:rPr>
        <w:t xml:space="preserve"> </w:t>
      </w:r>
      <w:proofErr w:type="spellStart"/>
      <w:r w:rsidRPr="00101353">
        <w:rPr>
          <w:rFonts w:ascii="Times New Roman" w:hAnsi="Times New Roman" w:cs="Times New Roman"/>
          <w:bCs/>
          <w:sz w:val="24"/>
          <w:szCs w:val="24"/>
          <w:lang w:val="es-ES"/>
        </w:rPr>
        <w:t>with</w:t>
      </w:r>
      <w:proofErr w:type="spellEnd"/>
      <w:r w:rsidRPr="00101353">
        <w:rPr>
          <w:rFonts w:ascii="Times New Roman" w:hAnsi="Times New Roman" w:cs="Times New Roman"/>
          <w:bCs/>
          <w:sz w:val="24"/>
          <w:szCs w:val="24"/>
          <w:lang w:val="es-ES"/>
        </w:rPr>
        <w:t xml:space="preserve"> </w:t>
      </w:r>
      <w:proofErr w:type="spellStart"/>
      <w:r w:rsidRPr="00101353">
        <w:rPr>
          <w:rFonts w:ascii="Times New Roman" w:hAnsi="Times New Roman" w:cs="Times New Roman"/>
          <w:bCs/>
          <w:sz w:val="24"/>
          <w:szCs w:val="24"/>
          <w:lang w:val="es-ES"/>
        </w:rPr>
        <w:t>atherogenesis</w:t>
      </w:r>
      <w:proofErr w:type="spellEnd"/>
      <w:r w:rsidRPr="00101353">
        <w:rPr>
          <w:rFonts w:ascii="Times New Roman" w:hAnsi="Times New Roman" w:cs="Times New Roman"/>
          <w:bCs/>
          <w:sz w:val="24"/>
          <w:szCs w:val="24"/>
          <w:lang w:val="es-ES"/>
        </w:rPr>
        <w:t xml:space="preserve"> in experimental diabetes and with cardiovascular disease in patients with Type 1 diabetes. </w:t>
      </w:r>
      <w:proofErr w:type="spellStart"/>
      <w:r w:rsidRPr="00101353">
        <w:rPr>
          <w:rFonts w:ascii="Times New Roman" w:hAnsi="Times New Roman" w:cs="Times New Roman"/>
          <w:bCs/>
          <w:sz w:val="24"/>
          <w:szCs w:val="24"/>
          <w:lang w:val="es-ES"/>
        </w:rPr>
        <w:t>Clinical</w:t>
      </w:r>
      <w:proofErr w:type="spellEnd"/>
      <w:r w:rsidRPr="00101353">
        <w:rPr>
          <w:rFonts w:ascii="Times New Roman" w:hAnsi="Times New Roman" w:cs="Times New Roman"/>
          <w:bCs/>
          <w:sz w:val="24"/>
          <w:szCs w:val="24"/>
          <w:lang w:val="es-ES"/>
        </w:rPr>
        <w:t xml:space="preserve"> </w:t>
      </w:r>
      <w:proofErr w:type="spellStart"/>
      <w:r w:rsidRPr="00101353">
        <w:rPr>
          <w:rFonts w:ascii="Times New Roman" w:hAnsi="Times New Roman" w:cs="Times New Roman"/>
          <w:bCs/>
          <w:sz w:val="24"/>
          <w:szCs w:val="24"/>
          <w:lang w:val="es-ES"/>
        </w:rPr>
        <w:t>Science</w:t>
      </w:r>
      <w:proofErr w:type="spellEnd"/>
      <w:r w:rsidRPr="00101353">
        <w:rPr>
          <w:rFonts w:ascii="Times New Roman" w:hAnsi="Times New Roman" w:cs="Times New Roman"/>
          <w:bCs/>
          <w:sz w:val="24"/>
          <w:szCs w:val="24"/>
          <w:lang w:val="es-ES"/>
        </w:rPr>
        <w:t xml:space="preserve"> 124, 617–626 </w:t>
      </w:r>
      <w:proofErr w:type="spellStart"/>
      <w:r w:rsidRPr="00101353">
        <w:rPr>
          <w:rFonts w:ascii="Times New Roman" w:hAnsi="Times New Roman" w:cs="Times New Roman"/>
          <w:bCs/>
          <w:sz w:val="24"/>
          <w:szCs w:val="24"/>
          <w:lang w:val="es-ES"/>
        </w:rPr>
        <w:t>doi</w:t>
      </w:r>
      <w:proofErr w:type="spellEnd"/>
      <w:r w:rsidRPr="00101353">
        <w:rPr>
          <w:rFonts w:ascii="Times New Roman" w:hAnsi="Times New Roman" w:cs="Times New Roman"/>
          <w:bCs/>
          <w:sz w:val="24"/>
          <w:szCs w:val="24"/>
          <w:lang w:val="es-ES"/>
        </w:rPr>
        <w:t>: 10.1042/CS20120352</w:t>
      </w:r>
    </w:p>
    <w:p w:rsidR="00101353" w:rsidRPr="00E66BDC" w:rsidRDefault="00101353" w:rsidP="00101353">
      <w:pPr>
        <w:spacing w:line="360" w:lineRule="auto"/>
        <w:ind w:left="851" w:hanging="851"/>
        <w:jc w:val="both"/>
        <w:rPr>
          <w:rFonts w:ascii="Times New Roman" w:hAnsi="Times New Roman" w:cs="Times New Roman"/>
          <w:bCs/>
          <w:sz w:val="24"/>
          <w:szCs w:val="24"/>
          <w:lang w:val="es-ES"/>
        </w:rPr>
      </w:pPr>
      <w:r w:rsidRPr="00101353">
        <w:rPr>
          <w:rFonts w:ascii="Times New Roman" w:hAnsi="Times New Roman" w:cs="Times New Roman"/>
          <w:bCs/>
          <w:sz w:val="24"/>
          <w:szCs w:val="24"/>
          <w:lang w:val="es-ES"/>
        </w:rPr>
        <w:t xml:space="preserve">U.S. Departments of Agriculture and Health and Human Services (2015 - 2020). Dietary Guidelines for Americans. 8th ed. Recuperado en: </w:t>
      </w:r>
      <w:hyperlink r:id="rId27" w:history="1">
        <w:r w:rsidRPr="00101353">
          <w:rPr>
            <w:rFonts w:ascii="Times New Roman" w:hAnsi="Times New Roman" w:cs="Times New Roman"/>
            <w:bCs/>
            <w:lang w:val="es-ES"/>
          </w:rPr>
          <w:t>http://health.gov/dietaryguidelines/2015/guidelines/</w:t>
        </w:r>
      </w:hyperlink>
    </w:p>
    <w:p w:rsidR="00397744" w:rsidRPr="00E66BDC" w:rsidRDefault="00397744" w:rsidP="00E66BDC">
      <w:pPr>
        <w:spacing w:line="360" w:lineRule="auto"/>
        <w:ind w:left="851" w:hanging="851"/>
        <w:jc w:val="both"/>
        <w:rPr>
          <w:rFonts w:ascii="Times New Roman" w:hAnsi="Times New Roman" w:cs="Times New Roman"/>
          <w:sz w:val="24"/>
          <w:szCs w:val="24"/>
          <w:lang w:val="en-US"/>
        </w:rPr>
      </w:pPr>
      <w:proofErr w:type="spellStart"/>
      <w:r w:rsidRPr="00E66BDC">
        <w:rPr>
          <w:rFonts w:ascii="Times New Roman" w:hAnsi="Times New Roman" w:cs="Times New Roman"/>
          <w:sz w:val="24"/>
          <w:szCs w:val="24"/>
          <w:lang w:val="en-US"/>
        </w:rPr>
        <w:lastRenderedPageBreak/>
        <w:t>Vannucchi</w:t>
      </w:r>
      <w:proofErr w:type="spellEnd"/>
      <w:r w:rsidRPr="00E66BDC">
        <w:rPr>
          <w:rFonts w:ascii="Times New Roman" w:hAnsi="Times New Roman" w:cs="Times New Roman"/>
          <w:sz w:val="24"/>
          <w:szCs w:val="24"/>
          <w:lang w:val="en-US"/>
        </w:rPr>
        <w:t xml:space="preserve">, H., Weingarten, B. M., Masson, L., Cortés, Y., </w:t>
      </w:r>
      <w:proofErr w:type="spellStart"/>
      <w:r w:rsidRPr="00E66BDC">
        <w:rPr>
          <w:rFonts w:ascii="Times New Roman" w:hAnsi="Times New Roman" w:cs="Times New Roman"/>
          <w:sz w:val="24"/>
          <w:szCs w:val="24"/>
          <w:lang w:val="en-US"/>
        </w:rPr>
        <w:t>Sifontes</w:t>
      </w:r>
      <w:proofErr w:type="spellEnd"/>
      <w:r w:rsidRPr="00E66BDC">
        <w:rPr>
          <w:rFonts w:ascii="Times New Roman" w:hAnsi="Times New Roman" w:cs="Times New Roman"/>
          <w:sz w:val="24"/>
          <w:szCs w:val="24"/>
          <w:lang w:val="en-US"/>
        </w:rPr>
        <w:t xml:space="preserve">, Y. &amp; Bourges H. (2011). </w:t>
      </w:r>
      <w:r w:rsidRPr="00E66BDC">
        <w:rPr>
          <w:rFonts w:ascii="Times New Roman" w:hAnsi="Times New Roman" w:cs="Times New Roman"/>
          <w:sz w:val="24"/>
          <w:szCs w:val="24"/>
          <w:lang w:val="es-ES"/>
        </w:rPr>
        <w:t xml:space="preserve">Propuesta de armonización de los valores de referencia para etiquetado nutricional en Latinoamérica (VRN-LA). </w:t>
      </w:r>
      <w:r w:rsidRPr="00E66BDC">
        <w:rPr>
          <w:rFonts w:ascii="Times New Roman" w:hAnsi="Times New Roman" w:cs="Times New Roman"/>
          <w:i/>
          <w:sz w:val="24"/>
          <w:szCs w:val="24"/>
          <w:lang w:val="en-US"/>
        </w:rPr>
        <w:t>ALAN</w:t>
      </w:r>
      <w:r w:rsidRPr="00E66BDC">
        <w:rPr>
          <w:rFonts w:ascii="Times New Roman" w:hAnsi="Times New Roman" w:cs="Times New Roman"/>
          <w:sz w:val="24"/>
          <w:szCs w:val="24"/>
          <w:lang w:val="en-US"/>
        </w:rPr>
        <w:t>,</w:t>
      </w:r>
      <w:r w:rsidRPr="00E66BDC">
        <w:rPr>
          <w:rFonts w:ascii="Times New Roman" w:hAnsi="Times New Roman" w:cs="Times New Roman"/>
          <w:i/>
          <w:sz w:val="24"/>
          <w:szCs w:val="24"/>
          <w:lang w:val="en-US"/>
        </w:rPr>
        <w:t xml:space="preserve"> </w:t>
      </w:r>
      <w:r w:rsidRPr="00E66BDC">
        <w:rPr>
          <w:rFonts w:ascii="Times New Roman" w:hAnsi="Times New Roman" w:cs="Times New Roman"/>
          <w:sz w:val="24"/>
          <w:szCs w:val="24"/>
          <w:lang w:val="en-US"/>
        </w:rPr>
        <w:t>61(4), 347-352.</w:t>
      </w:r>
    </w:p>
    <w:p w:rsidR="00101353" w:rsidRPr="00101353" w:rsidRDefault="00101353" w:rsidP="00101353">
      <w:pPr>
        <w:spacing w:line="360" w:lineRule="auto"/>
        <w:ind w:left="851" w:hanging="851"/>
        <w:jc w:val="both"/>
        <w:rPr>
          <w:rFonts w:ascii="Times New Roman" w:hAnsi="Times New Roman" w:cs="Times New Roman"/>
          <w:sz w:val="24"/>
          <w:szCs w:val="24"/>
          <w:lang w:val="en-US"/>
        </w:rPr>
      </w:pPr>
      <w:proofErr w:type="gramStart"/>
      <w:r w:rsidRPr="00101353">
        <w:rPr>
          <w:rFonts w:ascii="Times New Roman" w:hAnsi="Times New Roman" w:cs="Times New Roman"/>
          <w:sz w:val="24"/>
          <w:szCs w:val="24"/>
          <w:lang w:val="en-US"/>
        </w:rPr>
        <w:t xml:space="preserve">Wang, C. Y., </w:t>
      </w:r>
      <w:proofErr w:type="spellStart"/>
      <w:r w:rsidRPr="00101353">
        <w:rPr>
          <w:rFonts w:ascii="Times New Roman" w:hAnsi="Times New Roman" w:cs="Times New Roman"/>
          <w:sz w:val="24"/>
          <w:szCs w:val="24"/>
          <w:lang w:val="en-US"/>
        </w:rPr>
        <w:t>Carriquiry</w:t>
      </w:r>
      <w:proofErr w:type="spellEnd"/>
      <w:r w:rsidRPr="00101353">
        <w:rPr>
          <w:rFonts w:ascii="Times New Roman" w:hAnsi="Times New Roman" w:cs="Times New Roman"/>
          <w:sz w:val="24"/>
          <w:szCs w:val="24"/>
          <w:lang w:val="en-US"/>
        </w:rPr>
        <w:t xml:space="preserve">, A. L., Chen, T. C., </w:t>
      </w:r>
      <w:proofErr w:type="spellStart"/>
      <w:r w:rsidRPr="00101353">
        <w:rPr>
          <w:rFonts w:ascii="Times New Roman" w:hAnsi="Times New Roman" w:cs="Times New Roman"/>
          <w:sz w:val="24"/>
          <w:szCs w:val="24"/>
          <w:lang w:val="en-US"/>
        </w:rPr>
        <w:t>Loria</w:t>
      </w:r>
      <w:proofErr w:type="spellEnd"/>
      <w:r w:rsidRPr="00101353">
        <w:rPr>
          <w:rFonts w:ascii="Times New Roman" w:hAnsi="Times New Roman" w:cs="Times New Roman"/>
          <w:sz w:val="24"/>
          <w:szCs w:val="24"/>
          <w:lang w:val="en-US"/>
        </w:rPr>
        <w:t>, C. M., Pfeiffer, C. M., Liu, K. et al. (2015).</w:t>
      </w:r>
      <w:proofErr w:type="gramEnd"/>
      <w:r w:rsidRPr="00101353">
        <w:rPr>
          <w:rFonts w:ascii="Times New Roman" w:hAnsi="Times New Roman" w:cs="Times New Roman"/>
          <w:sz w:val="24"/>
          <w:szCs w:val="24"/>
          <w:lang w:val="en-US"/>
        </w:rPr>
        <w:t xml:space="preserve"> Estimating the Population Distribution of Usual 24-Hour Sodium Excretion from Timed Urine Void Specimens Using a Statistical Approach Accounting for Correlated Measurement Errors. J </w:t>
      </w:r>
      <w:proofErr w:type="spellStart"/>
      <w:r w:rsidRPr="00101353">
        <w:rPr>
          <w:rFonts w:ascii="Times New Roman" w:hAnsi="Times New Roman" w:cs="Times New Roman"/>
          <w:sz w:val="24"/>
          <w:szCs w:val="24"/>
          <w:lang w:val="en-US"/>
        </w:rPr>
        <w:t>Nutr</w:t>
      </w:r>
      <w:proofErr w:type="spellEnd"/>
      <w:r w:rsidRPr="00101353">
        <w:rPr>
          <w:rFonts w:ascii="Times New Roman" w:hAnsi="Times New Roman" w:cs="Times New Roman"/>
          <w:sz w:val="24"/>
          <w:szCs w:val="24"/>
          <w:lang w:val="en-US"/>
        </w:rPr>
        <w:t xml:space="preserve">, 145(5), 1017-24. </w:t>
      </w:r>
      <w:proofErr w:type="spellStart"/>
      <w:proofErr w:type="gramStart"/>
      <w:r w:rsidRPr="00101353">
        <w:rPr>
          <w:rFonts w:ascii="Times New Roman" w:hAnsi="Times New Roman" w:cs="Times New Roman"/>
          <w:sz w:val="24"/>
          <w:szCs w:val="24"/>
          <w:lang w:val="en-US"/>
        </w:rPr>
        <w:t>doi</w:t>
      </w:r>
      <w:proofErr w:type="spellEnd"/>
      <w:proofErr w:type="gramEnd"/>
      <w:r w:rsidRPr="00101353">
        <w:rPr>
          <w:rFonts w:ascii="Times New Roman" w:hAnsi="Times New Roman" w:cs="Times New Roman"/>
          <w:sz w:val="24"/>
          <w:szCs w:val="24"/>
          <w:lang w:val="en-US"/>
        </w:rPr>
        <w:t>: 10.3945/jn.114.206250.</w:t>
      </w:r>
    </w:p>
    <w:p w:rsidR="00101353" w:rsidRDefault="00101353" w:rsidP="00101353">
      <w:pPr>
        <w:spacing w:line="360" w:lineRule="auto"/>
        <w:ind w:left="851" w:hanging="851"/>
        <w:jc w:val="both"/>
        <w:rPr>
          <w:rFonts w:ascii="Times New Roman" w:hAnsi="Times New Roman" w:cs="Times New Roman"/>
          <w:sz w:val="24"/>
          <w:szCs w:val="24"/>
          <w:lang w:val="en-US"/>
        </w:rPr>
      </w:pPr>
      <w:r w:rsidRPr="00101353">
        <w:rPr>
          <w:rFonts w:ascii="Times New Roman" w:hAnsi="Times New Roman" w:cs="Times New Roman"/>
          <w:sz w:val="24"/>
          <w:szCs w:val="24"/>
          <w:lang w:val="en-US"/>
        </w:rPr>
        <w:t xml:space="preserve">Wang, G. &amp; </w:t>
      </w:r>
      <w:proofErr w:type="spellStart"/>
      <w:r w:rsidRPr="00101353">
        <w:rPr>
          <w:rFonts w:ascii="Times New Roman" w:hAnsi="Times New Roman" w:cs="Times New Roman"/>
          <w:sz w:val="24"/>
          <w:szCs w:val="24"/>
          <w:lang w:val="en-US"/>
        </w:rPr>
        <w:t>Labarthe</w:t>
      </w:r>
      <w:proofErr w:type="spellEnd"/>
      <w:r w:rsidRPr="00101353">
        <w:rPr>
          <w:rFonts w:ascii="Times New Roman" w:hAnsi="Times New Roman" w:cs="Times New Roman"/>
          <w:sz w:val="24"/>
          <w:szCs w:val="24"/>
          <w:lang w:val="en-US"/>
        </w:rPr>
        <w:t xml:space="preserve"> D. (2011). The cost-effectiveness of interventions designed to reduce sodium intake. J </w:t>
      </w:r>
      <w:proofErr w:type="spellStart"/>
      <w:r w:rsidRPr="00101353">
        <w:rPr>
          <w:rFonts w:ascii="Times New Roman" w:hAnsi="Times New Roman" w:cs="Times New Roman"/>
          <w:sz w:val="24"/>
          <w:szCs w:val="24"/>
          <w:lang w:val="en-US"/>
        </w:rPr>
        <w:t>Hypertens</w:t>
      </w:r>
      <w:proofErr w:type="spellEnd"/>
      <w:r w:rsidRPr="00101353">
        <w:rPr>
          <w:rFonts w:ascii="Times New Roman" w:hAnsi="Times New Roman" w:cs="Times New Roman"/>
          <w:sz w:val="24"/>
          <w:szCs w:val="24"/>
          <w:lang w:val="en-US"/>
        </w:rPr>
        <w:t>; 29(9), 1693–1699. doi:10.1097/HJH.0b013e328349ba18.</w:t>
      </w:r>
    </w:p>
    <w:p w:rsidR="00397744" w:rsidRPr="00590B46" w:rsidRDefault="00397744" w:rsidP="00E66BDC">
      <w:pPr>
        <w:spacing w:line="360" w:lineRule="auto"/>
        <w:ind w:left="851" w:hanging="851"/>
        <w:jc w:val="both"/>
        <w:rPr>
          <w:rFonts w:ascii="Arial" w:hAnsi="Arial" w:cs="Arial"/>
          <w:sz w:val="24"/>
          <w:szCs w:val="24"/>
          <w:lang w:val="en-US"/>
        </w:rPr>
      </w:pPr>
      <w:r w:rsidRPr="00E66BDC">
        <w:rPr>
          <w:rFonts w:ascii="Times New Roman" w:hAnsi="Times New Roman" w:cs="Times New Roman"/>
          <w:sz w:val="24"/>
          <w:szCs w:val="24"/>
          <w:lang w:val="en-US"/>
        </w:rPr>
        <w:t xml:space="preserve">Weiss, B. D., (2014). Sodium restriction in heart failure: how low should you go? </w:t>
      </w:r>
      <w:proofErr w:type="gramStart"/>
      <w:r w:rsidRPr="00E66BDC">
        <w:rPr>
          <w:rFonts w:ascii="Times New Roman" w:hAnsi="Times New Roman" w:cs="Times New Roman"/>
          <w:i/>
          <w:sz w:val="24"/>
          <w:szCs w:val="24"/>
          <w:lang w:val="en-US"/>
        </w:rPr>
        <w:t>American Family Physician</w:t>
      </w:r>
      <w:r w:rsidRPr="00E66BDC">
        <w:rPr>
          <w:rFonts w:ascii="Times New Roman" w:hAnsi="Times New Roman" w:cs="Times New Roman"/>
          <w:sz w:val="24"/>
          <w:szCs w:val="24"/>
          <w:lang w:val="en-US"/>
        </w:rPr>
        <w:t>, 89(7), 509 -510.</w:t>
      </w:r>
      <w:proofErr w:type="gramEnd"/>
    </w:p>
    <w:p w:rsidR="003D6BAF" w:rsidRPr="00101353" w:rsidRDefault="003D6BAF" w:rsidP="00101353">
      <w:pPr>
        <w:spacing w:line="360" w:lineRule="auto"/>
        <w:ind w:left="851" w:hanging="851"/>
        <w:jc w:val="both"/>
        <w:rPr>
          <w:rFonts w:ascii="Times New Roman" w:hAnsi="Times New Roman" w:cs="Times New Roman"/>
          <w:sz w:val="24"/>
          <w:szCs w:val="24"/>
          <w:lang w:val="en-US"/>
        </w:rPr>
      </w:pPr>
      <w:proofErr w:type="spellStart"/>
      <w:r w:rsidRPr="00101353">
        <w:rPr>
          <w:rFonts w:ascii="Times New Roman" w:hAnsi="Times New Roman" w:cs="Times New Roman"/>
          <w:sz w:val="24"/>
          <w:szCs w:val="24"/>
          <w:lang w:val="en-US"/>
        </w:rPr>
        <w:t>Whelton</w:t>
      </w:r>
      <w:proofErr w:type="spellEnd"/>
      <w:r w:rsidRPr="00101353">
        <w:rPr>
          <w:rFonts w:ascii="Times New Roman" w:hAnsi="Times New Roman" w:cs="Times New Roman"/>
          <w:sz w:val="24"/>
          <w:szCs w:val="24"/>
          <w:lang w:val="en-US"/>
        </w:rPr>
        <w:t xml:space="preserve">, P. K., Appel, L. J., Sacco, R. L. Anderson, C. A., </w:t>
      </w:r>
      <w:proofErr w:type="spellStart"/>
      <w:r w:rsidRPr="00101353">
        <w:rPr>
          <w:rFonts w:ascii="Times New Roman" w:hAnsi="Times New Roman" w:cs="Times New Roman"/>
          <w:sz w:val="24"/>
          <w:szCs w:val="24"/>
          <w:lang w:val="en-US"/>
        </w:rPr>
        <w:t>Antman</w:t>
      </w:r>
      <w:proofErr w:type="spellEnd"/>
      <w:r w:rsidRPr="00101353">
        <w:rPr>
          <w:rFonts w:ascii="Times New Roman" w:hAnsi="Times New Roman" w:cs="Times New Roman"/>
          <w:sz w:val="24"/>
          <w:szCs w:val="24"/>
          <w:lang w:val="en-US"/>
        </w:rPr>
        <w:t xml:space="preserve"> E. M., Campbell, N. et al. (2012). Sodium, blood pressure, and cardiovascular disease: further evidence supporting the American Heart Association (AHA) sodium reduction recommendations. </w:t>
      </w:r>
      <w:proofErr w:type="gramStart"/>
      <w:r w:rsidRPr="00101353">
        <w:rPr>
          <w:rFonts w:ascii="Times New Roman" w:hAnsi="Times New Roman" w:cs="Times New Roman"/>
          <w:sz w:val="24"/>
          <w:szCs w:val="24"/>
          <w:lang w:val="en-US"/>
        </w:rPr>
        <w:t>Circulation, 126(24), 2880-9.</w:t>
      </w:r>
      <w:proofErr w:type="gramEnd"/>
      <w:r w:rsidRPr="00101353">
        <w:rPr>
          <w:rFonts w:ascii="Times New Roman" w:hAnsi="Times New Roman" w:cs="Times New Roman"/>
          <w:sz w:val="24"/>
          <w:szCs w:val="24"/>
          <w:lang w:val="en-US"/>
        </w:rPr>
        <w:t xml:space="preserve"> </w:t>
      </w:r>
      <w:proofErr w:type="spellStart"/>
      <w:proofErr w:type="gramStart"/>
      <w:r w:rsidRPr="00101353">
        <w:rPr>
          <w:rFonts w:ascii="Times New Roman" w:hAnsi="Times New Roman" w:cs="Times New Roman"/>
          <w:sz w:val="24"/>
          <w:szCs w:val="24"/>
          <w:lang w:val="en-US"/>
        </w:rPr>
        <w:t>doi</w:t>
      </w:r>
      <w:proofErr w:type="spellEnd"/>
      <w:proofErr w:type="gramEnd"/>
      <w:r w:rsidRPr="00101353">
        <w:rPr>
          <w:rFonts w:ascii="Times New Roman" w:hAnsi="Times New Roman" w:cs="Times New Roman"/>
          <w:sz w:val="24"/>
          <w:szCs w:val="24"/>
          <w:lang w:val="en-US"/>
        </w:rPr>
        <w:t>: 10.1161/CIR.0b013e318279acbf</w:t>
      </w:r>
    </w:p>
    <w:p w:rsidR="003D6BAF" w:rsidRDefault="003D6BAF" w:rsidP="00101353">
      <w:pPr>
        <w:spacing w:line="360" w:lineRule="auto"/>
        <w:ind w:left="851" w:hanging="851"/>
        <w:jc w:val="both"/>
        <w:rPr>
          <w:rFonts w:ascii="Arial" w:hAnsi="Arial" w:cs="Arial"/>
          <w:sz w:val="24"/>
          <w:szCs w:val="24"/>
          <w:lang w:val="en-US"/>
        </w:rPr>
      </w:pPr>
      <w:proofErr w:type="gramStart"/>
      <w:r w:rsidRPr="00101353">
        <w:rPr>
          <w:rFonts w:ascii="Times New Roman" w:hAnsi="Times New Roman" w:cs="Times New Roman"/>
          <w:sz w:val="24"/>
          <w:szCs w:val="24"/>
          <w:lang w:val="en-US"/>
        </w:rPr>
        <w:t xml:space="preserve">Young, C. H., </w:t>
      </w:r>
      <w:proofErr w:type="spellStart"/>
      <w:r w:rsidRPr="00101353">
        <w:rPr>
          <w:rFonts w:ascii="Times New Roman" w:hAnsi="Times New Roman" w:cs="Times New Roman"/>
          <w:sz w:val="24"/>
          <w:szCs w:val="24"/>
          <w:lang w:val="en-US"/>
        </w:rPr>
        <w:t>Cheon</w:t>
      </w:r>
      <w:proofErr w:type="spellEnd"/>
      <w:r w:rsidRPr="00101353">
        <w:rPr>
          <w:rFonts w:ascii="Times New Roman" w:hAnsi="Times New Roman" w:cs="Times New Roman"/>
          <w:sz w:val="24"/>
          <w:szCs w:val="24"/>
          <w:lang w:val="en-US"/>
        </w:rPr>
        <w:t xml:space="preserve">, P. H. &amp; </w:t>
      </w:r>
      <w:proofErr w:type="spellStart"/>
      <w:r w:rsidRPr="00101353">
        <w:rPr>
          <w:rFonts w:ascii="Times New Roman" w:hAnsi="Times New Roman" w:cs="Times New Roman"/>
          <w:sz w:val="24"/>
          <w:szCs w:val="24"/>
          <w:lang w:val="en-US"/>
        </w:rPr>
        <w:t>Kyu</w:t>
      </w:r>
      <w:proofErr w:type="spellEnd"/>
      <w:r w:rsidRPr="00101353">
        <w:rPr>
          <w:rFonts w:ascii="Times New Roman" w:hAnsi="Times New Roman" w:cs="Times New Roman"/>
          <w:sz w:val="24"/>
          <w:szCs w:val="24"/>
          <w:lang w:val="en-US"/>
        </w:rPr>
        <w:t>, H. S. (2015).</w:t>
      </w:r>
      <w:proofErr w:type="gramEnd"/>
      <w:r w:rsidRPr="00101353">
        <w:rPr>
          <w:rFonts w:ascii="Times New Roman" w:hAnsi="Times New Roman" w:cs="Times New Roman"/>
          <w:sz w:val="24"/>
          <w:szCs w:val="24"/>
          <w:lang w:val="en-US"/>
        </w:rPr>
        <w:t xml:space="preserve"> Salt Sensitivity and Hypertension: A Paradigm Shift from Kidney Malfunction to Vascular Endothelial Dysfunction. Electrolyte Blood Press, 13, 7-16. </w:t>
      </w:r>
      <w:hyperlink r:id="rId28" w:history="1">
        <w:r w:rsidR="00397744" w:rsidRPr="00101353">
          <w:rPr>
            <w:rFonts w:ascii="Times New Roman" w:hAnsi="Times New Roman" w:cs="Times New Roman"/>
          </w:rPr>
          <w:t>http://dx.doi.org/10.5049/EBP.2015.13.1.7</w:t>
        </w:r>
      </w:hyperlink>
    </w:p>
    <w:p w:rsidR="00173C4F" w:rsidRPr="00830031" w:rsidRDefault="00173C4F" w:rsidP="00830031">
      <w:pPr>
        <w:spacing w:line="480" w:lineRule="auto"/>
        <w:jc w:val="both"/>
        <w:rPr>
          <w:rFonts w:ascii="Arial" w:hAnsi="Arial" w:cs="Arial"/>
          <w:b/>
          <w:sz w:val="24"/>
          <w:szCs w:val="24"/>
          <w:lang w:val="en-US"/>
        </w:rPr>
      </w:pPr>
    </w:p>
    <w:sectPr w:rsidR="00173C4F" w:rsidRPr="00830031" w:rsidSect="00A55B10">
      <w:type w:val="continuous"/>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366" w:rsidRDefault="006A0366" w:rsidP="007C52A0">
      <w:pPr>
        <w:spacing w:after="0" w:line="240" w:lineRule="auto"/>
      </w:pPr>
      <w:r>
        <w:separator/>
      </w:r>
    </w:p>
  </w:endnote>
  <w:endnote w:type="continuationSeparator" w:id="0">
    <w:p w:rsidR="006A0366" w:rsidRDefault="006A0366" w:rsidP="007C5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A85" w:rsidRDefault="00F34A85" w:rsidP="00F34A85">
    <w:pPr>
      <w:pStyle w:val="Piedepgina"/>
      <w:jc w:val="center"/>
    </w:pPr>
    <w:r>
      <w:rPr>
        <w:rFonts w:cs="Calibri"/>
        <w:b/>
      </w:rPr>
      <w:t>Vol. 5, Núm. 10</w:t>
    </w:r>
    <w:r w:rsidRPr="00AA6CBA">
      <w:rPr>
        <w:rFonts w:cs="Calibri"/>
        <w:b/>
      </w:rPr>
      <w:t xml:space="preserve">                   Julio</w:t>
    </w:r>
    <w:r>
      <w:rPr>
        <w:rFonts w:cs="Calibri"/>
        <w:b/>
      </w:rPr>
      <w:t xml:space="preserve"> - Diciembre 2016</w:t>
    </w:r>
    <w:r w:rsidRPr="00AA6CBA">
      <w:rPr>
        <w:lang w:eastAsia="es-MX"/>
      </w:rPr>
      <w:t xml:space="preserve"> </w:t>
    </w:r>
    <w:r w:rsidRPr="00AA6CBA">
      <w:rPr>
        <w:rFonts w:cs="Calibri"/>
        <w:b/>
      </w:rPr>
      <w:t xml:space="preserve">              RICS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366" w:rsidRDefault="006A0366" w:rsidP="007C52A0">
      <w:pPr>
        <w:spacing w:after="0" w:line="240" w:lineRule="auto"/>
      </w:pPr>
      <w:r>
        <w:separator/>
      </w:r>
    </w:p>
  </w:footnote>
  <w:footnote w:type="continuationSeparator" w:id="0">
    <w:p w:rsidR="006A0366" w:rsidRDefault="006A0366" w:rsidP="007C5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A85" w:rsidRDefault="00F34A85" w:rsidP="00F34A85">
    <w:pPr>
      <w:pStyle w:val="Encabezado"/>
      <w:jc w:val="center"/>
    </w:pPr>
    <w:r w:rsidRPr="00107C11">
      <w:rPr>
        <w:rFonts w:cs="Calibri"/>
        <w:b/>
        <w:i/>
        <w:lang w:val="es-ES"/>
      </w:rPr>
      <w:t xml:space="preserve">Revista Iberoamericana de las Ciencias de la Salud                                                 </w:t>
    </w:r>
    <w:r w:rsidRPr="00107C11">
      <w:rPr>
        <w:rFonts w:cs="Calibri"/>
        <w:b/>
        <w:lang w:val="es-ES"/>
      </w:rPr>
      <w:t>ISSN: 2395-8057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E"/>
    <w:multiLevelType w:val="multilevel"/>
    <w:tmpl w:val="C3A08D5E"/>
    <w:lvl w:ilvl="0">
      <w:start w:val="1"/>
      <w:numFmt w:val="decimal"/>
      <w:lvlText w:val="%1."/>
      <w:lvlJc w:val="left"/>
      <w:pPr>
        <w:ind w:left="762" w:hanging="360"/>
      </w:pPr>
      <w:rPr>
        <w:rFonts w:ascii="Times New Roman" w:hAnsi="Times New Roman" w:cs="Times New Roman" w:hint="default"/>
        <w:b w:val="0"/>
        <w:bCs w:val="0"/>
        <w:w w:val="99"/>
        <w:sz w:val="24"/>
        <w:szCs w:val="24"/>
      </w:rPr>
    </w:lvl>
    <w:lvl w:ilvl="1">
      <w:start w:val="1"/>
      <w:numFmt w:val="upperLetter"/>
      <w:lvlText w:val="%2."/>
      <w:lvlJc w:val="left"/>
      <w:pPr>
        <w:ind w:left="2229" w:hanging="696"/>
      </w:pPr>
      <w:rPr>
        <w:rFonts w:ascii="Times New Roman" w:hAnsi="Times New Roman" w:cs="Times New Roman" w:hint="default"/>
        <w:b w:val="0"/>
        <w:bCs w:val="0"/>
        <w:w w:val="99"/>
        <w:sz w:val="24"/>
        <w:szCs w:val="24"/>
      </w:rPr>
    </w:lvl>
    <w:lvl w:ilvl="2">
      <w:numFmt w:val="bullet"/>
      <w:lvlText w:val="•"/>
      <w:lvlJc w:val="left"/>
      <w:pPr>
        <w:ind w:left="3113" w:hanging="696"/>
      </w:pPr>
    </w:lvl>
    <w:lvl w:ilvl="3">
      <w:numFmt w:val="bullet"/>
      <w:lvlText w:val="•"/>
      <w:lvlJc w:val="left"/>
      <w:pPr>
        <w:ind w:left="4006" w:hanging="696"/>
      </w:pPr>
    </w:lvl>
    <w:lvl w:ilvl="4">
      <w:numFmt w:val="bullet"/>
      <w:lvlText w:val="•"/>
      <w:lvlJc w:val="left"/>
      <w:pPr>
        <w:ind w:left="4900" w:hanging="696"/>
      </w:pPr>
    </w:lvl>
    <w:lvl w:ilvl="5">
      <w:numFmt w:val="bullet"/>
      <w:lvlText w:val="•"/>
      <w:lvlJc w:val="left"/>
      <w:pPr>
        <w:ind w:left="5793" w:hanging="696"/>
      </w:pPr>
    </w:lvl>
    <w:lvl w:ilvl="6">
      <w:numFmt w:val="bullet"/>
      <w:lvlText w:val="•"/>
      <w:lvlJc w:val="left"/>
      <w:pPr>
        <w:ind w:left="6686" w:hanging="696"/>
      </w:pPr>
    </w:lvl>
    <w:lvl w:ilvl="7">
      <w:numFmt w:val="bullet"/>
      <w:lvlText w:val="•"/>
      <w:lvlJc w:val="left"/>
      <w:pPr>
        <w:ind w:left="7580" w:hanging="696"/>
      </w:pPr>
    </w:lvl>
    <w:lvl w:ilvl="8">
      <w:numFmt w:val="bullet"/>
      <w:lvlText w:val="•"/>
      <w:lvlJc w:val="left"/>
      <w:pPr>
        <w:ind w:left="8473" w:hanging="696"/>
      </w:pPr>
    </w:lvl>
  </w:abstractNum>
  <w:abstractNum w:abstractNumId="1">
    <w:nsid w:val="32483D60"/>
    <w:multiLevelType w:val="multilevel"/>
    <w:tmpl w:val="AF609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63DD"/>
    <w:rsid w:val="00015CAA"/>
    <w:rsid w:val="00023816"/>
    <w:rsid w:val="000426B1"/>
    <w:rsid w:val="000473AB"/>
    <w:rsid w:val="00051EC1"/>
    <w:rsid w:val="00057767"/>
    <w:rsid w:val="00057890"/>
    <w:rsid w:val="00062694"/>
    <w:rsid w:val="00062742"/>
    <w:rsid w:val="00067099"/>
    <w:rsid w:val="0008309B"/>
    <w:rsid w:val="000848A9"/>
    <w:rsid w:val="000949EE"/>
    <w:rsid w:val="000966CF"/>
    <w:rsid w:val="000A0451"/>
    <w:rsid w:val="000A17B6"/>
    <w:rsid w:val="000A727F"/>
    <w:rsid w:val="000B098A"/>
    <w:rsid w:val="000B2B41"/>
    <w:rsid w:val="000B5843"/>
    <w:rsid w:val="000C2720"/>
    <w:rsid w:val="000C4542"/>
    <w:rsid w:val="000D5830"/>
    <w:rsid w:val="000E1583"/>
    <w:rsid w:val="000F1FEA"/>
    <w:rsid w:val="000F50AC"/>
    <w:rsid w:val="000F5A23"/>
    <w:rsid w:val="00101353"/>
    <w:rsid w:val="001061A9"/>
    <w:rsid w:val="00106547"/>
    <w:rsid w:val="00106ACB"/>
    <w:rsid w:val="00106CBB"/>
    <w:rsid w:val="00111C3C"/>
    <w:rsid w:val="00112461"/>
    <w:rsid w:val="00117D7E"/>
    <w:rsid w:val="0012040E"/>
    <w:rsid w:val="001354E6"/>
    <w:rsid w:val="00137F27"/>
    <w:rsid w:val="0014576E"/>
    <w:rsid w:val="00146C48"/>
    <w:rsid w:val="00151782"/>
    <w:rsid w:val="001524A0"/>
    <w:rsid w:val="00154957"/>
    <w:rsid w:val="00155CB1"/>
    <w:rsid w:val="00173C4F"/>
    <w:rsid w:val="00175167"/>
    <w:rsid w:val="001768F6"/>
    <w:rsid w:val="00180234"/>
    <w:rsid w:val="0018053E"/>
    <w:rsid w:val="00195E64"/>
    <w:rsid w:val="00196A08"/>
    <w:rsid w:val="00197368"/>
    <w:rsid w:val="001A1A0B"/>
    <w:rsid w:val="001A3079"/>
    <w:rsid w:val="001A39DF"/>
    <w:rsid w:val="001C7B7A"/>
    <w:rsid w:val="001E1E6B"/>
    <w:rsid w:val="001F5571"/>
    <w:rsid w:val="001F64F9"/>
    <w:rsid w:val="002009E0"/>
    <w:rsid w:val="00206C83"/>
    <w:rsid w:val="00207478"/>
    <w:rsid w:val="00211935"/>
    <w:rsid w:val="00213CEF"/>
    <w:rsid w:val="00214326"/>
    <w:rsid w:val="00214C62"/>
    <w:rsid w:val="00215C14"/>
    <w:rsid w:val="0022017A"/>
    <w:rsid w:val="002338BD"/>
    <w:rsid w:val="00240116"/>
    <w:rsid w:val="002405D9"/>
    <w:rsid w:val="002447C4"/>
    <w:rsid w:val="002535D4"/>
    <w:rsid w:val="00253F30"/>
    <w:rsid w:val="00255E12"/>
    <w:rsid w:val="00255FEE"/>
    <w:rsid w:val="0025778F"/>
    <w:rsid w:val="002577F7"/>
    <w:rsid w:val="002635CF"/>
    <w:rsid w:val="00270847"/>
    <w:rsid w:val="00270D03"/>
    <w:rsid w:val="0027210C"/>
    <w:rsid w:val="00272349"/>
    <w:rsid w:val="00272EB3"/>
    <w:rsid w:val="002825D1"/>
    <w:rsid w:val="002839A3"/>
    <w:rsid w:val="00287A9F"/>
    <w:rsid w:val="00292F4D"/>
    <w:rsid w:val="002A3799"/>
    <w:rsid w:val="002B29D4"/>
    <w:rsid w:val="002B5641"/>
    <w:rsid w:val="002B6EB4"/>
    <w:rsid w:val="002C01B8"/>
    <w:rsid w:val="002C0FBB"/>
    <w:rsid w:val="002C27A0"/>
    <w:rsid w:val="002C4C37"/>
    <w:rsid w:val="002C67CC"/>
    <w:rsid w:val="002D0EFA"/>
    <w:rsid w:val="002D13BD"/>
    <w:rsid w:val="002D226A"/>
    <w:rsid w:val="002D41FA"/>
    <w:rsid w:val="002D6C68"/>
    <w:rsid w:val="002E3257"/>
    <w:rsid w:val="002F13B1"/>
    <w:rsid w:val="002F3687"/>
    <w:rsid w:val="002F606F"/>
    <w:rsid w:val="00317FB4"/>
    <w:rsid w:val="003219A6"/>
    <w:rsid w:val="003273E4"/>
    <w:rsid w:val="003422AB"/>
    <w:rsid w:val="00344EF5"/>
    <w:rsid w:val="00346A74"/>
    <w:rsid w:val="00346FCF"/>
    <w:rsid w:val="00350244"/>
    <w:rsid w:val="003675DE"/>
    <w:rsid w:val="00371B2F"/>
    <w:rsid w:val="00371E21"/>
    <w:rsid w:val="00377568"/>
    <w:rsid w:val="003870A1"/>
    <w:rsid w:val="00391510"/>
    <w:rsid w:val="0039255E"/>
    <w:rsid w:val="00393B30"/>
    <w:rsid w:val="00397744"/>
    <w:rsid w:val="003A0F6D"/>
    <w:rsid w:val="003A13BC"/>
    <w:rsid w:val="003A5B17"/>
    <w:rsid w:val="003B020C"/>
    <w:rsid w:val="003B2D08"/>
    <w:rsid w:val="003B4836"/>
    <w:rsid w:val="003D193A"/>
    <w:rsid w:val="003D1CA3"/>
    <w:rsid w:val="003D6BAF"/>
    <w:rsid w:val="003E114C"/>
    <w:rsid w:val="003E234C"/>
    <w:rsid w:val="003E7185"/>
    <w:rsid w:val="003F3131"/>
    <w:rsid w:val="003F3973"/>
    <w:rsid w:val="003F48D7"/>
    <w:rsid w:val="00400E87"/>
    <w:rsid w:val="00403B48"/>
    <w:rsid w:val="0040575B"/>
    <w:rsid w:val="00405D2B"/>
    <w:rsid w:val="00420905"/>
    <w:rsid w:val="00420CC6"/>
    <w:rsid w:val="004411D9"/>
    <w:rsid w:val="00443211"/>
    <w:rsid w:val="00445523"/>
    <w:rsid w:val="00454F00"/>
    <w:rsid w:val="00464C7C"/>
    <w:rsid w:val="0048155A"/>
    <w:rsid w:val="00485E0E"/>
    <w:rsid w:val="00495523"/>
    <w:rsid w:val="00495E7A"/>
    <w:rsid w:val="00496626"/>
    <w:rsid w:val="00497974"/>
    <w:rsid w:val="004A5403"/>
    <w:rsid w:val="004B523D"/>
    <w:rsid w:val="004B6C71"/>
    <w:rsid w:val="004C72F9"/>
    <w:rsid w:val="004D0E51"/>
    <w:rsid w:val="004D37C0"/>
    <w:rsid w:val="004D4A02"/>
    <w:rsid w:val="004D5F5D"/>
    <w:rsid w:val="004D633C"/>
    <w:rsid w:val="004D7463"/>
    <w:rsid w:val="004F3194"/>
    <w:rsid w:val="0050667D"/>
    <w:rsid w:val="005117B9"/>
    <w:rsid w:val="00523505"/>
    <w:rsid w:val="005256E7"/>
    <w:rsid w:val="00527098"/>
    <w:rsid w:val="00533D43"/>
    <w:rsid w:val="00540FB1"/>
    <w:rsid w:val="00550E31"/>
    <w:rsid w:val="0055204D"/>
    <w:rsid w:val="005547CB"/>
    <w:rsid w:val="00557124"/>
    <w:rsid w:val="005571B0"/>
    <w:rsid w:val="00562A30"/>
    <w:rsid w:val="00565035"/>
    <w:rsid w:val="00566395"/>
    <w:rsid w:val="0057047F"/>
    <w:rsid w:val="005706D8"/>
    <w:rsid w:val="00573A4D"/>
    <w:rsid w:val="00576687"/>
    <w:rsid w:val="00583252"/>
    <w:rsid w:val="00586280"/>
    <w:rsid w:val="005866A2"/>
    <w:rsid w:val="00591D1D"/>
    <w:rsid w:val="005936C5"/>
    <w:rsid w:val="0059470F"/>
    <w:rsid w:val="0059656E"/>
    <w:rsid w:val="005A27C7"/>
    <w:rsid w:val="005A5DBF"/>
    <w:rsid w:val="005A7A1B"/>
    <w:rsid w:val="005B2BB1"/>
    <w:rsid w:val="005C24F1"/>
    <w:rsid w:val="005C71B6"/>
    <w:rsid w:val="005C7A7E"/>
    <w:rsid w:val="005D209E"/>
    <w:rsid w:val="005E1AA9"/>
    <w:rsid w:val="005E6B32"/>
    <w:rsid w:val="005F7671"/>
    <w:rsid w:val="00605CA3"/>
    <w:rsid w:val="00605DA8"/>
    <w:rsid w:val="0061727A"/>
    <w:rsid w:val="00636657"/>
    <w:rsid w:val="00636CBF"/>
    <w:rsid w:val="00650D3F"/>
    <w:rsid w:val="00652079"/>
    <w:rsid w:val="00653497"/>
    <w:rsid w:val="00661ECF"/>
    <w:rsid w:val="00675339"/>
    <w:rsid w:val="006776D4"/>
    <w:rsid w:val="00684909"/>
    <w:rsid w:val="00685058"/>
    <w:rsid w:val="00686B69"/>
    <w:rsid w:val="00692592"/>
    <w:rsid w:val="006A0366"/>
    <w:rsid w:val="006B1167"/>
    <w:rsid w:val="006B1372"/>
    <w:rsid w:val="006B471D"/>
    <w:rsid w:val="006B4ABE"/>
    <w:rsid w:val="006C0851"/>
    <w:rsid w:val="006F106C"/>
    <w:rsid w:val="006F383E"/>
    <w:rsid w:val="0070370C"/>
    <w:rsid w:val="007049D0"/>
    <w:rsid w:val="00720393"/>
    <w:rsid w:val="0072613D"/>
    <w:rsid w:val="00730952"/>
    <w:rsid w:val="00734190"/>
    <w:rsid w:val="0073640D"/>
    <w:rsid w:val="00736D6A"/>
    <w:rsid w:val="007410F1"/>
    <w:rsid w:val="007450A3"/>
    <w:rsid w:val="00750B4B"/>
    <w:rsid w:val="007529EA"/>
    <w:rsid w:val="00754F6F"/>
    <w:rsid w:val="00763CD1"/>
    <w:rsid w:val="00767047"/>
    <w:rsid w:val="00774FB5"/>
    <w:rsid w:val="0078383F"/>
    <w:rsid w:val="007866DF"/>
    <w:rsid w:val="00791722"/>
    <w:rsid w:val="007944A2"/>
    <w:rsid w:val="007A2D0C"/>
    <w:rsid w:val="007B558A"/>
    <w:rsid w:val="007C158B"/>
    <w:rsid w:val="007C2C5B"/>
    <w:rsid w:val="007C347C"/>
    <w:rsid w:val="007C52A0"/>
    <w:rsid w:val="007D1B5B"/>
    <w:rsid w:val="007D54D0"/>
    <w:rsid w:val="007E0E0B"/>
    <w:rsid w:val="007E10AA"/>
    <w:rsid w:val="007E1451"/>
    <w:rsid w:val="007F0B64"/>
    <w:rsid w:val="007F2728"/>
    <w:rsid w:val="007F3AF4"/>
    <w:rsid w:val="0080477A"/>
    <w:rsid w:val="00806803"/>
    <w:rsid w:val="00812815"/>
    <w:rsid w:val="00816229"/>
    <w:rsid w:val="00820533"/>
    <w:rsid w:val="008215B8"/>
    <w:rsid w:val="00830031"/>
    <w:rsid w:val="0083167D"/>
    <w:rsid w:val="008603DA"/>
    <w:rsid w:val="00862984"/>
    <w:rsid w:val="008638B1"/>
    <w:rsid w:val="008667E8"/>
    <w:rsid w:val="00877C66"/>
    <w:rsid w:val="00881772"/>
    <w:rsid w:val="00882A01"/>
    <w:rsid w:val="0088396B"/>
    <w:rsid w:val="00887D97"/>
    <w:rsid w:val="00891FC1"/>
    <w:rsid w:val="008971D0"/>
    <w:rsid w:val="00897A1D"/>
    <w:rsid w:val="008A3D8E"/>
    <w:rsid w:val="008A5009"/>
    <w:rsid w:val="008C0C5C"/>
    <w:rsid w:val="008C7E70"/>
    <w:rsid w:val="008D02C3"/>
    <w:rsid w:val="008D268B"/>
    <w:rsid w:val="008E16D2"/>
    <w:rsid w:val="008E2D8A"/>
    <w:rsid w:val="008E63EB"/>
    <w:rsid w:val="008F6040"/>
    <w:rsid w:val="008F671B"/>
    <w:rsid w:val="00901091"/>
    <w:rsid w:val="00914198"/>
    <w:rsid w:val="00914A3B"/>
    <w:rsid w:val="009159DC"/>
    <w:rsid w:val="00926504"/>
    <w:rsid w:val="00926F78"/>
    <w:rsid w:val="00933DD0"/>
    <w:rsid w:val="00950705"/>
    <w:rsid w:val="009525B9"/>
    <w:rsid w:val="00952C3E"/>
    <w:rsid w:val="00955BD6"/>
    <w:rsid w:val="00967B11"/>
    <w:rsid w:val="00977C1D"/>
    <w:rsid w:val="009B10E6"/>
    <w:rsid w:val="009B459F"/>
    <w:rsid w:val="009B57F3"/>
    <w:rsid w:val="009B5E3A"/>
    <w:rsid w:val="009D1054"/>
    <w:rsid w:val="009D2721"/>
    <w:rsid w:val="009D4A4E"/>
    <w:rsid w:val="009E5623"/>
    <w:rsid w:val="009E5DF3"/>
    <w:rsid w:val="009F408B"/>
    <w:rsid w:val="009F63DD"/>
    <w:rsid w:val="00A02140"/>
    <w:rsid w:val="00A030A1"/>
    <w:rsid w:val="00A10E80"/>
    <w:rsid w:val="00A233C9"/>
    <w:rsid w:val="00A27434"/>
    <w:rsid w:val="00A330F6"/>
    <w:rsid w:val="00A33CB3"/>
    <w:rsid w:val="00A34630"/>
    <w:rsid w:val="00A3575F"/>
    <w:rsid w:val="00A52EAC"/>
    <w:rsid w:val="00A55B10"/>
    <w:rsid w:val="00A60316"/>
    <w:rsid w:val="00A62575"/>
    <w:rsid w:val="00A64A6E"/>
    <w:rsid w:val="00A65ED5"/>
    <w:rsid w:val="00A704EE"/>
    <w:rsid w:val="00A71F09"/>
    <w:rsid w:val="00A80ADE"/>
    <w:rsid w:val="00A86316"/>
    <w:rsid w:val="00A87963"/>
    <w:rsid w:val="00A87F65"/>
    <w:rsid w:val="00A90B70"/>
    <w:rsid w:val="00A96653"/>
    <w:rsid w:val="00A97E8C"/>
    <w:rsid w:val="00AA7659"/>
    <w:rsid w:val="00AB1F91"/>
    <w:rsid w:val="00AC2307"/>
    <w:rsid w:val="00AC24DF"/>
    <w:rsid w:val="00AC7EEF"/>
    <w:rsid w:val="00AD444A"/>
    <w:rsid w:val="00AD7A36"/>
    <w:rsid w:val="00AE3FB5"/>
    <w:rsid w:val="00AF7539"/>
    <w:rsid w:val="00B10C14"/>
    <w:rsid w:val="00B14648"/>
    <w:rsid w:val="00B3034E"/>
    <w:rsid w:val="00B3373D"/>
    <w:rsid w:val="00B33D6B"/>
    <w:rsid w:val="00B42358"/>
    <w:rsid w:val="00B4341D"/>
    <w:rsid w:val="00B51A60"/>
    <w:rsid w:val="00B71E5D"/>
    <w:rsid w:val="00B80DC6"/>
    <w:rsid w:val="00B86612"/>
    <w:rsid w:val="00B9485F"/>
    <w:rsid w:val="00BA0137"/>
    <w:rsid w:val="00BA5AE4"/>
    <w:rsid w:val="00BB109D"/>
    <w:rsid w:val="00BB69EA"/>
    <w:rsid w:val="00BC38B8"/>
    <w:rsid w:val="00BD27FB"/>
    <w:rsid w:val="00BD7BEF"/>
    <w:rsid w:val="00BE3200"/>
    <w:rsid w:val="00BE33D0"/>
    <w:rsid w:val="00BF3CB3"/>
    <w:rsid w:val="00BF73CA"/>
    <w:rsid w:val="00C002E6"/>
    <w:rsid w:val="00C00D0F"/>
    <w:rsid w:val="00C11FBD"/>
    <w:rsid w:val="00C1565C"/>
    <w:rsid w:val="00C230A2"/>
    <w:rsid w:val="00C343C4"/>
    <w:rsid w:val="00C34D26"/>
    <w:rsid w:val="00C3589C"/>
    <w:rsid w:val="00C3771D"/>
    <w:rsid w:val="00C4117E"/>
    <w:rsid w:val="00C417DB"/>
    <w:rsid w:val="00C41CFD"/>
    <w:rsid w:val="00C4382B"/>
    <w:rsid w:val="00C47D18"/>
    <w:rsid w:val="00C5051A"/>
    <w:rsid w:val="00C517FF"/>
    <w:rsid w:val="00C62E8E"/>
    <w:rsid w:val="00C65CA1"/>
    <w:rsid w:val="00C71F78"/>
    <w:rsid w:val="00C7261D"/>
    <w:rsid w:val="00C85D06"/>
    <w:rsid w:val="00C85D0F"/>
    <w:rsid w:val="00C92610"/>
    <w:rsid w:val="00C973F5"/>
    <w:rsid w:val="00CA39E2"/>
    <w:rsid w:val="00CA4F2B"/>
    <w:rsid w:val="00CA7327"/>
    <w:rsid w:val="00CB4EED"/>
    <w:rsid w:val="00CC280A"/>
    <w:rsid w:val="00CC60E5"/>
    <w:rsid w:val="00CC6E82"/>
    <w:rsid w:val="00CD084E"/>
    <w:rsid w:val="00CD6455"/>
    <w:rsid w:val="00CE092D"/>
    <w:rsid w:val="00CE0E92"/>
    <w:rsid w:val="00CF025A"/>
    <w:rsid w:val="00CF0C09"/>
    <w:rsid w:val="00CF3346"/>
    <w:rsid w:val="00CF4731"/>
    <w:rsid w:val="00CF728D"/>
    <w:rsid w:val="00D0006E"/>
    <w:rsid w:val="00D01FFE"/>
    <w:rsid w:val="00D10983"/>
    <w:rsid w:val="00D11B14"/>
    <w:rsid w:val="00D16E3E"/>
    <w:rsid w:val="00D24621"/>
    <w:rsid w:val="00D317D3"/>
    <w:rsid w:val="00D325FE"/>
    <w:rsid w:val="00D36286"/>
    <w:rsid w:val="00D4268A"/>
    <w:rsid w:val="00D42A47"/>
    <w:rsid w:val="00D4373E"/>
    <w:rsid w:val="00D43B44"/>
    <w:rsid w:val="00D44F6C"/>
    <w:rsid w:val="00D54E49"/>
    <w:rsid w:val="00D73DD6"/>
    <w:rsid w:val="00D86612"/>
    <w:rsid w:val="00D92EE9"/>
    <w:rsid w:val="00D94391"/>
    <w:rsid w:val="00DA4236"/>
    <w:rsid w:val="00DA5935"/>
    <w:rsid w:val="00DC43AE"/>
    <w:rsid w:val="00DC57A5"/>
    <w:rsid w:val="00DC73F2"/>
    <w:rsid w:val="00DD6C98"/>
    <w:rsid w:val="00DD7FC8"/>
    <w:rsid w:val="00DE054B"/>
    <w:rsid w:val="00DE2203"/>
    <w:rsid w:val="00DE55D7"/>
    <w:rsid w:val="00DE6B16"/>
    <w:rsid w:val="00DF1594"/>
    <w:rsid w:val="00DF7DD8"/>
    <w:rsid w:val="00E07AC4"/>
    <w:rsid w:val="00E22A34"/>
    <w:rsid w:val="00E263C2"/>
    <w:rsid w:val="00E3051F"/>
    <w:rsid w:val="00E375A1"/>
    <w:rsid w:val="00E376CD"/>
    <w:rsid w:val="00E409CA"/>
    <w:rsid w:val="00E44692"/>
    <w:rsid w:val="00E47D27"/>
    <w:rsid w:val="00E5510E"/>
    <w:rsid w:val="00E56D54"/>
    <w:rsid w:val="00E615EB"/>
    <w:rsid w:val="00E63308"/>
    <w:rsid w:val="00E66BDC"/>
    <w:rsid w:val="00E72C53"/>
    <w:rsid w:val="00E94D8A"/>
    <w:rsid w:val="00E95D6A"/>
    <w:rsid w:val="00EA4B3C"/>
    <w:rsid w:val="00EA5C5F"/>
    <w:rsid w:val="00EA6052"/>
    <w:rsid w:val="00EB62E0"/>
    <w:rsid w:val="00EC0571"/>
    <w:rsid w:val="00EC0FA3"/>
    <w:rsid w:val="00EC2CAD"/>
    <w:rsid w:val="00EC2EB4"/>
    <w:rsid w:val="00EC3DE1"/>
    <w:rsid w:val="00EC534E"/>
    <w:rsid w:val="00ED2AA8"/>
    <w:rsid w:val="00EE017A"/>
    <w:rsid w:val="00EE2B3D"/>
    <w:rsid w:val="00EE3F08"/>
    <w:rsid w:val="00EE5749"/>
    <w:rsid w:val="00F00E2D"/>
    <w:rsid w:val="00F102B8"/>
    <w:rsid w:val="00F10377"/>
    <w:rsid w:val="00F1307D"/>
    <w:rsid w:val="00F1456D"/>
    <w:rsid w:val="00F34A85"/>
    <w:rsid w:val="00F37646"/>
    <w:rsid w:val="00F420D4"/>
    <w:rsid w:val="00F50D6F"/>
    <w:rsid w:val="00F5446E"/>
    <w:rsid w:val="00F60AB2"/>
    <w:rsid w:val="00F60C1B"/>
    <w:rsid w:val="00F60F91"/>
    <w:rsid w:val="00F633EA"/>
    <w:rsid w:val="00F64420"/>
    <w:rsid w:val="00F7526D"/>
    <w:rsid w:val="00F86731"/>
    <w:rsid w:val="00F87A13"/>
    <w:rsid w:val="00F9039F"/>
    <w:rsid w:val="00F97A49"/>
    <w:rsid w:val="00FB14F1"/>
    <w:rsid w:val="00FC21D2"/>
    <w:rsid w:val="00FC5F52"/>
    <w:rsid w:val="00FD2B35"/>
    <w:rsid w:val="00FD6C7E"/>
    <w:rsid w:val="00FD6EBC"/>
    <w:rsid w:val="00FE2245"/>
    <w:rsid w:val="00FE386B"/>
    <w:rsid w:val="00FF10C1"/>
    <w:rsid w:val="00FF11BD"/>
    <w:rsid w:val="00FF11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6B"/>
  </w:style>
  <w:style w:type="paragraph" w:styleId="Ttulo1">
    <w:name w:val="heading 1"/>
    <w:basedOn w:val="Normal"/>
    <w:next w:val="Normal"/>
    <w:link w:val="Ttulo1Car"/>
    <w:uiPriority w:val="9"/>
    <w:qFormat/>
    <w:rsid w:val="00926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9F63DD"/>
    <w:pPr>
      <w:spacing w:after="0" w:line="240" w:lineRule="auto"/>
      <w:jc w:val="center"/>
    </w:pPr>
    <w:rPr>
      <w:rFonts w:ascii="Times New Roman" w:eastAsia="Times New Roman" w:hAnsi="Times New Roman" w:cs="Times New Roman"/>
      <w:sz w:val="18"/>
      <w:szCs w:val="24"/>
      <w:lang w:eastAsia="es-ES"/>
    </w:rPr>
  </w:style>
  <w:style w:type="character" w:customStyle="1" w:styleId="Textoindependiente2Car">
    <w:name w:val="Texto independiente 2 Car"/>
    <w:basedOn w:val="Fuentedeprrafopredeter"/>
    <w:link w:val="Textoindependiente2"/>
    <w:rsid w:val="009F63DD"/>
    <w:rPr>
      <w:rFonts w:ascii="Times New Roman" w:eastAsia="Times New Roman" w:hAnsi="Times New Roman" w:cs="Times New Roman"/>
      <w:sz w:val="18"/>
      <w:szCs w:val="24"/>
      <w:lang w:eastAsia="es-ES"/>
    </w:rPr>
  </w:style>
  <w:style w:type="character" w:customStyle="1" w:styleId="Ttulo1Car">
    <w:name w:val="Título 1 Car"/>
    <w:basedOn w:val="Fuentedeprrafopredeter"/>
    <w:link w:val="Ttulo1"/>
    <w:uiPriority w:val="9"/>
    <w:rsid w:val="00926504"/>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CC6E82"/>
    <w:rPr>
      <w:color w:val="0000FF" w:themeColor="hyperlink"/>
      <w:u w:val="single"/>
    </w:rPr>
  </w:style>
  <w:style w:type="paragraph" w:styleId="HTMLconformatoprevio">
    <w:name w:val="HTML Preformatted"/>
    <w:basedOn w:val="Normal"/>
    <w:link w:val="HTMLconformatoprevioCar"/>
    <w:uiPriority w:val="99"/>
    <w:semiHidden/>
    <w:unhideWhenUsed/>
    <w:rsid w:val="000F50AC"/>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0F50AC"/>
    <w:rPr>
      <w:rFonts w:ascii="Consolas" w:hAnsi="Consolas" w:cs="Consolas"/>
      <w:sz w:val="20"/>
      <w:szCs w:val="20"/>
    </w:rPr>
  </w:style>
  <w:style w:type="table" w:styleId="Tablaconcuadrcula">
    <w:name w:val="Table Grid"/>
    <w:basedOn w:val="Tablanormal"/>
    <w:uiPriority w:val="59"/>
    <w:rsid w:val="00EC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36657"/>
    <w:pPr>
      <w:ind w:left="720"/>
      <w:contextualSpacing/>
    </w:pPr>
  </w:style>
  <w:style w:type="table" w:styleId="Cuadrculamedia3-nfasis2">
    <w:name w:val="Medium Grid 3 Accent 2"/>
    <w:basedOn w:val="Tablanormal"/>
    <w:uiPriority w:val="69"/>
    <w:rsid w:val="001124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4">
    <w:name w:val="Medium Grid 3 Accent 4"/>
    <w:basedOn w:val="Tablanormal"/>
    <w:uiPriority w:val="69"/>
    <w:rsid w:val="001124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Encabezado">
    <w:name w:val="header"/>
    <w:basedOn w:val="Normal"/>
    <w:link w:val="EncabezadoCar"/>
    <w:uiPriority w:val="99"/>
    <w:unhideWhenUsed/>
    <w:rsid w:val="007C52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52A0"/>
  </w:style>
  <w:style w:type="paragraph" w:styleId="Piedepgina">
    <w:name w:val="footer"/>
    <w:basedOn w:val="Normal"/>
    <w:link w:val="PiedepginaCar"/>
    <w:uiPriority w:val="99"/>
    <w:unhideWhenUsed/>
    <w:rsid w:val="007C52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52A0"/>
  </w:style>
  <w:style w:type="table" w:styleId="Cuadrculaclara-nfasis4">
    <w:name w:val="Light Grid Accent 4"/>
    <w:basedOn w:val="Tablanormal"/>
    <w:uiPriority w:val="62"/>
    <w:rsid w:val="00C973F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6B"/>
  </w:style>
  <w:style w:type="paragraph" w:styleId="Ttulo1">
    <w:name w:val="heading 1"/>
    <w:basedOn w:val="Normal"/>
    <w:next w:val="Normal"/>
    <w:link w:val="Ttulo1Car"/>
    <w:uiPriority w:val="9"/>
    <w:qFormat/>
    <w:rsid w:val="00926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9F63DD"/>
    <w:pPr>
      <w:spacing w:after="0" w:line="240" w:lineRule="auto"/>
      <w:jc w:val="center"/>
    </w:pPr>
    <w:rPr>
      <w:rFonts w:ascii="Times New Roman" w:eastAsia="Times New Roman" w:hAnsi="Times New Roman" w:cs="Times New Roman"/>
      <w:sz w:val="18"/>
      <w:szCs w:val="24"/>
      <w:lang w:eastAsia="es-ES"/>
    </w:rPr>
  </w:style>
  <w:style w:type="character" w:customStyle="1" w:styleId="Textoindependiente2Car">
    <w:name w:val="Texto de cuerpo 2 Car"/>
    <w:basedOn w:val="Fuentedeprrafopredeter"/>
    <w:link w:val="Textoindependiente2"/>
    <w:rsid w:val="009F63DD"/>
    <w:rPr>
      <w:rFonts w:ascii="Times New Roman" w:eastAsia="Times New Roman" w:hAnsi="Times New Roman" w:cs="Times New Roman"/>
      <w:sz w:val="18"/>
      <w:szCs w:val="24"/>
      <w:lang w:eastAsia="es-ES"/>
    </w:rPr>
  </w:style>
  <w:style w:type="character" w:customStyle="1" w:styleId="Ttulo1Car">
    <w:name w:val="Título 1 Car"/>
    <w:basedOn w:val="Fuentedeprrafopredeter"/>
    <w:link w:val="Ttulo1"/>
    <w:uiPriority w:val="9"/>
    <w:rsid w:val="00926504"/>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CC6E82"/>
    <w:rPr>
      <w:color w:val="0000FF" w:themeColor="hyperlink"/>
      <w:u w:val="single"/>
    </w:rPr>
  </w:style>
  <w:style w:type="paragraph" w:styleId="HTMLconformatoprevio">
    <w:name w:val="HTML Preformatted"/>
    <w:basedOn w:val="Normal"/>
    <w:link w:val="HTMLconformatoprevioCar"/>
    <w:uiPriority w:val="99"/>
    <w:semiHidden/>
    <w:unhideWhenUsed/>
    <w:rsid w:val="000F50AC"/>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0F50AC"/>
    <w:rPr>
      <w:rFonts w:ascii="Consolas" w:hAnsi="Consolas" w:cs="Consolas"/>
      <w:sz w:val="20"/>
      <w:szCs w:val="20"/>
    </w:rPr>
  </w:style>
  <w:style w:type="table" w:styleId="Tablaconcuadrcula">
    <w:name w:val="Table Grid"/>
    <w:basedOn w:val="Tablanormal"/>
    <w:uiPriority w:val="59"/>
    <w:rsid w:val="00EC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36657"/>
    <w:pPr>
      <w:ind w:left="720"/>
      <w:contextualSpacing/>
    </w:pPr>
  </w:style>
  <w:style w:type="table" w:styleId="Cuadrculamedia3-nfasis2">
    <w:name w:val="Medium Grid 3 Accent 2"/>
    <w:basedOn w:val="Tablanormal"/>
    <w:uiPriority w:val="69"/>
    <w:rsid w:val="001124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4">
    <w:name w:val="Medium Grid 3 Accent 4"/>
    <w:basedOn w:val="Tablanormal"/>
    <w:uiPriority w:val="69"/>
    <w:rsid w:val="001124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Encabezado">
    <w:name w:val="header"/>
    <w:basedOn w:val="Normal"/>
    <w:link w:val="EncabezadoCar"/>
    <w:uiPriority w:val="99"/>
    <w:semiHidden/>
    <w:unhideWhenUsed/>
    <w:rsid w:val="007C52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C52A0"/>
  </w:style>
  <w:style w:type="paragraph" w:styleId="Piedepgina">
    <w:name w:val="footer"/>
    <w:basedOn w:val="Normal"/>
    <w:link w:val="PiedepginaCar"/>
    <w:uiPriority w:val="99"/>
    <w:semiHidden/>
    <w:unhideWhenUsed/>
    <w:rsid w:val="007C52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C52A0"/>
  </w:style>
  <w:style w:type="table" w:styleId="Cuadrculaclara-nfasis4">
    <w:name w:val="Light Grid Accent 4"/>
    <w:basedOn w:val="Tablanormal"/>
    <w:uiPriority w:val="62"/>
    <w:rsid w:val="00C973F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893">
      <w:bodyDiv w:val="1"/>
      <w:marLeft w:val="0"/>
      <w:marRight w:val="0"/>
      <w:marTop w:val="0"/>
      <w:marBottom w:val="0"/>
      <w:divBdr>
        <w:top w:val="none" w:sz="0" w:space="0" w:color="auto"/>
        <w:left w:val="none" w:sz="0" w:space="0" w:color="auto"/>
        <w:bottom w:val="none" w:sz="0" w:space="0" w:color="auto"/>
        <w:right w:val="none" w:sz="0" w:space="0" w:color="auto"/>
      </w:divBdr>
    </w:div>
    <w:div w:id="27688392">
      <w:bodyDiv w:val="1"/>
      <w:marLeft w:val="0"/>
      <w:marRight w:val="0"/>
      <w:marTop w:val="0"/>
      <w:marBottom w:val="0"/>
      <w:divBdr>
        <w:top w:val="none" w:sz="0" w:space="0" w:color="auto"/>
        <w:left w:val="none" w:sz="0" w:space="0" w:color="auto"/>
        <w:bottom w:val="none" w:sz="0" w:space="0" w:color="auto"/>
        <w:right w:val="none" w:sz="0" w:space="0" w:color="auto"/>
      </w:divBdr>
    </w:div>
    <w:div w:id="54592472">
      <w:bodyDiv w:val="1"/>
      <w:marLeft w:val="0"/>
      <w:marRight w:val="0"/>
      <w:marTop w:val="0"/>
      <w:marBottom w:val="0"/>
      <w:divBdr>
        <w:top w:val="none" w:sz="0" w:space="0" w:color="auto"/>
        <w:left w:val="none" w:sz="0" w:space="0" w:color="auto"/>
        <w:bottom w:val="none" w:sz="0" w:space="0" w:color="auto"/>
        <w:right w:val="none" w:sz="0" w:space="0" w:color="auto"/>
      </w:divBdr>
      <w:divsChild>
        <w:div w:id="1472209055">
          <w:marLeft w:val="0"/>
          <w:marRight w:val="300"/>
          <w:marTop w:val="0"/>
          <w:marBottom w:val="540"/>
          <w:divBdr>
            <w:top w:val="none" w:sz="0" w:space="0" w:color="auto"/>
            <w:left w:val="none" w:sz="0" w:space="0" w:color="auto"/>
            <w:bottom w:val="none" w:sz="0" w:space="0" w:color="auto"/>
            <w:right w:val="none" w:sz="0" w:space="0" w:color="auto"/>
          </w:divBdr>
        </w:div>
      </w:divsChild>
    </w:div>
    <w:div w:id="54667070">
      <w:bodyDiv w:val="1"/>
      <w:marLeft w:val="0"/>
      <w:marRight w:val="0"/>
      <w:marTop w:val="0"/>
      <w:marBottom w:val="0"/>
      <w:divBdr>
        <w:top w:val="none" w:sz="0" w:space="0" w:color="auto"/>
        <w:left w:val="none" w:sz="0" w:space="0" w:color="auto"/>
        <w:bottom w:val="none" w:sz="0" w:space="0" w:color="auto"/>
        <w:right w:val="none" w:sz="0" w:space="0" w:color="auto"/>
      </w:divBdr>
    </w:div>
    <w:div w:id="54739921">
      <w:bodyDiv w:val="1"/>
      <w:marLeft w:val="0"/>
      <w:marRight w:val="0"/>
      <w:marTop w:val="0"/>
      <w:marBottom w:val="0"/>
      <w:divBdr>
        <w:top w:val="none" w:sz="0" w:space="0" w:color="auto"/>
        <w:left w:val="none" w:sz="0" w:space="0" w:color="auto"/>
        <w:bottom w:val="none" w:sz="0" w:space="0" w:color="auto"/>
        <w:right w:val="none" w:sz="0" w:space="0" w:color="auto"/>
      </w:divBdr>
    </w:div>
    <w:div w:id="63188291">
      <w:bodyDiv w:val="1"/>
      <w:marLeft w:val="0"/>
      <w:marRight w:val="0"/>
      <w:marTop w:val="0"/>
      <w:marBottom w:val="0"/>
      <w:divBdr>
        <w:top w:val="none" w:sz="0" w:space="0" w:color="auto"/>
        <w:left w:val="none" w:sz="0" w:space="0" w:color="auto"/>
        <w:bottom w:val="none" w:sz="0" w:space="0" w:color="auto"/>
        <w:right w:val="none" w:sz="0" w:space="0" w:color="auto"/>
      </w:divBdr>
    </w:div>
    <w:div w:id="70853288">
      <w:bodyDiv w:val="1"/>
      <w:marLeft w:val="0"/>
      <w:marRight w:val="0"/>
      <w:marTop w:val="0"/>
      <w:marBottom w:val="0"/>
      <w:divBdr>
        <w:top w:val="none" w:sz="0" w:space="0" w:color="auto"/>
        <w:left w:val="none" w:sz="0" w:space="0" w:color="auto"/>
        <w:bottom w:val="none" w:sz="0" w:space="0" w:color="auto"/>
        <w:right w:val="none" w:sz="0" w:space="0" w:color="auto"/>
      </w:divBdr>
    </w:div>
    <w:div w:id="78716326">
      <w:bodyDiv w:val="1"/>
      <w:marLeft w:val="0"/>
      <w:marRight w:val="0"/>
      <w:marTop w:val="0"/>
      <w:marBottom w:val="0"/>
      <w:divBdr>
        <w:top w:val="none" w:sz="0" w:space="0" w:color="auto"/>
        <w:left w:val="none" w:sz="0" w:space="0" w:color="auto"/>
        <w:bottom w:val="none" w:sz="0" w:space="0" w:color="auto"/>
        <w:right w:val="none" w:sz="0" w:space="0" w:color="auto"/>
      </w:divBdr>
    </w:div>
    <w:div w:id="90516326">
      <w:bodyDiv w:val="1"/>
      <w:marLeft w:val="0"/>
      <w:marRight w:val="0"/>
      <w:marTop w:val="0"/>
      <w:marBottom w:val="0"/>
      <w:divBdr>
        <w:top w:val="none" w:sz="0" w:space="0" w:color="auto"/>
        <w:left w:val="none" w:sz="0" w:space="0" w:color="auto"/>
        <w:bottom w:val="none" w:sz="0" w:space="0" w:color="auto"/>
        <w:right w:val="none" w:sz="0" w:space="0" w:color="auto"/>
      </w:divBdr>
    </w:div>
    <w:div w:id="101073493">
      <w:bodyDiv w:val="1"/>
      <w:marLeft w:val="0"/>
      <w:marRight w:val="0"/>
      <w:marTop w:val="0"/>
      <w:marBottom w:val="0"/>
      <w:divBdr>
        <w:top w:val="none" w:sz="0" w:space="0" w:color="auto"/>
        <w:left w:val="none" w:sz="0" w:space="0" w:color="auto"/>
        <w:bottom w:val="none" w:sz="0" w:space="0" w:color="auto"/>
        <w:right w:val="none" w:sz="0" w:space="0" w:color="auto"/>
      </w:divBdr>
    </w:div>
    <w:div w:id="104081612">
      <w:bodyDiv w:val="1"/>
      <w:marLeft w:val="0"/>
      <w:marRight w:val="0"/>
      <w:marTop w:val="0"/>
      <w:marBottom w:val="0"/>
      <w:divBdr>
        <w:top w:val="none" w:sz="0" w:space="0" w:color="auto"/>
        <w:left w:val="none" w:sz="0" w:space="0" w:color="auto"/>
        <w:bottom w:val="none" w:sz="0" w:space="0" w:color="auto"/>
        <w:right w:val="none" w:sz="0" w:space="0" w:color="auto"/>
      </w:divBdr>
    </w:div>
    <w:div w:id="157430992">
      <w:bodyDiv w:val="1"/>
      <w:marLeft w:val="0"/>
      <w:marRight w:val="0"/>
      <w:marTop w:val="0"/>
      <w:marBottom w:val="0"/>
      <w:divBdr>
        <w:top w:val="none" w:sz="0" w:space="0" w:color="auto"/>
        <w:left w:val="none" w:sz="0" w:space="0" w:color="auto"/>
        <w:bottom w:val="none" w:sz="0" w:space="0" w:color="auto"/>
        <w:right w:val="none" w:sz="0" w:space="0" w:color="auto"/>
      </w:divBdr>
    </w:div>
    <w:div w:id="158233150">
      <w:bodyDiv w:val="1"/>
      <w:marLeft w:val="0"/>
      <w:marRight w:val="0"/>
      <w:marTop w:val="0"/>
      <w:marBottom w:val="0"/>
      <w:divBdr>
        <w:top w:val="none" w:sz="0" w:space="0" w:color="auto"/>
        <w:left w:val="none" w:sz="0" w:space="0" w:color="auto"/>
        <w:bottom w:val="none" w:sz="0" w:space="0" w:color="auto"/>
        <w:right w:val="none" w:sz="0" w:space="0" w:color="auto"/>
      </w:divBdr>
    </w:div>
    <w:div w:id="167252838">
      <w:bodyDiv w:val="1"/>
      <w:marLeft w:val="0"/>
      <w:marRight w:val="0"/>
      <w:marTop w:val="0"/>
      <w:marBottom w:val="0"/>
      <w:divBdr>
        <w:top w:val="none" w:sz="0" w:space="0" w:color="auto"/>
        <w:left w:val="none" w:sz="0" w:space="0" w:color="auto"/>
        <w:bottom w:val="none" w:sz="0" w:space="0" w:color="auto"/>
        <w:right w:val="none" w:sz="0" w:space="0" w:color="auto"/>
      </w:divBdr>
    </w:div>
    <w:div w:id="217129933">
      <w:bodyDiv w:val="1"/>
      <w:marLeft w:val="0"/>
      <w:marRight w:val="0"/>
      <w:marTop w:val="0"/>
      <w:marBottom w:val="0"/>
      <w:divBdr>
        <w:top w:val="none" w:sz="0" w:space="0" w:color="auto"/>
        <w:left w:val="none" w:sz="0" w:space="0" w:color="auto"/>
        <w:bottom w:val="none" w:sz="0" w:space="0" w:color="auto"/>
        <w:right w:val="none" w:sz="0" w:space="0" w:color="auto"/>
      </w:divBdr>
    </w:div>
    <w:div w:id="225652876">
      <w:bodyDiv w:val="1"/>
      <w:marLeft w:val="0"/>
      <w:marRight w:val="0"/>
      <w:marTop w:val="0"/>
      <w:marBottom w:val="0"/>
      <w:divBdr>
        <w:top w:val="none" w:sz="0" w:space="0" w:color="auto"/>
        <w:left w:val="none" w:sz="0" w:space="0" w:color="auto"/>
        <w:bottom w:val="none" w:sz="0" w:space="0" w:color="auto"/>
        <w:right w:val="none" w:sz="0" w:space="0" w:color="auto"/>
      </w:divBdr>
    </w:div>
    <w:div w:id="243875175">
      <w:bodyDiv w:val="1"/>
      <w:marLeft w:val="0"/>
      <w:marRight w:val="0"/>
      <w:marTop w:val="0"/>
      <w:marBottom w:val="0"/>
      <w:divBdr>
        <w:top w:val="none" w:sz="0" w:space="0" w:color="auto"/>
        <w:left w:val="none" w:sz="0" w:space="0" w:color="auto"/>
        <w:bottom w:val="none" w:sz="0" w:space="0" w:color="auto"/>
        <w:right w:val="none" w:sz="0" w:space="0" w:color="auto"/>
      </w:divBdr>
    </w:div>
    <w:div w:id="255553723">
      <w:bodyDiv w:val="1"/>
      <w:marLeft w:val="0"/>
      <w:marRight w:val="0"/>
      <w:marTop w:val="0"/>
      <w:marBottom w:val="0"/>
      <w:divBdr>
        <w:top w:val="none" w:sz="0" w:space="0" w:color="auto"/>
        <w:left w:val="none" w:sz="0" w:space="0" w:color="auto"/>
        <w:bottom w:val="none" w:sz="0" w:space="0" w:color="auto"/>
        <w:right w:val="none" w:sz="0" w:space="0" w:color="auto"/>
      </w:divBdr>
    </w:div>
    <w:div w:id="257445022">
      <w:bodyDiv w:val="1"/>
      <w:marLeft w:val="0"/>
      <w:marRight w:val="0"/>
      <w:marTop w:val="0"/>
      <w:marBottom w:val="0"/>
      <w:divBdr>
        <w:top w:val="none" w:sz="0" w:space="0" w:color="auto"/>
        <w:left w:val="none" w:sz="0" w:space="0" w:color="auto"/>
        <w:bottom w:val="none" w:sz="0" w:space="0" w:color="auto"/>
        <w:right w:val="none" w:sz="0" w:space="0" w:color="auto"/>
      </w:divBdr>
    </w:div>
    <w:div w:id="274094658">
      <w:bodyDiv w:val="1"/>
      <w:marLeft w:val="0"/>
      <w:marRight w:val="0"/>
      <w:marTop w:val="0"/>
      <w:marBottom w:val="0"/>
      <w:divBdr>
        <w:top w:val="none" w:sz="0" w:space="0" w:color="auto"/>
        <w:left w:val="none" w:sz="0" w:space="0" w:color="auto"/>
        <w:bottom w:val="none" w:sz="0" w:space="0" w:color="auto"/>
        <w:right w:val="none" w:sz="0" w:space="0" w:color="auto"/>
      </w:divBdr>
    </w:div>
    <w:div w:id="274138584">
      <w:bodyDiv w:val="1"/>
      <w:marLeft w:val="0"/>
      <w:marRight w:val="0"/>
      <w:marTop w:val="0"/>
      <w:marBottom w:val="0"/>
      <w:divBdr>
        <w:top w:val="none" w:sz="0" w:space="0" w:color="auto"/>
        <w:left w:val="none" w:sz="0" w:space="0" w:color="auto"/>
        <w:bottom w:val="none" w:sz="0" w:space="0" w:color="auto"/>
        <w:right w:val="none" w:sz="0" w:space="0" w:color="auto"/>
      </w:divBdr>
    </w:div>
    <w:div w:id="336881639">
      <w:bodyDiv w:val="1"/>
      <w:marLeft w:val="0"/>
      <w:marRight w:val="0"/>
      <w:marTop w:val="0"/>
      <w:marBottom w:val="0"/>
      <w:divBdr>
        <w:top w:val="none" w:sz="0" w:space="0" w:color="auto"/>
        <w:left w:val="none" w:sz="0" w:space="0" w:color="auto"/>
        <w:bottom w:val="none" w:sz="0" w:space="0" w:color="auto"/>
        <w:right w:val="none" w:sz="0" w:space="0" w:color="auto"/>
      </w:divBdr>
    </w:div>
    <w:div w:id="351347290">
      <w:bodyDiv w:val="1"/>
      <w:marLeft w:val="0"/>
      <w:marRight w:val="0"/>
      <w:marTop w:val="0"/>
      <w:marBottom w:val="0"/>
      <w:divBdr>
        <w:top w:val="none" w:sz="0" w:space="0" w:color="auto"/>
        <w:left w:val="none" w:sz="0" w:space="0" w:color="auto"/>
        <w:bottom w:val="none" w:sz="0" w:space="0" w:color="auto"/>
        <w:right w:val="none" w:sz="0" w:space="0" w:color="auto"/>
      </w:divBdr>
    </w:div>
    <w:div w:id="359287228">
      <w:bodyDiv w:val="1"/>
      <w:marLeft w:val="0"/>
      <w:marRight w:val="0"/>
      <w:marTop w:val="0"/>
      <w:marBottom w:val="0"/>
      <w:divBdr>
        <w:top w:val="none" w:sz="0" w:space="0" w:color="auto"/>
        <w:left w:val="none" w:sz="0" w:space="0" w:color="auto"/>
        <w:bottom w:val="none" w:sz="0" w:space="0" w:color="auto"/>
        <w:right w:val="none" w:sz="0" w:space="0" w:color="auto"/>
      </w:divBdr>
    </w:div>
    <w:div w:id="426272504">
      <w:bodyDiv w:val="1"/>
      <w:marLeft w:val="0"/>
      <w:marRight w:val="0"/>
      <w:marTop w:val="0"/>
      <w:marBottom w:val="0"/>
      <w:divBdr>
        <w:top w:val="none" w:sz="0" w:space="0" w:color="auto"/>
        <w:left w:val="none" w:sz="0" w:space="0" w:color="auto"/>
        <w:bottom w:val="none" w:sz="0" w:space="0" w:color="auto"/>
        <w:right w:val="none" w:sz="0" w:space="0" w:color="auto"/>
      </w:divBdr>
    </w:div>
    <w:div w:id="439106934">
      <w:bodyDiv w:val="1"/>
      <w:marLeft w:val="0"/>
      <w:marRight w:val="0"/>
      <w:marTop w:val="0"/>
      <w:marBottom w:val="0"/>
      <w:divBdr>
        <w:top w:val="none" w:sz="0" w:space="0" w:color="auto"/>
        <w:left w:val="none" w:sz="0" w:space="0" w:color="auto"/>
        <w:bottom w:val="none" w:sz="0" w:space="0" w:color="auto"/>
        <w:right w:val="none" w:sz="0" w:space="0" w:color="auto"/>
      </w:divBdr>
    </w:div>
    <w:div w:id="442965760">
      <w:bodyDiv w:val="1"/>
      <w:marLeft w:val="0"/>
      <w:marRight w:val="0"/>
      <w:marTop w:val="0"/>
      <w:marBottom w:val="0"/>
      <w:divBdr>
        <w:top w:val="none" w:sz="0" w:space="0" w:color="auto"/>
        <w:left w:val="none" w:sz="0" w:space="0" w:color="auto"/>
        <w:bottom w:val="none" w:sz="0" w:space="0" w:color="auto"/>
        <w:right w:val="none" w:sz="0" w:space="0" w:color="auto"/>
      </w:divBdr>
    </w:div>
    <w:div w:id="449319140">
      <w:bodyDiv w:val="1"/>
      <w:marLeft w:val="0"/>
      <w:marRight w:val="0"/>
      <w:marTop w:val="0"/>
      <w:marBottom w:val="0"/>
      <w:divBdr>
        <w:top w:val="none" w:sz="0" w:space="0" w:color="auto"/>
        <w:left w:val="none" w:sz="0" w:space="0" w:color="auto"/>
        <w:bottom w:val="none" w:sz="0" w:space="0" w:color="auto"/>
        <w:right w:val="none" w:sz="0" w:space="0" w:color="auto"/>
      </w:divBdr>
    </w:div>
    <w:div w:id="452292265">
      <w:bodyDiv w:val="1"/>
      <w:marLeft w:val="0"/>
      <w:marRight w:val="0"/>
      <w:marTop w:val="0"/>
      <w:marBottom w:val="0"/>
      <w:divBdr>
        <w:top w:val="none" w:sz="0" w:space="0" w:color="auto"/>
        <w:left w:val="none" w:sz="0" w:space="0" w:color="auto"/>
        <w:bottom w:val="none" w:sz="0" w:space="0" w:color="auto"/>
        <w:right w:val="none" w:sz="0" w:space="0" w:color="auto"/>
      </w:divBdr>
    </w:div>
    <w:div w:id="489710574">
      <w:bodyDiv w:val="1"/>
      <w:marLeft w:val="0"/>
      <w:marRight w:val="0"/>
      <w:marTop w:val="0"/>
      <w:marBottom w:val="0"/>
      <w:divBdr>
        <w:top w:val="none" w:sz="0" w:space="0" w:color="auto"/>
        <w:left w:val="none" w:sz="0" w:space="0" w:color="auto"/>
        <w:bottom w:val="none" w:sz="0" w:space="0" w:color="auto"/>
        <w:right w:val="none" w:sz="0" w:space="0" w:color="auto"/>
      </w:divBdr>
    </w:div>
    <w:div w:id="489757935">
      <w:bodyDiv w:val="1"/>
      <w:marLeft w:val="0"/>
      <w:marRight w:val="0"/>
      <w:marTop w:val="0"/>
      <w:marBottom w:val="0"/>
      <w:divBdr>
        <w:top w:val="none" w:sz="0" w:space="0" w:color="auto"/>
        <w:left w:val="none" w:sz="0" w:space="0" w:color="auto"/>
        <w:bottom w:val="none" w:sz="0" w:space="0" w:color="auto"/>
        <w:right w:val="none" w:sz="0" w:space="0" w:color="auto"/>
      </w:divBdr>
    </w:div>
    <w:div w:id="518278177">
      <w:bodyDiv w:val="1"/>
      <w:marLeft w:val="0"/>
      <w:marRight w:val="0"/>
      <w:marTop w:val="0"/>
      <w:marBottom w:val="0"/>
      <w:divBdr>
        <w:top w:val="none" w:sz="0" w:space="0" w:color="auto"/>
        <w:left w:val="none" w:sz="0" w:space="0" w:color="auto"/>
        <w:bottom w:val="none" w:sz="0" w:space="0" w:color="auto"/>
        <w:right w:val="none" w:sz="0" w:space="0" w:color="auto"/>
      </w:divBdr>
    </w:div>
    <w:div w:id="533887892">
      <w:bodyDiv w:val="1"/>
      <w:marLeft w:val="0"/>
      <w:marRight w:val="0"/>
      <w:marTop w:val="0"/>
      <w:marBottom w:val="0"/>
      <w:divBdr>
        <w:top w:val="none" w:sz="0" w:space="0" w:color="auto"/>
        <w:left w:val="none" w:sz="0" w:space="0" w:color="auto"/>
        <w:bottom w:val="none" w:sz="0" w:space="0" w:color="auto"/>
        <w:right w:val="none" w:sz="0" w:space="0" w:color="auto"/>
      </w:divBdr>
    </w:div>
    <w:div w:id="545266040">
      <w:bodyDiv w:val="1"/>
      <w:marLeft w:val="0"/>
      <w:marRight w:val="0"/>
      <w:marTop w:val="0"/>
      <w:marBottom w:val="0"/>
      <w:divBdr>
        <w:top w:val="none" w:sz="0" w:space="0" w:color="auto"/>
        <w:left w:val="none" w:sz="0" w:space="0" w:color="auto"/>
        <w:bottom w:val="none" w:sz="0" w:space="0" w:color="auto"/>
        <w:right w:val="none" w:sz="0" w:space="0" w:color="auto"/>
      </w:divBdr>
    </w:div>
    <w:div w:id="557665673">
      <w:bodyDiv w:val="1"/>
      <w:marLeft w:val="0"/>
      <w:marRight w:val="0"/>
      <w:marTop w:val="0"/>
      <w:marBottom w:val="0"/>
      <w:divBdr>
        <w:top w:val="none" w:sz="0" w:space="0" w:color="auto"/>
        <w:left w:val="none" w:sz="0" w:space="0" w:color="auto"/>
        <w:bottom w:val="none" w:sz="0" w:space="0" w:color="auto"/>
        <w:right w:val="none" w:sz="0" w:space="0" w:color="auto"/>
      </w:divBdr>
    </w:div>
    <w:div w:id="568151256">
      <w:bodyDiv w:val="1"/>
      <w:marLeft w:val="0"/>
      <w:marRight w:val="0"/>
      <w:marTop w:val="0"/>
      <w:marBottom w:val="0"/>
      <w:divBdr>
        <w:top w:val="none" w:sz="0" w:space="0" w:color="auto"/>
        <w:left w:val="none" w:sz="0" w:space="0" w:color="auto"/>
        <w:bottom w:val="none" w:sz="0" w:space="0" w:color="auto"/>
        <w:right w:val="none" w:sz="0" w:space="0" w:color="auto"/>
      </w:divBdr>
    </w:div>
    <w:div w:id="571626524">
      <w:bodyDiv w:val="1"/>
      <w:marLeft w:val="0"/>
      <w:marRight w:val="0"/>
      <w:marTop w:val="0"/>
      <w:marBottom w:val="0"/>
      <w:divBdr>
        <w:top w:val="none" w:sz="0" w:space="0" w:color="auto"/>
        <w:left w:val="none" w:sz="0" w:space="0" w:color="auto"/>
        <w:bottom w:val="none" w:sz="0" w:space="0" w:color="auto"/>
        <w:right w:val="none" w:sz="0" w:space="0" w:color="auto"/>
      </w:divBdr>
    </w:div>
    <w:div w:id="590697431">
      <w:bodyDiv w:val="1"/>
      <w:marLeft w:val="0"/>
      <w:marRight w:val="0"/>
      <w:marTop w:val="0"/>
      <w:marBottom w:val="0"/>
      <w:divBdr>
        <w:top w:val="none" w:sz="0" w:space="0" w:color="auto"/>
        <w:left w:val="none" w:sz="0" w:space="0" w:color="auto"/>
        <w:bottom w:val="none" w:sz="0" w:space="0" w:color="auto"/>
        <w:right w:val="none" w:sz="0" w:space="0" w:color="auto"/>
      </w:divBdr>
    </w:div>
    <w:div w:id="595211933">
      <w:bodyDiv w:val="1"/>
      <w:marLeft w:val="0"/>
      <w:marRight w:val="0"/>
      <w:marTop w:val="0"/>
      <w:marBottom w:val="0"/>
      <w:divBdr>
        <w:top w:val="none" w:sz="0" w:space="0" w:color="auto"/>
        <w:left w:val="none" w:sz="0" w:space="0" w:color="auto"/>
        <w:bottom w:val="none" w:sz="0" w:space="0" w:color="auto"/>
        <w:right w:val="none" w:sz="0" w:space="0" w:color="auto"/>
      </w:divBdr>
    </w:div>
    <w:div w:id="601688173">
      <w:bodyDiv w:val="1"/>
      <w:marLeft w:val="0"/>
      <w:marRight w:val="0"/>
      <w:marTop w:val="0"/>
      <w:marBottom w:val="0"/>
      <w:divBdr>
        <w:top w:val="none" w:sz="0" w:space="0" w:color="auto"/>
        <w:left w:val="none" w:sz="0" w:space="0" w:color="auto"/>
        <w:bottom w:val="none" w:sz="0" w:space="0" w:color="auto"/>
        <w:right w:val="none" w:sz="0" w:space="0" w:color="auto"/>
      </w:divBdr>
    </w:div>
    <w:div w:id="618683350">
      <w:bodyDiv w:val="1"/>
      <w:marLeft w:val="0"/>
      <w:marRight w:val="0"/>
      <w:marTop w:val="0"/>
      <w:marBottom w:val="0"/>
      <w:divBdr>
        <w:top w:val="none" w:sz="0" w:space="0" w:color="auto"/>
        <w:left w:val="none" w:sz="0" w:space="0" w:color="auto"/>
        <w:bottom w:val="none" w:sz="0" w:space="0" w:color="auto"/>
        <w:right w:val="none" w:sz="0" w:space="0" w:color="auto"/>
      </w:divBdr>
    </w:div>
    <w:div w:id="666131430">
      <w:bodyDiv w:val="1"/>
      <w:marLeft w:val="0"/>
      <w:marRight w:val="0"/>
      <w:marTop w:val="0"/>
      <w:marBottom w:val="0"/>
      <w:divBdr>
        <w:top w:val="none" w:sz="0" w:space="0" w:color="auto"/>
        <w:left w:val="none" w:sz="0" w:space="0" w:color="auto"/>
        <w:bottom w:val="none" w:sz="0" w:space="0" w:color="auto"/>
        <w:right w:val="none" w:sz="0" w:space="0" w:color="auto"/>
      </w:divBdr>
    </w:div>
    <w:div w:id="698236504">
      <w:bodyDiv w:val="1"/>
      <w:marLeft w:val="0"/>
      <w:marRight w:val="0"/>
      <w:marTop w:val="0"/>
      <w:marBottom w:val="0"/>
      <w:divBdr>
        <w:top w:val="none" w:sz="0" w:space="0" w:color="auto"/>
        <w:left w:val="none" w:sz="0" w:space="0" w:color="auto"/>
        <w:bottom w:val="none" w:sz="0" w:space="0" w:color="auto"/>
        <w:right w:val="none" w:sz="0" w:space="0" w:color="auto"/>
      </w:divBdr>
    </w:div>
    <w:div w:id="721709861">
      <w:bodyDiv w:val="1"/>
      <w:marLeft w:val="0"/>
      <w:marRight w:val="0"/>
      <w:marTop w:val="0"/>
      <w:marBottom w:val="0"/>
      <w:divBdr>
        <w:top w:val="none" w:sz="0" w:space="0" w:color="auto"/>
        <w:left w:val="none" w:sz="0" w:space="0" w:color="auto"/>
        <w:bottom w:val="none" w:sz="0" w:space="0" w:color="auto"/>
        <w:right w:val="none" w:sz="0" w:space="0" w:color="auto"/>
      </w:divBdr>
    </w:div>
    <w:div w:id="723453418">
      <w:bodyDiv w:val="1"/>
      <w:marLeft w:val="0"/>
      <w:marRight w:val="0"/>
      <w:marTop w:val="0"/>
      <w:marBottom w:val="0"/>
      <w:divBdr>
        <w:top w:val="none" w:sz="0" w:space="0" w:color="auto"/>
        <w:left w:val="none" w:sz="0" w:space="0" w:color="auto"/>
        <w:bottom w:val="none" w:sz="0" w:space="0" w:color="auto"/>
        <w:right w:val="none" w:sz="0" w:space="0" w:color="auto"/>
      </w:divBdr>
    </w:div>
    <w:div w:id="729809029">
      <w:bodyDiv w:val="1"/>
      <w:marLeft w:val="0"/>
      <w:marRight w:val="0"/>
      <w:marTop w:val="0"/>
      <w:marBottom w:val="0"/>
      <w:divBdr>
        <w:top w:val="none" w:sz="0" w:space="0" w:color="auto"/>
        <w:left w:val="none" w:sz="0" w:space="0" w:color="auto"/>
        <w:bottom w:val="none" w:sz="0" w:space="0" w:color="auto"/>
        <w:right w:val="none" w:sz="0" w:space="0" w:color="auto"/>
      </w:divBdr>
    </w:div>
    <w:div w:id="746150656">
      <w:bodyDiv w:val="1"/>
      <w:marLeft w:val="0"/>
      <w:marRight w:val="0"/>
      <w:marTop w:val="0"/>
      <w:marBottom w:val="0"/>
      <w:divBdr>
        <w:top w:val="none" w:sz="0" w:space="0" w:color="auto"/>
        <w:left w:val="none" w:sz="0" w:space="0" w:color="auto"/>
        <w:bottom w:val="none" w:sz="0" w:space="0" w:color="auto"/>
        <w:right w:val="none" w:sz="0" w:space="0" w:color="auto"/>
      </w:divBdr>
    </w:div>
    <w:div w:id="748774857">
      <w:bodyDiv w:val="1"/>
      <w:marLeft w:val="0"/>
      <w:marRight w:val="0"/>
      <w:marTop w:val="0"/>
      <w:marBottom w:val="0"/>
      <w:divBdr>
        <w:top w:val="none" w:sz="0" w:space="0" w:color="auto"/>
        <w:left w:val="none" w:sz="0" w:space="0" w:color="auto"/>
        <w:bottom w:val="none" w:sz="0" w:space="0" w:color="auto"/>
        <w:right w:val="none" w:sz="0" w:space="0" w:color="auto"/>
      </w:divBdr>
    </w:div>
    <w:div w:id="763963555">
      <w:bodyDiv w:val="1"/>
      <w:marLeft w:val="0"/>
      <w:marRight w:val="0"/>
      <w:marTop w:val="0"/>
      <w:marBottom w:val="0"/>
      <w:divBdr>
        <w:top w:val="none" w:sz="0" w:space="0" w:color="auto"/>
        <w:left w:val="none" w:sz="0" w:space="0" w:color="auto"/>
        <w:bottom w:val="none" w:sz="0" w:space="0" w:color="auto"/>
        <w:right w:val="none" w:sz="0" w:space="0" w:color="auto"/>
      </w:divBdr>
    </w:div>
    <w:div w:id="784230778">
      <w:bodyDiv w:val="1"/>
      <w:marLeft w:val="0"/>
      <w:marRight w:val="0"/>
      <w:marTop w:val="0"/>
      <w:marBottom w:val="0"/>
      <w:divBdr>
        <w:top w:val="none" w:sz="0" w:space="0" w:color="auto"/>
        <w:left w:val="none" w:sz="0" w:space="0" w:color="auto"/>
        <w:bottom w:val="none" w:sz="0" w:space="0" w:color="auto"/>
        <w:right w:val="none" w:sz="0" w:space="0" w:color="auto"/>
      </w:divBdr>
    </w:div>
    <w:div w:id="807013078">
      <w:bodyDiv w:val="1"/>
      <w:marLeft w:val="0"/>
      <w:marRight w:val="0"/>
      <w:marTop w:val="0"/>
      <w:marBottom w:val="0"/>
      <w:divBdr>
        <w:top w:val="none" w:sz="0" w:space="0" w:color="auto"/>
        <w:left w:val="none" w:sz="0" w:space="0" w:color="auto"/>
        <w:bottom w:val="none" w:sz="0" w:space="0" w:color="auto"/>
        <w:right w:val="none" w:sz="0" w:space="0" w:color="auto"/>
      </w:divBdr>
    </w:div>
    <w:div w:id="819538880">
      <w:bodyDiv w:val="1"/>
      <w:marLeft w:val="0"/>
      <w:marRight w:val="0"/>
      <w:marTop w:val="0"/>
      <w:marBottom w:val="0"/>
      <w:divBdr>
        <w:top w:val="none" w:sz="0" w:space="0" w:color="auto"/>
        <w:left w:val="none" w:sz="0" w:space="0" w:color="auto"/>
        <w:bottom w:val="none" w:sz="0" w:space="0" w:color="auto"/>
        <w:right w:val="none" w:sz="0" w:space="0" w:color="auto"/>
      </w:divBdr>
      <w:divsChild>
        <w:div w:id="1431781165">
          <w:marLeft w:val="0"/>
          <w:marRight w:val="300"/>
          <w:marTop w:val="0"/>
          <w:marBottom w:val="540"/>
          <w:divBdr>
            <w:top w:val="none" w:sz="0" w:space="0" w:color="auto"/>
            <w:left w:val="none" w:sz="0" w:space="0" w:color="auto"/>
            <w:bottom w:val="none" w:sz="0" w:space="0" w:color="auto"/>
            <w:right w:val="none" w:sz="0" w:space="0" w:color="auto"/>
          </w:divBdr>
        </w:div>
      </w:divsChild>
    </w:div>
    <w:div w:id="845292683">
      <w:bodyDiv w:val="1"/>
      <w:marLeft w:val="0"/>
      <w:marRight w:val="0"/>
      <w:marTop w:val="0"/>
      <w:marBottom w:val="0"/>
      <w:divBdr>
        <w:top w:val="none" w:sz="0" w:space="0" w:color="auto"/>
        <w:left w:val="none" w:sz="0" w:space="0" w:color="auto"/>
        <w:bottom w:val="none" w:sz="0" w:space="0" w:color="auto"/>
        <w:right w:val="none" w:sz="0" w:space="0" w:color="auto"/>
      </w:divBdr>
    </w:div>
    <w:div w:id="882643630">
      <w:bodyDiv w:val="1"/>
      <w:marLeft w:val="0"/>
      <w:marRight w:val="0"/>
      <w:marTop w:val="0"/>
      <w:marBottom w:val="0"/>
      <w:divBdr>
        <w:top w:val="none" w:sz="0" w:space="0" w:color="auto"/>
        <w:left w:val="none" w:sz="0" w:space="0" w:color="auto"/>
        <w:bottom w:val="none" w:sz="0" w:space="0" w:color="auto"/>
        <w:right w:val="none" w:sz="0" w:space="0" w:color="auto"/>
      </w:divBdr>
    </w:div>
    <w:div w:id="902301793">
      <w:bodyDiv w:val="1"/>
      <w:marLeft w:val="0"/>
      <w:marRight w:val="0"/>
      <w:marTop w:val="0"/>
      <w:marBottom w:val="0"/>
      <w:divBdr>
        <w:top w:val="none" w:sz="0" w:space="0" w:color="auto"/>
        <w:left w:val="none" w:sz="0" w:space="0" w:color="auto"/>
        <w:bottom w:val="none" w:sz="0" w:space="0" w:color="auto"/>
        <w:right w:val="none" w:sz="0" w:space="0" w:color="auto"/>
      </w:divBdr>
    </w:div>
    <w:div w:id="904797814">
      <w:bodyDiv w:val="1"/>
      <w:marLeft w:val="0"/>
      <w:marRight w:val="0"/>
      <w:marTop w:val="0"/>
      <w:marBottom w:val="0"/>
      <w:divBdr>
        <w:top w:val="none" w:sz="0" w:space="0" w:color="auto"/>
        <w:left w:val="none" w:sz="0" w:space="0" w:color="auto"/>
        <w:bottom w:val="none" w:sz="0" w:space="0" w:color="auto"/>
        <w:right w:val="none" w:sz="0" w:space="0" w:color="auto"/>
      </w:divBdr>
    </w:div>
    <w:div w:id="912813128">
      <w:bodyDiv w:val="1"/>
      <w:marLeft w:val="0"/>
      <w:marRight w:val="0"/>
      <w:marTop w:val="0"/>
      <w:marBottom w:val="0"/>
      <w:divBdr>
        <w:top w:val="none" w:sz="0" w:space="0" w:color="auto"/>
        <w:left w:val="none" w:sz="0" w:space="0" w:color="auto"/>
        <w:bottom w:val="none" w:sz="0" w:space="0" w:color="auto"/>
        <w:right w:val="none" w:sz="0" w:space="0" w:color="auto"/>
      </w:divBdr>
    </w:div>
    <w:div w:id="946935769">
      <w:bodyDiv w:val="1"/>
      <w:marLeft w:val="0"/>
      <w:marRight w:val="0"/>
      <w:marTop w:val="0"/>
      <w:marBottom w:val="0"/>
      <w:divBdr>
        <w:top w:val="none" w:sz="0" w:space="0" w:color="auto"/>
        <w:left w:val="none" w:sz="0" w:space="0" w:color="auto"/>
        <w:bottom w:val="none" w:sz="0" w:space="0" w:color="auto"/>
        <w:right w:val="none" w:sz="0" w:space="0" w:color="auto"/>
      </w:divBdr>
      <w:divsChild>
        <w:div w:id="686833927">
          <w:marLeft w:val="0"/>
          <w:marRight w:val="0"/>
          <w:marTop w:val="0"/>
          <w:marBottom w:val="0"/>
          <w:divBdr>
            <w:top w:val="none" w:sz="0" w:space="0" w:color="auto"/>
            <w:left w:val="none" w:sz="0" w:space="0" w:color="auto"/>
            <w:bottom w:val="none" w:sz="0" w:space="0" w:color="auto"/>
            <w:right w:val="none" w:sz="0" w:space="0" w:color="auto"/>
          </w:divBdr>
          <w:divsChild>
            <w:div w:id="1729109045">
              <w:marLeft w:val="0"/>
              <w:marRight w:val="0"/>
              <w:marTop w:val="0"/>
              <w:marBottom w:val="0"/>
              <w:divBdr>
                <w:top w:val="none" w:sz="0" w:space="0" w:color="auto"/>
                <w:left w:val="none" w:sz="0" w:space="0" w:color="auto"/>
                <w:bottom w:val="none" w:sz="0" w:space="0" w:color="auto"/>
                <w:right w:val="none" w:sz="0" w:space="0" w:color="auto"/>
              </w:divBdr>
              <w:divsChild>
                <w:div w:id="374886601">
                  <w:marLeft w:val="0"/>
                  <w:marRight w:val="0"/>
                  <w:marTop w:val="0"/>
                  <w:marBottom w:val="0"/>
                  <w:divBdr>
                    <w:top w:val="none" w:sz="0" w:space="0" w:color="auto"/>
                    <w:left w:val="none" w:sz="0" w:space="0" w:color="auto"/>
                    <w:bottom w:val="none" w:sz="0" w:space="0" w:color="auto"/>
                    <w:right w:val="none" w:sz="0" w:space="0" w:color="auto"/>
                  </w:divBdr>
                  <w:divsChild>
                    <w:div w:id="1467234368">
                      <w:marLeft w:val="0"/>
                      <w:marRight w:val="0"/>
                      <w:marTop w:val="0"/>
                      <w:marBottom w:val="0"/>
                      <w:divBdr>
                        <w:top w:val="none" w:sz="0" w:space="0" w:color="auto"/>
                        <w:left w:val="none" w:sz="0" w:space="0" w:color="auto"/>
                        <w:bottom w:val="none" w:sz="0" w:space="0" w:color="auto"/>
                        <w:right w:val="none" w:sz="0" w:space="0" w:color="auto"/>
                      </w:divBdr>
                    </w:div>
                  </w:divsChild>
                </w:div>
                <w:div w:id="15772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00368">
      <w:bodyDiv w:val="1"/>
      <w:marLeft w:val="0"/>
      <w:marRight w:val="0"/>
      <w:marTop w:val="0"/>
      <w:marBottom w:val="0"/>
      <w:divBdr>
        <w:top w:val="none" w:sz="0" w:space="0" w:color="auto"/>
        <w:left w:val="none" w:sz="0" w:space="0" w:color="auto"/>
        <w:bottom w:val="none" w:sz="0" w:space="0" w:color="auto"/>
        <w:right w:val="none" w:sz="0" w:space="0" w:color="auto"/>
      </w:divBdr>
    </w:div>
    <w:div w:id="980966466">
      <w:bodyDiv w:val="1"/>
      <w:marLeft w:val="0"/>
      <w:marRight w:val="0"/>
      <w:marTop w:val="0"/>
      <w:marBottom w:val="0"/>
      <w:divBdr>
        <w:top w:val="none" w:sz="0" w:space="0" w:color="auto"/>
        <w:left w:val="none" w:sz="0" w:space="0" w:color="auto"/>
        <w:bottom w:val="none" w:sz="0" w:space="0" w:color="auto"/>
        <w:right w:val="none" w:sz="0" w:space="0" w:color="auto"/>
      </w:divBdr>
    </w:div>
    <w:div w:id="998658502">
      <w:bodyDiv w:val="1"/>
      <w:marLeft w:val="0"/>
      <w:marRight w:val="0"/>
      <w:marTop w:val="0"/>
      <w:marBottom w:val="0"/>
      <w:divBdr>
        <w:top w:val="none" w:sz="0" w:space="0" w:color="auto"/>
        <w:left w:val="none" w:sz="0" w:space="0" w:color="auto"/>
        <w:bottom w:val="none" w:sz="0" w:space="0" w:color="auto"/>
        <w:right w:val="none" w:sz="0" w:space="0" w:color="auto"/>
      </w:divBdr>
    </w:div>
    <w:div w:id="1000503511">
      <w:bodyDiv w:val="1"/>
      <w:marLeft w:val="0"/>
      <w:marRight w:val="0"/>
      <w:marTop w:val="0"/>
      <w:marBottom w:val="0"/>
      <w:divBdr>
        <w:top w:val="none" w:sz="0" w:space="0" w:color="auto"/>
        <w:left w:val="none" w:sz="0" w:space="0" w:color="auto"/>
        <w:bottom w:val="none" w:sz="0" w:space="0" w:color="auto"/>
        <w:right w:val="none" w:sz="0" w:space="0" w:color="auto"/>
      </w:divBdr>
    </w:div>
    <w:div w:id="1008286014">
      <w:bodyDiv w:val="1"/>
      <w:marLeft w:val="0"/>
      <w:marRight w:val="0"/>
      <w:marTop w:val="0"/>
      <w:marBottom w:val="0"/>
      <w:divBdr>
        <w:top w:val="none" w:sz="0" w:space="0" w:color="auto"/>
        <w:left w:val="none" w:sz="0" w:space="0" w:color="auto"/>
        <w:bottom w:val="none" w:sz="0" w:space="0" w:color="auto"/>
        <w:right w:val="none" w:sz="0" w:space="0" w:color="auto"/>
      </w:divBdr>
    </w:div>
    <w:div w:id="1033379723">
      <w:bodyDiv w:val="1"/>
      <w:marLeft w:val="0"/>
      <w:marRight w:val="0"/>
      <w:marTop w:val="0"/>
      <w:marBottom w:val="0"/>
      <w:divBdr>
        <w:top w:val="none" w:sz="0" w:space="0" w:color="auto"/>
        <w:left w:val="none" w:sz="0" w:space="0" w:color="auto"/>
        <w:bottom w:val="none" w:sz="0" w:space="0" w:color="auto"/>
        <w:right w:val="none" w:sz="0" w:space="0" w:color="auto"/>
      </w:divBdr>
    </w:div>
    <w:div w:id="1058701071">
      <w:bodyDiv w:val="1"/>
      <w:marLeft w:val="0"/>
      <w:marRight w:val="0"/>
      <w:marTop w:val="0"/>
      <w:marBottom w:val="0"/>
      <w:divBdr>
        <w:top w:val="none" w:sz="0" w:space="0" w:color="auto"/>
        <w:left w:val="none" w:sz="0" w:space="0" w:color="auto"/>
        <w:bottom w:val="none" w:sz="0" w:space="0" w:color="auto"/>
        <w:right w:val="none" w:sz="0" w:space="0" w:color="auto"/>
      </w:divBdr>
    </w:div>
    <w:div w:id="1075972691">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339"/>
          <w:marTop w:val="0"/>
          <w:marBottom w:val="610"/>
          <w:divBdr>
            <w:top w:val="none" w:sz="0" w:space="0" w:color="auto"/>
            <w:left w:val="none" w:sz="0" w:space="0" w:color="auto"/>
            <w:bottom w:val="none" w:sz="0" w:space="0" w:color="auto"/>
            <w:right w:val="none" w:sz="0" w:space="0" w:color="auto"/>
          </w:divBdr>
        </w:div>
      </w:divsChild>
    </w:div>
    <w:div w:id="1085616774">
      <w:bodyDiv w:val="1"/>
      <w:marLeft w:val="0"/>
      <w:marRight w:val="0"/>
      <w:marTop w:val="0"/>
      <w:marBottom w:val="0"/>
      <w:divBdr>
        <w:top w:val="none" w:sz="0" w:space="0" w:color="auto"/>
        <w:left w:val="none" w:sz="0" w:space="0" w:color="auto"/>
        <w:bottom w:val="none" w:sz="0" w:space="0" w:color="auto"/>
        <w:right w:val="none" w:sz="0" w:space="0" w:color="auto"/>
      </w:divBdr>
    </w:div>
    <w:div w:id="1132871671">
      <w:bodyDiv w:val="1"/>
      <w:marLeft w:val="0"/>
      <w:marRight w:val="0"/>
      <w:marTop w:val="0"/>
      <w:marBottom w:val="0"/>
      <w:divBdr>
        <w:top w:val="none" w:sz="0" w:space="0" w:color="auto"/>
        <w:left w:val="none" w:sz="0" w:space="0" w:color="auto"/>
        <w:bottom w:val="none" w:sz="0" w:space="0" w:color="auto"/>
        <w:right w:val="none" w:sz="0" w:space="0" w:color="auto"/>
      </w:divBdr>
    </w:div>
    <w:div w:id="1139613265">
      <w:bodyDiv w:val="1"/>
      <w:marLeft w:val="0"/>
      <w:marRight w:val="0"/>
      <w:marTop w:val="0"/>
      <w:marBottom w:val="0"/>
      <w:divBdr>
        <w:top w:val="none" w:sz="0" w:space="0" w:color="auto"/>
        <w:left w:val="none" w:sz="0" w:space="0" w:color="auto"/>
        <w:bottom w:val="none" w:sz="0" w:space="0" w:color="auto"/>
        <w:right w:val="none" w:sz="0" w:space="0" w:color="auto"/>
      </w:divBdr>
    </w:div>
    <w:div w:id="1154492639">
      <w:bodyDiv w:val="1"/>
      <w:marLeft w:val="0"/>
      <w:marRight w:val="0"/>
      <w:marTop w:val="0"/>
      <w:marBottom w:val="0"/>
      <w:divBdr>
        <w:top w:val="none" w:sz="0" w:space="0" w:color="auto"/>
        <w:left w:val="none" w:sz="0" w:space="0" w:color="auto"/>
        <w:bottom w:val="none" w:sz="0" w:space="0" w:color="auto"/>
        <w:right w:val="none" w:sz="0" w:space="0" w:color="auto"/>
      </w:divBdr>
    </w:div>
    <w:div w:id="1166629341">
      <w:bodyDiv w:val="1"/>
      <w:marLeft w:val="0"/>
      <w:marRight w:val="0"/>
      <w:marTop w:val="0"/>
      <w:marBottom w:val="0"/>
      <w:divBdr>
        <w:top w:val="none" w:sz="0" w:space="0" w:color="auto"/>
        <w:left w:val="none" w:sz="0" w:space="0" w:color="auto"/>
        <w:bottom w:val="none" w:sz="0" w:space="0" w:color="auto"/>
        <w:right w:val="none" w:sz="0" w:space="0" w:color="auto"/>
      </w:divBdr>
    </w:div>
    <w:div w:id="1193033233">
      <w:bodyDiv w:val="1"/>
      <w:marLeft w:val="0"/>
      <w:marRight w:val="0"/>
      <w:marTop w:val="0"/>
      <w:marBottom w:val="0"/>
      <w:divBdr>
        <w:top w:val="none" w:sz="0" w:space="0" w:color="auto"/>
        <w:left w:val="none" w:sz="0" w:space="0" w:color="auto"/>
        <w:bottom w:val="none" w:sz="0" w:space="0" w:color="auto"/>
        <w:right w:val="none" w:sz="0" w:space="0" w:color="auto"/>
      </w:divBdr>
    </w:div>
    <w:div w:id="1234467514">
      <w:bodyDiv w:val="1"/>
      <w:marLeft w:val="0"/>
      <w:marRight w:val="0"/>
      <w:marTop w:val="0"/>
      <w:marBottom w:val="0"/>
      <w:divBdr>
        <w:top w:val="none" w:sz="0" w:space="0" w:color="auto"/>
        <w:left w:val="none" w:sz="0" w:space="0" w:color="auto"/>
        <w:bottom w:val="none" w:sz="0" w:space="0" w:color="auto"/>
        <w:right w:val="none" w:sz="0" w:space="0" w:color="auto"/>
      </w:divBdr>
    </w:div>
    <w:div w:id="1253122361">
      <w:bodyDiv w:val="1"/>
      <w:marLeft w:val="0"/>
      <w:marRight w:val="0"/>
      <w:marTop w:val="0"/>
      <w:marBottom w:val="0"/>
      <w:divBdr>
        <w:top w:val="none" w:sz="0" w:space="0" w:color="auto"/>
        <w:left w:val="none" w:sz="0" w:space="0" w:color="auto"/>
        <w:bottom w:val="none" w:sz="0" w:space="0" w:color="auto"/>
        <w:right w:val="none" w:sz="0" w:space="0" w:color="auto"/>
      </w:divBdr>
    </w:div>
    <w:div w:id="1280793817">
      <w:bodyDiv w:val="1"/>
      <w:marLeft w:val="0"/>
      <w:marRight w:val="0"/>
      <w:marTop w:val="0"/>
      <w:marBottom w:val="0"/>
      <w:divBdr>
        <w:top w:val="none" w:sz="0" w:space="0" w:color="auto"/>
        <w:left w:val="none" w:sz="0" w:space="0" w:color="auto"/>
        <w:bottom w:val="none" w:sz="0" w:space="0" w:color="auto"/>
        <w:right w:val="none" w:sz="0" w:space="0" w:color="auto"/>
      </w:divBdr>
    </w:div>
    <w:div w:id="1305546104">
      <w:bodyDiv w:val="1"/>
      <w:marLeft w:val="0"/>
      <w:marRight w:val="0"/>
      <w:marTop w:val="0"/>
      <w:marBottom w:val="0"/>
      <w:divBdr>
        <w:top w:val="none" w:sz="0" w:space="0" w:color="auto"/>
        <w:left w:val="none" w:sz="0" w:space="0" w:color="auto"/>
        <w:bottom w:val="none" w:sz="0" w:space="0" w:color="auto"/>
        <w:right w:val="none" w:sz="0" w:space="0" w:color="auto"/>
      </w:divBdr>
    </w:div>
    <w:div w:id="1307272933">
      <w:bodyDiv w:val="1"/>
      <w:marLeft w:val="0"/>
      <w:marRight w:val="0"/>
      <w:marTop w:val="0"/>
      <w:marBottom w:val="0"/>
      <w:divBdr>
        <w:top w:val="none" w:sz="0" w:space="0" w:color="auto"/>
        <w:left w:val="none" w:sz="0" w:space="0" w:color="auto"/>
        <w:bottom w:val="none" w:sz="0" w:space="0" w:color="auto"/>
        <w:right w:val="none" w:sz="0" w:space="0" w:color="auto"/>
      </w:divBdr>
    </w:div>
    <w:div w:id="1307666959">
      <w:bodyDiv w:val="1"/>
      <w:marLeft w:val="0"/>
      <w:marRight w:val="0"/>
      <w:marTop w:val="0"/>
      <w:marBottom w:val="0"/>
      <w:divBdr>
        <w:top w:val="none" w:sz="0" w:space="0" w:color="auto"/>
        <w:left w:val="none" w:sz="0" w:space="0" w:color="auto"/>
        <w:bottom w:val="none" w:sz="0" w:space="0" w:color="auto"/>
        <w:right w:val="none" w:sz="0" w:space="0" w:color="auto"/>
      </w:divBdr>
    </w:div>
    <w:div w:id="1380277303">
      <w:bodyDiv w:val="1"/>
      <w:marLeft w:val="0"/>
      <w:marRight w:val="0"/>
      <w:marTop w:val="0"/>
      <w:marBottom w:val="0"/>
      <w:divBdr>
        <w:top w:val="none" w:sz="0" w:space="0" w:color="auto"/>
        <w:left w:val="none" w:sz="0" w:space="0" w:color="auto"/>
        <w:bottom w:val="none" w:sz="0" w:space="0" w:color="auto"/>
        <w:right w:val="none" w:sz="0" w:space="0" w:color="auto"/>
      </w:divBdr>
    </w:div>
    <w:div w:id="1386905211">
      <w:bodyDiv w:val="1"/>
      <w:marLeft w:val="0"/>
      <w:marRight w:val="0"/>
      <w:marTop w:val="0"/>
      <w:marBottom w:val="0"/>
      <w:divBdr>
        <w:top w:val="none" w:sz="0" w:space="0" w:color="auto"/>
        <w:left w:val="none" w:sz="0" w:space="0" w:color="auto"/>
        <w:bottom w:val="none" w:sz="0" w:space="0" w:color="auto"/>
        <w:right w:val="none" w:sz="0" w:space="0" w:color="auto"/>
      </w:divBdr>
    </w:div>
    <w:div w:id="1403136272">
      <w:bodyDiv w:val="1"/>
      <w:marLeft w:val="0"/>
      <w:marRight w:val="0"/>
      <w:marTop w:val="0"/>
      <w:marBottom w:val="0"/>
      <w:divBdr>
        <w:top w:val="none" w:sz="0" w:space="0" w:color="auto"/>
        <w:left w:val="none" w:sz="0" w:space="0" w:color="auto"/>
        <w:bottom w:val="none" w:sz="0" w:space="0" w:color="auto"/>
        <w:right w:val="none" w:sz="0" w:space="0" w:color="auto"/>
      </w:divBdr>
    </w:div>
    <w:div w:id="1405300245">
      <w:bodyDiv w:val="1"/>
      <w:marLeft w:val="0"/>
      <w:marRight w:val="0"/>
      <w:marTop w:val="0"/>
      <w:marBottom w:val="0"/>
      <w:divBdr>
        <w:top w:val="none" w:sz="0" w:space="0" w:color="auto"/>
        <w:left w:val="none" w:sz="0" w:space="0" w:color="auto"/>
        <w:bottom w:val="none" w:sz="0" w:space="0" w:color="auto"/>
        <w:right w:val="none" w:sz="0" w:space="0" w:color="auto"/>
      </w:divBdr>
    </w:div>
    <w:div w:id="1425030207">
      <w:bodyDiv w:val="1"/>
      <w:marLeft w:val="0"/>
      <w:marRight w:val="0"/>
      <w:marTop w:val="0"/>
      <w:marBottom w:val="0"/>
      <w:divBdr>
        <w:top w:val="none" w:sz="0" w:space="0" w:color="auto"/>
        <w:left w:val="none" w:sz="0" w:space="0" w:color="auto"/>
        <w:bottom w:val="none" w:sz="0" w:space="0" w:color="auto"/>
        <w:right w:val="none" w:sz="0" w:space="0" w:color="auto"/>
      </w:divBdr>
    </w:div>
    <w:div w:id="1443382935">
      <w:bodyDiv w:val="1"/>
      <w:marLeft w:val="0"/>
      <w:marRight w:val="0"/>
      <w:marTop w:val="0"/>
      <w:marBottom w:val="0"/>
      <w:divBdr>
        <w:top w:val="none" w:sz="0" w:space="0" w:color="auto"/>
        <w:left w:val="none" w:sz="0" w:space="0" w:color="auto"/>
        <w:bottom w:val="none" w:sz="0" w:space="0" w:color="auto"/>
        <w:right w:val="none" w:sz="0" w:space="0" w:color="auto"/>
      </w:divBdr>
    </w:div>
    <w:div w:id="1464957945">
      <w:bodyDiv w:val="1"/>
      <w:marLeft w:val="0"/>
      <w:marRight w:val="0"/>
      <w:marTop w:val="0"/>
      <w:marBottom w:val="0"/>
      <w:divBdr>
        <w:top w:val="none" w:sz="0" w:space="0" w:color="auto"/>
        <w:left w:val="none" w:sz="0" w:space="0" w:color="auto"/>
        <w:bottom w:val="none" w:sz="0" w:space="0" w:color="auto"/>
        <w:right w:val="none" w:sz="0" w:space="0" w:color="auto"/>
      </w:divBdr>
    </w:div>
    <w:div w:id="1471628248">
      <w:bodyDiv w:val="1"/>
      <w:marLeft w:val="0"/>
      <w:marRight w:val="0"/>
      <w:marTop w:val="0"/>
      <w:marBottom w:val="0"/>
      <w:divBdr>
        <w:top w:val="none" w:sz="0" w:space="0" w:color="auto"/>
        <w:left w:val="none" w:sz="0" w:space="0" w:color="auto"/>
        <w:bottom w:val="none" w:sz="0" w:space="0" w:color="auto"/>
        <w:right w:val="none" w:sz="0" w:space="0" w:color="auto"/>
      </w:divBdr>
    </w:div>
    <w:div w:id="1493519982">
      <w:bodyDiv w:val="1"/>
      <w:marLeft w:val="0"/>
      <w:marRight w:val="0"/>
      <w:marTop w:val="0"/>
      <w:marBottom w:val="0"/>
      <w:divBdr>
        <w:top w:val="none" w:sz="0" w:space="0" w:color="auto"/>
        <w:left w:val="none" w:sz="0" w:space="0" w:color="auto"/>
        <w:bottom w:val="none" w:sz="0" w:space="0" w:color="auto"/>
        <w:right w:val="none" w:sz="0" w:space="0" w:color="auto"/>
      </w:divBdr>
    </w:div>
    <w:div w:id="1523082966">
      <w:bodyDiv w:val="1"/>
      <w:marLeft w:val="0"/>
      <w:marRight w:val="0"/>
      <w:marTop w:val="0"/>
      <w:marBottom w:val="0"/>
      <w:divBdr>
        <w:top w:val="none" w:sz="0" w:space="0" w:color="auto"/>
        <w:left w:val="none" w:sz="0" w:space="0" w:color="auto"/>
        <w:bottom w:val="none" w:sz="0" w:space="0" w:color="auto"/>
        <w:right w:val="none" w:sz="0" w:space="0" w:color="auto"/>
      </w:divBdr>
    </w:div>
    <w:div w:id="1525510899">
      <w:bodyDiv w:val="1"/>
      <w:marLeft w:val="0"/>
      <w:marRight w:val="0"/>
      <w:marTop w:val="0"/>
      <w:marBottom w:val="0"/>
      <w:divBdr>
        <w:top w:val="none" w:sz="0" w:space="0" w:color="auto"/>
        <w:left w:val="none" w:sz="0" w:space="0" w:color="auto"/>
        <w:bottom w:val="none" w:sz="0" w:space="0" w:color="auto"/>
        <w:right w:val="none" w:sz="0" w:space="0" w:color="auto"/>
      </w:divBdr>
    </w:div>
    <w:div w:id="1539969236">
      <w:bodyDiv w:val="1"/>
      <w:marLeft w:val="0"/>
      <w:marRight w:val="0"/>
      <w:marTop w:val="0"/>
      <w:marBottom w:val="0"/>
      <w:divBdr>
        <w:top w:val="none" w:sz="0" w:space="0" w:color="auto"/>
        <w:left w:val="none" w:sz="0" w:space="0" w:color="auto"/>
        <w:bottom w:val="none" w:sz="0" w:space="0" w:color="auto"/>
        <w:right w:val="none" w:sz="0" w:space="0" w:color="auto"/>
      </w:divBdr>
    </w:div>
    <w:div w:id="1567840981">
      <w:bodyDiv w:val="1"/>
      <w:marLeft w:val="0"/>
      <w:marRight w:val="0"/>
      <w:marTop w:val="0"/>
      <w:marBottom w:val="0"/>
      <w:divBdr>
        <w:top w:val="none" w:sz="0" w:space="0" w:color="auto"/>
        <w:left w:val="none" w:sz="0" w:space="0" w:color="auto"/>
        <w:bottom w:val="none" w:sz="0" w:space="0" w:color="auto"/>
        <w:right w:val="none" w:sz="0" w:space="0" w:color="auto"/>
      </w:divBdr>
    </w:div>
    <w:div w:id="1578710281">
      <w:bodyDiv w:val="1"/>
      <w:marLeft w:val="0"/>
      <w:marRight w:val="0"/>
      <w:marTop w:val="0"/>
      <w:marBottom w:val="0"/>
      <w:divBdr>
        <w:top w:val="none" w:sz="0" w:space="0" w:color="auto"/>
        <w:left w:val="none" w:sz="0" w:space="0" w:color="auto"/>
        <w:bottom w:val="none" w:sz="0" w:space="0" w:color="auto"/>
        <w:right w:val="none" w:sz="0" w:space="0" w:color="auto"/>
      </w:divBdr>
    </w:div>
    <w:div w:id="1595702726">
      <w:bodyDiv w:val="1"/>
      <w:marLeft w:val="0"/>
      <w:marRight w:val="0"/>
      <w:marTop w:val="0"/>
      <w:marBottom w:val="0"/>
      <w:divBdr>
        <w:top w:val="none" w:sz="0" w:space="0" w:color="auto"/>
        <w:left w:val="none" w:sz="0" w:space="0" w:color="auto"/>
        <w:bottom w:val="none" w:sz="0" w:space="0" w:color="auto"/>
        <w:right w:val="none" w:sz="0" w:space="0" w:color="auto"/>
      </w:divBdr>
    </w:div>
    <w:div w:id="1599943343">
      <w:bodyDiv w:val="1"/>
      <w:marLeft w:val="0"/>
      <w:marRight w:val="0"/>
      <w:marTop w:val="0"/>
      <w:marBottom w:val="0"/>
      <w:divBdr>
        <w:top w:val="none" w:sz="0" w:space="0" w:color="auto"/>
        <w:left w:val="none" w:sz="0" w:space="0" w:color="auto"/>
        <w:bottom w:val="none" w:sz="0" w:space="0" w:color="auto"/>
        <w:right w:val="none" w:sz="0" w:space="0" w:color="auto"/>
      </w:divBdr>
      <w:divsChild>
        <w:div w:id="936795659">
          <w:marLeft w:val="0"/>
          <w:marRight w:val="0"/>
          <w:marTop w:val="0"/>
          <w:marBottom w:val="0"/>
          <w:divBdr>
            <w:top w:val="none" w:sz="0" w:space="0" w:color="auto"/>
            <w:left w:val="none" w:sz="0" w:space="0" w:color="auto"/>
            <w:bottom w:val="none" w:sz="0" w:space="0" w:color="auto"/>
            <w:right w:val="none" w:sz="0" w:space="0" w:color="auto"/>
          </w:divBdr>
          <w:divsChild>
            <w:div w:id="2140759065">
              <w:marLeft w:val="0"/>
              <w:marRight w:val="0"/>
              <w:marTop w:val="0"/>
              <w:marBottom w:val="0"/>
              <w:divBdr>
                <w:top w:val="none" w:sz="0" w:space="0" w:color="auto"/>
                <w:left w:val="none" w:sz="0" w:space="0" w:color="auto"/>
                <w:bottom w:val="none" w:sz="0" w:space="0" w:color="auto"/>
                <w:right w:val="none" w:sz="0" w:space="0" w:color="auto"/>
              </w:divBdr>
              <w:divsChild>
                <w:div w:id="1320696631">
                  <w:marLeft w:val="0"/>
                  <w:marRight w:val="0"/>
                  <w:marTop w:val="0"/>
                  <w:marBottom w:val="0"/>
                  <w:divBdr>
                    <w:top w:val="none" w:sz="0" w:space="0" w:color="auto"/>
                    <w:left w:val="none" w:sz="0" w:space="0" w:color="auto"/>
                    <w:bottom w:val="none" w:sz="0" w:space="0" w:color="auto"/>
                    <w:right w:val="none" w:sz="0" w:space="0" w:color="auto"/>
                  </w:divBdr>
                  <w:divsChild>
                    <w:div w:id="4790035">
                      <w:marLeft w:val="0"/>
                      <w:marRight w:val="0"/>
                      <w:marTop w:val="0"/>
                      <w:marBottom w:val="0"/>
                      <w:divBdr>
                        <w:top w:val="none" w:sz="0" w:space="0" w:color="auto"/>
                        <w:left w:val="none" w:sz="0" w:space="0" w:color="auto"/>
                        <w:bottom w:val="none" w:sz="0" w:space="0" w:color="auto"/>
                        <w:right w:val="none" w:sz="0" w:space="0" w:color="auto"/>
                      </w:divBdr>
                    </w:div>
                  </w:divsChild>
                </w:div>
                <w:div w:id="10409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97578">
      <w:bodyDiv w:val="1"/>
      <w:marLeft w:val="0"/>
      <w:marRight w:val="0"/>
      <w:marTop w:val="0"/>
      <w:marBottom w:val="0"/>
      <w:divBdr>
        <w:top w:val="none" w:sz="0" w:space="0" w:color="auto"/>
        <w:left w:val="none" w:sz="0" w:space="0" w:color="auto"/>
        <w:bottom w:val="none" w:sz="0" w:space="0" w:color="auto"/>
        <w:right w:val="none" w:sz="0" w:space="0" w:color="auto"/>
      </w:divBdr>
    </w:div>
    <w:div w:id="1676420986">
      <w:bodyDiv w:val="1"/>
      <w:marLeft w:val="0"/>
      <w:marRight w:val="0"/>
      <w:marTop w:val="0"/>
      <w:marBottom w:val="0"/>
      <w:divBdr>
        <w:top w:val="none" w:sz="0" w:space="0" w:color="auto"/>
        <w:left w:val="none" w:sz="0" w:space="0" w:color="auto"/>
        <w:bottom w:val="none" w:sz="0" w:space="0" w:color="auto"/>
        <w:right w:val="none" w:sz="0" w:space="0" w:color="auto"/>
      </w:divBdr>
    </w:div>
    <w:div w:id="1680035396">
      <w:bodyDiv w:val="1"/>
      <w:marLeft w:val="0"/>
      <w:marRight w:val="0"/>
      <w:marTop w:val="0"/>
      <w:marBottom w:val="0"/>
      <w:divBdr>
        <w:top w:val="none" w:sz="0" w:space="0" w:color="auto"/>
        <w:left w:val="none" w:sz="0" w:space="0" w:color="auto"/>
        <w:bottom w:val="none" w:sz="0" w:space="0" w:color="auto"/>
        <w:right w:val="none" w:sz="0" w:space="0" w:color="auto"/>
      </w:divBdr>
    </w:div>
    <w:div w:id="1684478346">
      <w:bodyDiv w:val="1"/>
      <w:marLeft w:val="0"/>
      <w:marRight w:val="0"/>
      <w:marTop w:val="0"/>
      <w:marBottom w:val="0"/>
      <w:divBdr>
        <w:top w:val="none" w:sz="0" w:space="0" w:color="auto"/>
        <w:left w:val="none" w:sz="0" w:space="0" w:color="auto"/>
        <w:bottom w:val="none" w:sz="0" w:space="0" w:color="auto"/>
        <w:right w:val="none" w:sz="0" w:space="0" w:color="auto"/>
      </w:divBdr>
    </w:div>
    <w:div w:id="1693652866">
      <w:bodyDiv w:val="1"/>
      <w:marLeft w:val="0"/>
      <w:marRight w:val="0"/>
      <w:marTop w:val="0"/>
      <w:marBottom w:val="0"/>
      <w:divBdr>
        <w:top w:val="none" w:sz="0" w:space="0" w:color="auto"/>
        <w:left w:val="none" w:sz="0" w:space="0" w:color="auto"/>
        <w:bottom w:val="none" w:sz="0" w:space="0" w:color="auto"/>
        <w:right w:val="none" w:sz="0" w:space="0" w:color="auto"/>
      </w:divBdr>
    </w:div>
    <w:div w:id="1710718897">
      <w:bodyDiv w:val="1"/>
      <w:marLeft w:val="0"/>
      <w:marRight w:val="0"/>
      <w:marTop w:val="0"/>
      <w:marBottom w:val="0"/>
      <w:divBdr>
        <w:top w:val="none" w:sz="0" w:space="0" w:color="auto"/>
        <w:left w:val="none" w:sz="0" w:space="0" w:color="auto"/>
        <w:bottom w:val="none" w:sz="0" w:space="0" w:color="auto"/>
        <w:right w:val="none" w:sz="0" w:space="0" w:color="auto"/>
      </w:divBdr>
    </w:div>
    <w:div w:id="1713916907">
      <w:bodyDiv w:val="1"/>
      <w:marLeft w:val="0"/>
      <w:marRight w:val="0"/>
      <w:marTop w:val="0"/>
      <w:marBottom w:val="0"/>
      <w:divBdr>
        <w:top w:val="none" w:sz="0" w:space="0" w:color="auto"/>
        <w:left w:val="none" w:sz="0" w:space="0" w:color="auto"/>
        <w:bottom w:val="none" w:sz="0" w:space="0" w:color="auto"/>
        <w:right w:val="none" w:sz="0" w:space="0" w:color="auto"/>
      </w:divBdr>
    </w:div>
    <w:div w:id="1714579020">
      <w:bodyDiv w:val="1"/>
      <w:marLeft w:val="0"/>
      <w:marRight w:val="0"/>
      <w:marTop w:val="0"/>
      <w:marBottom w:val="0"/>
      <w:divBdr>
        <w:top w:val="none" w:sz="0" w:space="0" w:color="auto"/>
        <w:left w:val="none" w:sz="0" w:space="0" w:color="auto"/>
        <w:bottom w:val="none" w:sz="0" w:space="0" w:color="auto"/>
        <w:right w:val="none" w:sz="0" w:space="0" w:color="auto"/>
      </w:divBdr>
    </w:div>
    <w:div w:id="1744987041">
      <w:bodyDiv w:val="1"/>
      <w:marLeft w:val="0"/>
      <w:marRight w:val="0"/>
      <w:marTop w:val="0"/>
      <w:marBottom w:val="0"/>
      <w:divBdr>
        <w:top w:val="none" w:sz="0" w:space="0" w:color="auto"/>
        <w:left w:val="none" w:sz="0" w:space="0" w:color="auto"/>
        <w:bottom w:val="none" w:sz="0" w:space="0" w:color="auto"/>
        <w:right w:val="none" w:sz="0" w:space="0" w:color="auto"/>
      </w:divBdr>
      <w:divsChild>
        <w:div w:id="332488818">
          <w:marLeft w:val="0"/>
          <w:marRight w:val="0"/>
          <w:marTop w:val="0"/>
          <w:marBottom w:val="0"/>
          <w:divBdr>
            <w:top w:val="none" w:sz="0" w:space="0" w:color="auto"/>
            <w:left w:val="none" w:sz="0" w:space="0" w:color="auto"/>
            <w:bottom w:val="none" w:sz="0" w:space="0" w:color="auto"/>
            <w:right w:val="none" w:sz="0" w:space="0" w:color="auto"/>
          </w:divBdr>
          <w:divsChild>
            <w:div w:id="1982922979">
              <w:marLeft w:val="0"/>
              <w:marRight w:val="0"/>
              <w:marTop w:val="0"/>
              <w:marBottom w:val="0"/>
              <w:divBdr>
                <w:top w:val="none" w:sz="0" w:space="0" w:color="auto"/>
                <w:left w:val="none" w:sz="0" w:space="0" w:color="auto"/>
                <w:bottom w:val="none" w:sz="0" w:space="0" w:color="auto"/>
                <w:right w:val="none" w:sz="0" w:space="0" w:color="auto"/>
              </w:divBdr>
              <w:divsChild>
                <w:div w:id="1428186999">
                  <w:marLeft w:val="0"/>
                  <w:marRight w:val="0"/>
                  <w:marTop w:val="0"/>
                  <w:marBottom w:val="0"/>
                  <w:divBdr>
                    <w:top w:val="none" w:sz="0" w:space="0" w:color="auto"/>
                    <w:left w:val="none" w:sz="0" w:space="0" w:color="auto"/>
                    <w:bottom w:val="none" w:sz="0" w:space="0" w:color="auto"/>
                    <w:right w:val="none" w:sz="0" w:space="0" w:color="auto"/>
                  </w:divBdr>
                  <w:divsChild>
                    <w:div w:id="583882787">
                      <w:marLeft w:val="0"/>
                      <w:marRight w:val="0"/>
                      <w:marTop w:val="0"/>
                      <w:marBottom w:val="0"/>
                      <w:divBdr>
                        <w:top w:val="none" w:sz="0" w:space="0" w:color="auto"/>
                        <w:left w:val="none" w:sz="0" w:space="0" w:color="auto"/>
                        <w:bottom w:val="none" w:sz="0" w:space="0" w:color="auto"/>
                        <w:right w:val="none" w:sz="0" w:space="0" w:color="auto"/>
                      </w:divBdr>
                      <w:divsChild>
                        <w:div w:id="780684998">
                          <w:marLeft w:val="0"/>
                          <w:marRight w:val="0"/>
                          <w:marTop w:val="0"/>
                          <w:marBottom w:val="0"/>
                          <w:divBdr>
                            <w:top w:val="none" w:sz="0" w:space="0" w:color="auto"/>
                            <w:left w:val="none" w:sz="0" w:space="0" w:color="auto"/>
                            <w:bottom w:val="none" w:sz="0" w:space="0" w:color="auto"/>
                            <w:right w:val="none" w:sz="0" w:space="0" w:color="auto"/>
                          </w:divBdr>
                          <w:divsChild>
                            <w:div w:id="589045433">
                              <w:marLeft w:val="0"/>
                              <w:marRight w:val="0"/>
                              <w:marTop w:val="0"/>
                              <w:marBottom w:val="0"/>
                              <w:divBdr>
                                <w:top w:val="none" w:sz="0" w:space="0" w:color="auto"/>
                                <w:left w:val="none" w:sz="0" w:space="0" w:color="auto"/>
                                <w:bottom w:val="none" w:sz="0" w:space="0" w:color="auto"/>
                                <w:right w:val="none" w:sz="0" w:space="0" w:color="auto"/>
                              </w:divBdr>
                              <w:divsChild>
                                <w:div w:id="75782738">
                                  <w:marLeft w:val="0"/>
                                  <w:marRight w:val="0"/>
                                  <w:marTop w:val="0"/>
                                  <w:marBottom w:val="0"/>
                                  <w:divBdr>
                                    <w:top w:val="none" w:sz="0" w:space="0" w:color="auto"/>
                                    <w:left w:val="none" w:sz="0" w:space="0" w:color="auto"/>
                                    <w:bottom w:val="none" w:sz="0" w:space="0" w:color="auto"/>
                                    <w:right w:val="none" w:sz="0" w:space="0" w:color="auto"/>
                                  </w:divBdr>
                                  <w:divsChild>
                                    <w:div w:id="563299219">
                                      <w:marLeft w:val="0"/>
                                      <w:marRight w:val="0"/>
                                      <w:marTop w:val="0"/>
                                      <w:marBottom w:val="0"/>
                                      <w:divBdr>
                                        <w:top w:val="none" w:sz="0" w:space="0" w:color="auto"/>
                                        <w:left w:val="none" w:sz="0" w:space="0" w:color="auto"/>
                                        <w:bottom w:val="none" w:sz="0" w:space="0" w:color="auto"/>
                                        <w:right w:val="none" w:sz="0" w:space="0" w:color="auto"/>
                                      </w:divBdr>
                                      <w:divsChild>
                                        <w:div w:id="670983996">
                                          <w:marLeft w:val="105"/>
                                          <w:marRight w:val="105"/>
                                          <w:marTop w:val="150"/>
                                          <w:marBottom w:val="150"/>
                                          <w:divBdr>
                                            <w:top w:val="none" w:sz="0" w:space="0" w:color="auto"/>
                                            <w:left w:val="none" w:sz="0" w:space="0" w:color="auto"/>
                                            <w:bottom w:val="none" w:sz="0" w:space="0" w:color="auto"/>
                                            <w:right w:val="none" w:sz="0" w:space="0" w:color="auto"/>
                                          </w:divBdr>
                                          <w:divsChild>
                                            <w:div w:id="1873376445">
                                              <w:marLeft w:val="0"/>
                                              <w:marRight w:val="0"/>
                                              <w:marTop w:val="0"/>
                                              <w:marBottom w:val="0"/>
                                              <w:divBdr>
                                                <w:top w:val="none" w:sz="0" w:space="0" w:color="auto"/>
                                                <w:left w:val="none" w:sz="0" w:space="0" w:color="auto"/>
                                                <w:bottom w:val="none" w:sz="0" w:space="0" w:color="auto"/>
                                                <w:right w:val="none" w:sz="0" w:space="0" w:color="auto"/>
                                              </w:divBdr>
                                              <w:divsChild>
                                                <w:div w:id="1063286428">
                                                  <w:marLeft w:val="0"/>
                                                  <w:marRight w:val="0"/>
                                                  <w:marTop w:val="0"/>
                                                  <w:marBottom w:val="0"/>
                                                  <w:divBdr>
                                                    <w:top w:val="none" w:sz="0" w:space="0" w:color="auto"/>
                                                    <w:left w:val="none" w:sz="0" w:space="0" w:color="auto"/>
                                                    <w:bottom w:val="none" w:sz="0" w:space="0" w:color="auto"/>
                                                    <w:right w:val="none" w:sz="0" w:space="0" w:color="auto"/>
                                                  </w:divBdr>
                                                </w:div>
                                                <w:div w:id="18934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256820">
      <w:bodyDiv w:val="1"/>
      <w:marLeft w:val="0"/>
      <w:marRight w:val="0"/>
      <w:marTop w:val="0"/>
      <w:marBottom w:val="0"/>
      <w:divBdr>
        <w:top w:val="none" w:sz="0" w:space="0" w:color="auto"/>
        <w:left w:val="none" w:sz="0" w:space="0" w:color="auto"/>
        <w:bottom w:val="none" w:sz="0" w:space="0" w:color="auto"/>
        <w:right w:val="none" w:sz="0" w:space="0" w:color="auto"/>
      </w:divBdr>
    </w:div>
    <w:div w:id="1771045551">
      <w:bodyDiv w:val="1"/>
      <w:marLeft w:val="0"/>
      <w:marRight w:val="0"/>
      <w:marTop w:val="0"/>
      <w:marBottom w:val="0"/>
      <w:divBdr>
        <w:top w:val="none" w:sz="0" w:space="0" w:color="auto"/>
        <w:left w:val="none" w:sz="0" w:space="0" w:color="auto"/>
        <w:bottom w:val="none" w:sz="0" w:space="0" w:color="auto"/>
        <w:right w:val="none" w:sz="0" w:space="0" w:color="auto"/>
      </w:divBdr>
    </w:div>
    <w:div w:id="1771048244">
      <w:bodyDiv w:val="1"/>
      <w:marLeft w:val="0"/>
      <w:marRight w:val="0"/>
      <w:marTop w:val="0"/>
      <w:marBottom w:val="0"/>
      <w:divBdr>
        <w:top w:val="none" w:sz="0" w:space="0" w:color="auto"/>
        <w:left w:val="none" w:sz="0" w:space="0" w:color="auto"/>
        <w:bottom w:val="none" w:sz="0" w:space="0" w:color="auto"/>
        <w:right w:val="none" w:sz="0" w:space="0" w:color="auto"/>
      </w:divBdr>
    </w:div>
    <w:div w:id="1794013184">
      <w:bodyDiv w:val="1"/>
      <w:marLeft w:val="0"/>
      <w:marRight w:val="0"/>
      <w:marTop w:val="0"/>
      <w:marBottom w:val="0"/>
      <w:divBdr>
        <w:top w:val="none" w:sz="0" w:space="0" w:color="auto"/>
        <w:left w:val="none" w:sz="0" w:space="0" w:color="auto"/>
        <w:bottom w:val="none" w:sz="0" w:space="0" w:color="auto"/>
        <w:right w:val="none" w:sz="0" w:space="0" w:color="auto"/>
      </w:divBdr>
    </w:div>
    <w:div w:id="1795556777">
      <w:bodyDiv w:val="1"/>
      <w:marLeft w:val="0"/>
      <w:marRight w:val="0"/>
      <w:marTop w:val="0"/>
      <w:marBottom w:val="0"/>
      <w:divBdr>
        <w:top w:val="none" w:sz="0" w:space="0" w:color="auto"/>
        <w:left w:val="none" w:sz="0" w:space="0" w:color="auto"/>
        <w:bottom w:val="none" w:sz="0" w:space="0" w:color="auto"/>
        <w:right w:val="none" w:sz="0" w:space="0" w:color="auto"/>
      </w:divBdr>
    </w:div>
    <w:div w:id="1799564268">
      <w:bodyDiv w:val="1"/>
      <w:marLeft w:val="0"/>
      <w:marRight w:val="0"/>
      <w:marTop w:val="0"/>
      <w:marBottom w:val="0"/>
      <w:divBdr>
        <w:top w:val="none" w:sz="0" w:space="0" w:color="auto"/>
        <w:left w:val="none" w:sz="0" w:space="0" w:color="auto"/>
        <w:bottom w:val="none" w:sz="0" w:space="0" w:color="auto"/>
        <w:right w:val="none" w:sz="0" w:space="0" w:color="auto"/>
      </w:divBdr>
    </w:div>
    <w:div w:id="1824421179">
      <w:bodyDiv w:val="1"/>
      <w:marLeft w:val="0"/>
      <w:marRight w:val="0"/>
      <w:marTop w:val="0"/>
      <w:marBottom w:val="0"/>
      <w:divBdr>
        <w:top w:val="none" w:sz="0" w:space="0" w:color="auto"/>
        <w:left w:val="none" w:sz="0" w:space="0" w:color="auto"/>
        <w:bottom w:val="none" w:sz="0" w:space="0" w:color="auto"/>
        <w:right w:val="none" w:sz="0" w:space="0" w:color="auto"/>
      </w:divBdr>
    </w:div>
    <w:div w:id="1825970760">
      <w:bodyDiv w:val="1"/>
      <w:marLeft w:val="0"/>
      <w:marRight w:val="0"/>
      <w:marTop w:val="0"/>
      <w:marBottom w:val="0"/>
      <w:divBdr>
        <w:top w:val="none" w:sz="0" w:space="0" w:color="auto"/>
        <w:left w:val="none" w:sz="0" w:space="0" w:color="auto"/>
        <w:bottom w:val="none" w:sz="0" w:space="0" w:color="auto"/>
        <w:right w:val="none" w:sz="0" w:space="0" w:color="auto"/>
      </w:divBdr>
    </w:div>
    <w:div w:id="1854299750">
      <w:bodyDiv w:val="1"/>
      <w:marLeft w:val="0"/>
      <w:marRight w:val="0"/>
      <w:marTop w:val="0"/>
      <w:marBottom w:val="0"/>
      <w:divBdr>
        <w:top w:val="none" w:sz="0" w:space="0" w:color="auto"/>
        <w:left w:val="none" w:sz="0" w:space="0" w:color="auto"/>
        <w:bottom w:val="none" w:sz="0" w:space="0" w:color="auto"/>
        <w:right w:val="none" w:sz="0" w:space="0" w:color="auto"/>
      </w:divBdr>
    </w:div>
    <w:div w:id="1871644193">
      <w:bodyDiv w:val="1"/>
      <w:marLeft w:val="0"/>
      <w:marRight w:val="0"/>
      <w:marTop w:val="0"/>
      <w:marBottom w:val="0"/>
      <w:divBdr>
        <w:top w:val="none" w:sz="0" w:space="0" w:color="auto"/>
        <w:left w:val="none" w:sz="0" w:space="0" w:color="auto"/>
        <w:bottom w:val="none" w:sz="0" w:space="0" w:color="auto"/>
        <w:right w:val="none" w:sz="0" w:space="0" w:color="auto"/>
      </w:divBdr>
    </w:div>
    <w:div w:id="1875148579">
      <w:bodyDiv w:val="1"/>
      <w:marLeft w:val="0"/>
      <w:marRight w:val="0"/>
      <w:marTop w:val="0"/>
      <w:marBottom w:val="0"/>
      <w:divBdr>
        <w:top w:val="none" w:sz="0" w:space="0" w:color="auto"/>
        <w:left w:val="none" w:sz="0" w:space="0" w:color="auto"/>
        <w:bottom w:val="none" w:sz="0" w:space="0" w:color="auto"/>
        <w:right w:val="none" w:sz="0" w:space="0" w:color="auto"/>
      </w:divBdr>
    </w:div>
    <w:div w:id="1880582009">
      <w:bodyDiv w:val="1"/>
      <w:marLeft w:val="0"/>
      <w:marRight w:val="0"/>
      <w:marTop w:val="0"/>
      <w:marBottom w:val="0"/>
      <w:divBdr>
        <w:top w:val="none" w:sz="0" w:space="0" w:color="auto"/>
        <w:left w:val="none" w:sz="0" w:space="0" w:color="auto"/>
        <w:bottom w:val="none" w:sz="0" w:space="0" w:color="auto"/>
        <w:right w:val="none" w:sz="0" w:space="0" w:color="auto"/>
      </w:divBdr>
    </w:div>
    <w:div w:id="1891845315">
      <w:bodyDiv w:val="1"/>
      <w:marLeft w:val="0"/>
      <w:marRight w:val="0"/>
      <w:marTop w:val="0"/>
      <w:marBottom w:val="0"/>
      <w:divBdr>
        <w:top w:val="none" w:sz="0" w:space="0" w:color="auto"/>
        <w:left w:val="none" w:sz="0" w:space="0" w:color="auto"/>
        <w:bottom w:val="none" w:sz="0" w:space="0" w:color="auto"/>
        <w:right w:val="none" w:sz="0" w:space="0" w:color="auto"/>
      </w:divBdr>
    </w:div>
    <w:div w:id="1912812592">
      <w:bodyDiv w:val="1"/>
      <w:marLeft w:val="0"/>
      <w:marRight w:val="0"/>
      <w:marTop w:val="0"/>
      <w:marBottom w:val="0"/>
      <w:divBdr>
        <w:top w:val="none" w:sz="0" w:space="0" w:color="auto"/>
        <w:left w:val="none" w:sz="0" w:space="0" w:color="auto"/>
        <w:bottom w:val="none" w:sz="0" w:space="0" w:color="auto"/>
        <w:right w:val="none" w:sz="0" w:space="0" w:color="auto"/>
      </w:divBdr>
      <w:divsChild>
        <w:div w:id="386494698">
          <w:marLeft w:val="46"/>
          <w:marRight w:val="46"/>
          <w:marTop w:val="0"/>
          <w:marBottom w:val="0"/>
          <w:divBdr>
            <w:top w:val="none" w:sz="0" w:space="0" w:color="auto"/>
            <w:left w:val="none" w:sz="0" w:space="0" w:color="auto"/>
            <w:bottom w:val="none" w:sz="0" w:space="0" w:color="auto"/>
            <w:right w:val="none" w:sz="0" w:space="0" w:color="auto"/>
          </w:divBdr>
          <w:divsChild>
            <w:div w:id="13619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7116">
      <w:bodyDiv w:val="1"/>
      <w:marLeft w:val="0"/>
      <w:marRight w:val="0"/>
      <w:marTop w:val="0"/>
      <w:marBottom w:val="0"/>
      <w:divBdr>
        <w:top w:val="none" w:sz="0" w:space="0" w:color="auto"/>
        <w:left w:val="none" w:sz="0" w:space="0" w:color="auto"/>
        <w:bottom w:val="none" w:sz="0" w:space="0" w:color="auto"/>
        <w:right w:val="none" w:sz="0" w:space="0" w:color="auto"/>
      </w:divBdr>
    </w:div>
    <w:div w:id="1939485478">
      <w:bodyDiv w:val="1"/>
      <w:marLeft w:val="0"/>
      <w:marRight w:val="0"/>
      <w:marTop w:val="0"/>
      <w:marBottom w:val="0"/>
      <w:divBdr>
        <w:top w:val="none" w:sz="0" w:space="0" w:color="auto"/>
        <w:left w:val="none" w:sz="0" w:space="0" w:color="auto"/>
        <w:bottom w:val="none" w:sz="0" w:space="0" w:color="auto"/>
        <w:right w:val="none" w:sz="0" w:space="0" w:color="auto"/>
      </w:divBdr>
    </w:div>
    <w:div w:id="1941137121">
      <w:bodyDiv w:val="1"/>
      <w:marLeft w:val="0"/>
      <w:marRight w:val="0"/>
      <w:marTop w:val="0"/>
      <w:marBottom w:val="0"/>
      <w:divBdr>
        <w:top w:val="none" w:sz="0" w:space="0" w:color="auto"/>
        <w:left w:val="none" w:sz="0" w:space="0" w:color="auto"/>
        <w:bottom w:val="none" w:sz="0" w:space="0" w:color="auto"/>
        <w:right w:val="none" w:sz="0" w:space="0" w:color="auto"/>
      </w:divBdr>
    </w:div>
    <w:div w:id="1945454733">
      <w:bodyDiv w:val="1"/>
      <w:marLeft w:val="0"/>
      <w:marRight w:val="0"/>
      <w:marTop w:val="0"/>
      <w:marBottom w:val="0"/>
      <w:divBdr>
        <w:top w:val="none" w:sz="0" w:space="0" w:color="auto"/>
        <w:left w:val="none" w:sz="0" w:space="0" w:color="auto"/>
        <w:bottom w:val="none" w:sz="0" w:space="0" w:color="auto"/>
        <w:right w:val="none" w:sz="0" w:space="0" w:color="auto"/>
      </w:divBdr>
    </w:div>
    <w:div w:id="1986009294">
      <w:bodyDiv w:val="1"/>
      <w:marLeft w:val="0"/>
      <w:marRight w:val="0"/>
      <w:marTop w:val="0"/>
      <w:marBottom w:val="0"/>
      <w:divBdr>
        <w:top w:val="none" w:sz="0" w:space="0" w:color="auto"/>
        <w:left w:val="none" w:sz="0" w:space="0" w:color="auto"/>
        <w:bottom w:val="none" w:sz="0" w:space="0" w:color="auto"/>
        <w:right w:val="none" w:sz="0" w:space="0" w:color="auto"/>
      </w:divBdr>
    </w:div>
    <w:div w:id="2002154982">
      <w:bodyDiv w:val="1"/>
      <w:marLeft w:val="0"/>
      <w:marRight w:val="0"/>
      <w:marTop w:val="0"/>
      <w:marBottom w:val="0"/>
      <w:divBdr>
        <w:top w:val="none" w:sz="0" w:space="0" w:color="auto"/>
        <w:left w:val="none" w:sz="0" w:space="0" w:color="auto"/>
        <w:bottom w:val="none" w:sz="0" w:space="0" w:color="auto"/>
        <w:right w:val="none" w:sz="0" w:space="0" w:color="auto"/>
      </w:divBdr>
      <w:divsChild>
        <w:div w:id="8069394">
          <w:marLeft w:val="0"/>
          <w:marRight w:val="0"/>
          <w:marTop w:val="0"/>
          <w:marBottom w:val="0"/>
          <w:divBdr>
            <w:top w:val="none" w:sz="0" w:space="0" w:color="auto"/>
            <w:left w:val="none" w:sz="0" w:space="0" w:color="auto"/>
            <w:bottom w:val="none" w:sz="0" w:space="0" w:color="auto"/>
            <w:right w:val="none" w:sz="0" w:space="0" w:color="auto"/>
          </w:divBdr>
          <w:divsChild>
            <w:div w:id="1253002499">
              <w:marLeft w:val="0"/>
              <w:marRight w:val="0"/>
              <w:marTop w:val="0"/>
              <w:marBottom w:val="0"/>
              <w:divBdr>
                <w:top w:val="none" w:sz="0" w:space="0" w:color="auto"/>
                <w:left w:val="none" w:sz="0" w:space="0" w:color="auto"/>
                <w:bottom w:val="none" w:sz="0" w:space="0" w:color="auto"/>
                <w:right w:val="none" w:sz="0" w:space="0" w:color="auto"/>
              </w:divBdr>
              <w:divsChild>
                <w:div w:id="609704605">
                  <w:marLeft w:val="0"/>
                  <w:marRight w:val="0"/>
                  <w:marTop w:val="0"/>
                  <w:marBottom w:val="0"/>
                  <w:divBdr>
                    <w:top w:val="none" w:sz="0" w:space="0" w:color="auto"/>
                    <w:left w:val="none" w:sz="0" w:space="0" w:color="auto"/>
                    <w:bottom w:val="none" w:sz="0" w:space="0" w:color="auto"/>
                    <w:right w:val="none" w:sz="0" w:space="0" w:color="auto"/>
                  </w:divBdr>
                  <w:divsChild>
                    <w:div w:id="408309620">
                      <w:marLeft w:val="0"/>
                      <w:marRight w:val="0"/>
                      <w:marTop w:val="0"/>
                      <w:marBottom w:val="0"/>
                      <w:divBdr>
                        <w:top w:val="none" w:sz="0" w:space="0" w:color="auto"/>
                        <w:left w:val="none" w:sz="0" w:space="0" w:color="auto"/>
                        <w:bottom w:val="none" w:sz="0" w:space="0" w:color="auto"/>
                        <w:right w:val="none" w:sz="0" w:space="0" w:color="auto"/>
                      </w:divBdr>
                      <w:divsChild>
                        <w:div w:id="2055617941">
                          <w:marLeft w:val="0"/>
                          <w:marRight w:val="0"/>
                          <w:marTop w:val="0"/>
                          <w:marBottom w:val="0"/>
                          <w:divBdr>
                            <w:top w:val="none" w:sz="0" w:space="0" w:color="auto"/>
                            <w:left w:val="none" w:sz="0" w:space="0" w:color="auto"/>
                            <w:bottom w:val="none" w:sz="0" w:space="0" w:color="auto"/>
                            <w:right w:val="none" w:sz="0" w:space="0" w:color="auto"/>
                          </w:divBdr>
                          <w:divsChild>
                            <w:div w:id="313919532">
                              <w:marLeft w:val="0"/>
                              <w:marRight w:val="0"/>
                              <w:marTop w:val="0"/>
                              <w:marBottom w:val="0"/>
                              <w:divBdr>
                                <w:top w:val="none" w:sz="0" w:space="0" w:color="auto"/>
                                <w:left w:val="none" w:sz="0" w:space="0" w:color="auto"/>
                                <w:bottom w:val="none" w:sz="0" w:space="0" w:color="auto"/>
                                <w:right w:val="none" w:sz="0" w:space="0" w:color="auto"/>
                              </w:divBdr>
                              <w:divsChild>
                                <w:div w:id="1833792103">
                                  <w:marLeft w:val="0"/>
                                  <w:marRight w:val="0"/>
                                  <w:marTop w:val="0"/>
                                  <w:marBottom w:val="0"/>
                                  <w:divBdr>
                                    <w:top w:val="none" w:sz="0" w:space="0" w:color="auto"/>
                                    <w:left w:val="none" w:sz="0" w:space="0" w:color="auto"/>
                                    <w:bottom w:val="none" w:sz="0" w:space="0" w:color="auto"/>
                                    <w:right w:val="none" w:sz="0" w:space="0" w:color="auto"/>
                                  </w:divBdr>
                                  <w:divsChild>
                                    <w:div w:id="733747415">
                                      <w:marLeft w:val="0"/>
                                      <w:marRight w:val="0"/>
                                      <w:marTop w:val="0"/>
                                      <w:marBottom w:val="0"/>
                                      <w:divBdr>
                                        <w:top w:val="none" w:sz="0" w:space="0" w:color="auto"/>
                                        <w:left w:val="none" w:sz="0" w:space="0" w:color="auto"/>
                                        <w:bottom w:val="none" w:sz="0" w:space="0" w:color="auto"/>
                                        <w:right w:val="none" w:sz="0" w:space="0" w:color="auto"/>
                                      </w:divBdr>
                                      <w:divsChild>
                                        <w:div w:id="1822503353">
                                          <w:marLeft w:val="107"/>
                                          <w:marRight w:val="107"/>
                                          <w:marTop w:val="153"/>
                                          <w:marBottom w:val="153"/>
                                          <w:divBdr>
                                            <w:top w:val="none" w:sz="0" w:space="0" w:color="auto"/>
                                            <w:left w:val="none" w:sz="0" w:space="0" w:color="auto"/>
                                            <w:bottom w:val="none" w:sz="0" w:space="0" w:color="auto"/>
                                            <w:right w:val="none" w:sz="0" w:space="0" w:color="auto"/>
                                          </w:divBdr>
                                          <w:divsChild>
                                            <w:div w:id="309479719">
                                              <w:marLeft w:val="0"/>
                                              <w:marRight w:val="0"/>
                                              <w:marTop w:val="0"/>
                                              <w:marBottom w:val="0"/>
                                              <w:divBdr>
                                                <w:top w:val="none" w:sz="0" w:space="0" w:color="auto"/>
                                                <w:left w:val="none" w:sz="0" w:space="0" w:color="auto"/>
                                                <w:bottom w:val="none" w:sz="0" w:space="0" w:color="auto"/>
                                                <w:right w:val="none" w:sz="0" w:space="0" w:color="auto"/>
                                              </w:divBdr>
                                              <w:divsChild>
                                                <w:div w:id="1690914554">
                                                  <w:marLeft w:val="0"/>
                                                  <w:marRight w:val="0"/>
                                                  <w:marTop w:val="0"/>
                                                  <w:marBottom w:val="0"/>
                                                  <w:divBdr>
                                                    <w:top w:val="none" w:sz="0" w:space="0" w:color="auto"/>
                                                    <w:left w:val="none" w:sz="0" w:space="0" w:color="auto"/>
                                                    <w:bottom w:val="none" w:sz="0" w:space="0" w:color="auto"/>
                                                    <w:right w:val="none" w:sz="0" w:space="0" w:color="auto"/>
                                                  </w:divBdr>
                                                </w:div>
                                                <w:div w:id="15915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898059">
      <w:bodyDiv w:val="1"/>
      <w:marLeft w:val="0"/>
      <w:marRight w:val="0"/>
      <w:marTop w:val="0"/>
      <w:marBottom w:val="0"/>
      <w:divBdr>
        <w:top w:val="none" w:sz="0" w:space="0" w:color="auto"/>
        <w:left w:val="none" w:sz="0" w:space="0" w:color="auto"/>
        <w:bottom w:val="none" w:sz="0" w:space="0" w:color="auto"/>
        <w:right w:val="none" w:sz="0" w:space="0" w:color="auto"/>
      </w:divBdr>
    </w:div>
    <w:div w:id="2008088740">
      <w:bodyDiv w:val="1"/>
      <w:marLeft w:val="0"/>
      <w:marRight w:val="0"/>
      <w:marTop w:val="0"/>
      <w:marBottom w:val="0"/>
      <w:divBdr>
        <w:top w:val="none" w:sz="0" w:space="0" w:color="auto"/>
        <w:left w:val="none" w:sz="0" w:space="0" w:color="auto"/>
        <w:bottom w:val="none" w:sz="0" w:space="0" w:color="auto"/>
        <w:right w:val="none" w:sz="0" w:space="0" w:color="auto"/>
      </w:divBdr>
    </w:div>
    <w:div w:id="2015840432">
      <w:bodyDiv w:val="1"/>
      <w:marLeft w:val="0"/>
      <w:marRight w:val="0"/>
      <w:marTop w:val="0"/>
      <w:marBottom w:val="0"/>
      <w:divBdr>
        <w:top w:val="none" w:sz="0" w:space="0" w:color="auto"/>
        <w:left w:val="none" w:sz="0" w:space="0" w:color="auto"/>
        <w:bottom w:val="none" w:sz="0" w:space="0" w:color="auto"/>
        <w:right w:val="none" w:sz="0" w:space="0" w:color="auto"/>
      </w:divBdr>
    </w:div>
    <w:div w:id="2019506017">
      <w:bodyDiv w:val="1"/>
      <w:marLeft w:val="0"/>
      <w:marRight w:val="0"/>
      <w:marTop w:val="0"/>
      <w:marBottom w:val="0"/>
      <w:divBdr>
        <w:top w:val="none" w:sz="0" w:space="0" w:color="auto"/>
        <w:left w:val="none" w:sz="0" w:space="0" w:color="auto"/>
        <w:bottom w:val="none" w:sz="0" w:space="0" w:color="auto"/>
        <w:right w:val="none" w:sz="0" w:space="0" w:color="auto"/>
      </w:divBdr>
      <w:divsChild>
        <w:div w:id="1794056718">
          <w:marLeft w:val="0"/>
          <w:marRight w:val="339"/>
          <w:marTop w:val="0"/>
          <w:marBottom w:val="610"/>
          <w:divBdr>
            <w:top w:val="none" w:sz="0" w:space="0" w:color="auto"/>
            <w:left w:val="none" w:sz="0" w:space="0" w:color="auto"/>
            <w:bottom w:val="none" w:sz="0" w:space="0" w:color="auto"/>
            <w:right w:val="none" w:sz="0" w:space="0" w:color="auto"/>
          </w:divBdr>
        </w:div>
      </w:divsChild>
    </w:div>
    <w:div w:id="2023890453">
      <w:bodyDiv w:val="1"/>
      <w:marLeft w:val="0"/>
      <w:marRight w:val="0"/>
      <w:marTop w:val="0"/>
      <w:marBottom w:val="0"/>
      <w:divBdr>
        <w:top w:val="none" w:sz="0" w:space="0" w:color="auto"/>
        <w:left w:val="none" w:sz="0" w:space="0" w:color="auto"/>
        <w:bottom w:val="none" w:sz="0" w:space="0" w:color="auto"/>
        <w:right w:val="none" w:sz="0" w:space="0" w:color="auto"/>
      </w:divBdr>
    </w:div>
    <w:div w:id="2034187581">
      <w:bodyDiv w:val="1"/>
      <w:marLeft w:val="0"/>
      <w:marRight w:val="0"/>
      <w:marTop w:val="0"/>
      <w:marBottom w:val="0"/>
      <w:divBdr>
        <w:top w:val="none" w:sz="0" w:space="0" w:color="auto"/>
        <w:left w:val="none" w:sz="0" w:space="0" w:color="auto"/>
        <w:bottom w:val="none" w:sz="0" w:space="0" w:color="auto"/>
        <w:right w:val="none" w:sz="0" w:space="0" w:color="auto"/>
      </w:divBdr>
    </w:div>
    <w:div w:id="2038964619">
      <w:bodyDiv w:val="1"/>
      <w:marLeft w:val="0"/>
      <w:marRight w:val="0"/>
      <w:marTop w:val="0"/>
      <w:marBottom w:val="0"/>
      <w:divBdr>
        <w:top w:val="none" w:sz="0" w:space="0" w:color="auto"/>
        <w:left w:val="none" w:sz="0" w:space="0" w:color="auto"/>
        <w:bottom w:val="none" w:sz="0" w:space="0" w:color="auto"/>
        <w:right w:val="none" w:sz="0" w:space="0" w:color="auto"/>
      </w:divBdr>
      <w:divsChild>
        <w:div w:id="751246151">
          <w:marLeft w:val="45"/>
          <w:marRight w:val="45"/>
          <w:marTop w:val="0"/>
          <w:marBottom w:val="0"/>
          <w:divBdr>
            <w:top w:val="none" w:sz="0" w:space="0" w:color="auto"/>
            <w:left w:val="none" w:sz="0" w:space="0" w:color="auto"/>
            <w:bottom w:val="none" w:sz="0" w:space="0" w:color="auto"/>
            <w:right w:val="none" w:sz="0" w:space="0" w:color="auto"/>
          </w:divBdr>
          <w:divsChild>
            <w:div w:id="17931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58906">
      <w:bodyDiv w:val="1"/>
      <w:marLeft w:val="0"/>
      <w:marRight w:val="0"/>
      <w:marTop w:val="0"/>
      <w:marBottom w:val="0"/>
      <w:divBdr>
        <w:top w:val="none" w:sz="0" w:space="0" w:color="auto"/>
        <w:left w:val="none" w:sz="0" w:space="0" w:color="auto"/>
        <w:bottom w:val="none" w:sz="0" w:space="0" w:color="auto"/>
        <w:right w:val="none" w:sz="0" w:space="0" w:color="auto"/>
      </w:divBdr>
    </w:div>
    <w:div w:id="2101875564">
      <w:bodyDiv w:val="1"/>
      <w:marLeft w:val="0"/>
      <w:marRight w:val="0"/>
      <w:marTop w:val="0"/>
      <w:marBottom w:val="0"/>
      <w:divBdr>
        <w:top w:val="none" w:sz="0" w:space="0" w:color="auto"/>
        <w:left w:val="none" w:sz="0" w:space="0" w:color="auto"/>
        <w:bottom w:val="none" w:sz="0" w:space="0" w:color="auto"/>
        <w:right w:val="none" w:sz="0" w:space="0" w:color="auto"/>
      </w:divBdr>
    </w:div>
    <w:div w:id="2117098001">
      <w:bodyDiv w:val="1"/>
      <w:marLeft w:val="0"/>
      <w:marRight w:val="0"/>
      <w:marTop w:val="0"/>
      <w:marBottom w:val="0"/>
      <w:divBdr>
        <w:top w:val="none" w:sz="0" w:space="0" w:color="auto"/>
        <w:left w:val="none" w:sz="0" w:space="0" w:color="auto"/>
        <w:bottom w:val="none" w:sz="0" w:space="0" w:color="auto"/>
        <w:right w:val="none" w:sz="0" w:space="0" w:color="auto"/>
      </w:divBdr>
    </w:div>
    <w:div w:id="21362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ba.gonzalezmejia@gmail.com" TargetMode="External"/><Relationship Id="rId18" Type="http://schemas.openxmlformats.org/officeDocument/2006/relationships/hyperlink" Target="http://www.who.int/nutrition/publications/guidelines/sodium_intake/en/" TargetMode="External"/><Relationship Id="rId26" Type="http://schemas.openxmlformats.org/officeDocument/2006/relationships/hyperlink" Target="http://dx.doi.org/10.1016/S0140-6736(13)62605-7" TargetMode="External"/><Relationship Id="rId3" Type="http://schemas.openxmlformats.org/officeDocument/2006/relationships/styles" Target="styles.xml"/><Relationship Id="rId21" Type="http://schemas.openxmlformats.org/officeDocument/2006/relationships/hyperlink" Target="http://www.who.int/nmh/countries/mex_en.pdf" TargetMode="External"/><Relationship Id="rId7" Type="http://schemas.openxmlformats.org/officeDocument/2006/relationships/footnotes" Target="footnotes.xml"/><Relationship Id="rId12" Type="http://schemas.openxmlformats.org/officeDocument/2006/relationships/hyperlink" Target="mailto:marmag@biomedicas.unam.mx" TargetMode="External"/><Relationship Id="rId17" Type="http://schemas.openxmlformats.org/officeDocument/2006/relationships/hyperlink" Target="http://dx.doi.org/10.5049/EBP.2014.12.1" TargetMode="External"/><Relationship Id="rId25" Type="http://schemas.openxmlformats.org/officeDocument/2006/relationships/hyperlink" Target="http://www.epidemiologia.salud.gob.mx/doctos/infoepid/publicaciones/mortalidad/PEEMortalidad_VE2011.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who.int/mediacentre/factsheets/fs317/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tora30@yahoo.com" TargetMode="External"/><Relationship Id="rId24" Type="http://schemas.openxmlformats.org/officeDocument/2006/relationships/hyperlink" Target="http://www.cenetec.salud.gob.mx/descargas/gpc/CatalogoMaestro/421IMSS_421_11_Factores_riesgo_cardiovascular/IMSS_421_11_RIESGOCARDIOVASCULAR.pdf"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paho.org/hq/index.php?option=com_topics&amp;view=article&amp;id=352&amp;Itemid=40940&amp;lang=es" TargetMode="External"/><Relationship Id="rId28" Type="http://schemas.openxmlformats.org/officeDocument/2006/relationships/hyperlink" Target="http://dx.doi.org/10.5049/EBP.2015.13.1.7" TargetMode="External"/><Relationship Id="rId10" Type="http://schemas.openxmlformats.org/officeDocument/2006/relationships/hyperlink" Target="mailto:antolin26@gmail.com" TargetMode="External"/><Relationship Id="rId19" Type="http://schemas.openxmlformats.org/officeDocument/2006/relationships/hyperlink" Target="http://www.who.int/cardiovascular_diseases/en/" TargetMode="External"/><Relationship Id="rId4" Type="http://schemas.microsoft.com/office/2007/relationships/stylesWithEffects" Target="stylesWithEffects.xml"/><Relationship Id="rId9" Type="http://schemas.openxmlformats.org/officeDocument/2006/relationships/hyperlink" Target="mailto:grv47@hotmail.com" TargetMode="External"/><Relationship Id="rId14" Type="http://schemas.openxmlformats.org/officeDocument/2006/relationships/hyperlink" Target="mailto:rycardoperez@hotmail.com" TargetMode="External"/><Relationship Id="rId22" Type="http://schemas.openxmlformats.org/officeDocument/2006/relationships/hyperlink" Target="http://www.paho.org/hq/index.php?option=com_docman&amp;task=cat_view&amp;gid=5395&amp;Itemid=3482&amp;lang=es" TargetMode="External"/><Relationship Id="rId27" Type="http://schemas.openxmlformats.org/officeDocument/2006/relationships/hyperlink" Target="http://health.gov/dietaryguidelines/2015/guidelines/"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B6411-D997-4019-8411-16FCF81A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6146</Words>
  <Characters>33804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CIBIOR</dc:creator>
  <cp:lastModifiedBy>Gustavo Toledo Andrade</cp:lastModifiedBy>
  <cp:revision>13</cp:revision>
  <dcterms:created xsi:type="dcterms:W3CDTF">2016-08-15T16:44:00Z</dcterms:created>
  <dcterms:modified xsi:type="dcterms:W3CDTF">2017-03-13T20:13:00Z</dcterms:modified>
</cp:coreProperties>
</file>