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AA" w:rsidRPr="00FE0F45" w:rsidRDefault="00316DAA" w:rsidP="00FE0F45">
      <w:pPr>
        <w:spacing w:line="276" w:lineRule="auto"/>
        <w:jc w:val="right"/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val="es-MX" w:eastAsia="ru-RU"/>
        </w:rPr>
      </w:pPr>
      <w:r w:rsidRPr="00FE0F45"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val="es-MX" w:eastAsia="ru-RU"/>
        </w:rPr>
        <w:t>Anticuerpos Anti-Toxoplasma gondii en donadores</w:t>
      </w:r>
      <w:r w:rsidR="00FE0F45"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val="es-MX" w:eastAsia="ru-RU"/>
        </w:rPr>
        <w:t xml:space="preserve"> </w:t>
      </w:r>
      <w:r w:rsidRPr="00FE0F45"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val="es-MX" w:eastAsia="ru-RU"/>
        </w:rPr>
        <w:t>voluntarios de sangre en Hospital General de Tijuana, México</w:t>
      </w:r>
    </w:p>
    <w:p w:rsidR="00316DAA" w:rsidRPr="00FE0F45" w:rsidRDefault="00316DAA" w:rsidP="00FE0F45">
      <w:pPr>
        <w:spacing w:line="276" w:lineRule="auto"/>
        <w:jc w:val="right"/>
        <w:rPr>
          <w:rFonts w:ascii="Calibri" w:eastAsia="Times New Roman" w:hAnsi="Calibri" w:cs="Calibri"/>
          <w:color w:val="7030A0"/>
          <w:sz w:val="36"/>
          <w:szCs w:val="36"/>
          <w:shd w:val="solid" w:color="FFFFFF" w:fill="auto"/>
          <w:lang w:val="es-MX" w:eastAsia="ru-RU"/>
        </w:rPr>
      </w:pPr>
    </w:p>
    <w:p w:rsidR="00440574" w:rsidRPr="00066ADB" w:rsidRDefault="00066ADB" w:rsidP="00FE0F45">
      <w:pPr>
        <w:spacing w:line="276" w:lineRule="auto"/>
        <w:jc w:val="right"/>
        <w:rPr>
          <w:rFonts w:ascii="Calibri" w:eastAsia="Times New Roman" w:hAnsi="Calibri" w:cs="Calibri"/>
          <w:i/>
          <w:color w:val="7030A0"/>
          <w:sz w:val="22"/>
          <w:szCs w:val="36"/>
          <w:shd w:val="solid" w:color="FFFFFF" w:fill="auto"/>
          <w:lang w:eastAsia="ru-RU"/>
        </w:rPr>
      </w:pPr>
      <w:proofErr w:type="spellStart"/>
      <w:r w:rsidRPr="00066ADB">
        <w:rPr>
          <w:rFonts w:eastAsia="Times New Roman" w:cs="Calibri"/>
          <w:i/>
          <w:color w:val="7030A0"/>
          <w:sz w:val="28"/>
          <w:szCs w:val="36"/>
          <w:shd w:val="clear" w:color="auto" w:fill="FFFFFF"/>
          <w:lang w:val="es-MX" w:eastAsia="ru-RU"/>
        </w:rPr>
        <w:t>Antibodies</w:t>
      </w:r>
      <w:proofErr w:type="spellEnd"/>
      <w:r w:rsidRPr="00066ADB">
        <w:rPr>
          <w:rFonts w:eastAsia="Times New Roman" w:cs="Calibri"/>
          <w:i/>
          <w:color w:val="7030A0"/>
          <w:sz w:val="28"/>
          <w:szCs w:val="36"/>
          <w:shd w:val="clear" w:color="auto" w:fill="FFFFFF"/>
          <w:lang w:val="es-MX" w:eastAsia="ru-RU"/>
        </w:rPr>
        <w:t xml:space="preserve"> Anti-Toxoplasma </w:t>
      </w:r>
      <w:proofErr w:type="spellStart"/>
      <w:r w:rsidRPr="00066ADB">
        <w:rPr>
          <w:rFonts w:eastAsia="Times New Roman" w:cs="Calibri"/>
          <w:i/>
          <w:color w:val="7030A0"/>
          <w:sz w:val="28"/>
          <w:szCs w:val="36"/>
          <w:shd w:val="clear" w:color="auto" w:fill="FFFFFF"/>
          <w:lang w:val="es-MX" w:eastAsia="ru-RU"/>
        </w:rPr>
        <w:t>gondii</w:t>
      </w:r>
      <w:proofErr w:type="spellEnd"/>
      <w:r w:rsidRPr="00066ADB">
        <w:rPr>
          <w:rFonts w:eastAsia="Times New Roman" w:cs="Calibri"/>
          <w:i/>
          <w:color w:val="7030A0"/>
          <w:sz w:val="28"/>
          <w:szCs w:val="36"/>
          <w:shd w:val="clear" w:color="auto" w:fill="FFFFFF"/>
          <w:lang w:val="es-MX" w:eastAsia="ru-RU"/>
        </w:rPr>
        <w:t xml:space="preserve"> in </w:t>
      </w:r>
      <w:proofErr w:type="spellStart"/>
      <w:r w:rsidRPr="00066ADB">
        <w:rPr>
          <w:rFonts w:eastAsia="Times New Roman" w:cs="Calibri"/>
          <w:i/>
          <w:color w:val="7030A0"/>
          <w:sz w:val="28"/>
          <w:szCs w:val="36"/>
          <w:shd w:val="clear" w:color="auto" w:fill="FFFFFF"/>
          <w:lang w:val="es-MX" w:eastAsia="ru-RU"/>
        </w:rPr>
        <w:t>volunteer</w:t>
      </w:r>
      <w:proofErr w:type="spellEnd"/>
      <w:r w:rsidRPr="00066ADB">
        <w:rPr>
          <w:rFonts w:eastAsia="Times New Roman" w:cs="Calibri"/>
          <w:i/>
          <w:color w:val="7030A0"/>
          <w:sz w:val="28"/>
          <w:szCs w:val="36"/>
          <w:shd w:val="clear" w:color="auto" w:fill="FFFFFF"/>
          <w:lang w:val="es-MX" w:eastAsia="ru-RU"/>
        </w:rPr>
        <w:t xml:space="preserve"> </w:t>
      </w:r>
      <w:proofErr w:type="spellStart"/>
      <w:r w:rsidRPr="00066ADB">
        <w:rPr>
          <w:rFonts w:eastAsia="Times New Roman" w:cs="Calibri"/>
          <w:i/>
          <w:color w:val="7030A0"/>
          <w:sz w:val="28"/>
          <w:szCs w:val="36"/>
          <w:shd w:val="clear" w:color="auto" w:fill="FFFFFF"/>
          <w:lang w:val="es-MX" w:eastAsia="ru-RU"/>
        </w:rPr>
        <w:t>blood</w:t>
      </w:r>
      <w:proofErr w:type="spellEnd"/>
      <w:r w:rsidRPr="00066ADB">
        <w:rPr>
          <w:rFonts w:eastAsia="Times New Roman" w:cs="Calibri"/>
          <w:i/>
          <w:color w:val="7030A0"/>
          <w:sz w:val="28"/>
          <w:szCs w:val="36"/>
          <w:shd w:val="clear" w:color="auto" w:fill="FFFFFF"/>
          <w:lang w:val="es-MX" w:eastAsia="ru-RU"/>
        </w:rPr>
        <w:t xml:space="preserve"> </w:t>
      </w:r>
      <w:proofErr w:type="spellStart"/>
      <w:r w:rsidRPr="00066ADB">
        <w:rPr>
          <w:rFonts w:eastAsia="Times New Roman" w:cs="Calibri"/>
          <w:i/>
          <w:color w:val="7030A0"/>
          <w:sz w:val="28"/>
          <w:szCs w:val="36"/>
          <w:shd w:val="clear" w:color="auto" w:fill="FFFFFF"/>
          <w:lang w:val="es-MX" w:eastAsia="ru-RU"/>
        </w:rPr>
        <w:t>donors</w:t>
      </w:r>
      <w:proofErr w:type="spellEnd"/>
      <w:r w:rsidRPr="00066ADB">
        <w:rPr>
          <w:rFonts w:eastAsia="Times New Roman" w:cs="Calibri"/>
          <w:i/>
          <w:color w:val="7030A0"/>
          <w:sz w:val="28"/>
          <w:szCs w:val="36"/>
          <w:shd w:val="clear" w:color="auto" w:fill="FFFFFF"/>
          <w:lang w:val="es-MX" w:eastAsia="ru-RU"/>
        </w:rPr>
        <w:t xml:space="preserve"> at Tijuana General Hospital, México</w:t>
      </w:r>
    </w:p>
    <w:p w:rsidR="00FE0F45" w:rsidRPr="00107C11" w:rsidRDefault="00FE0F45" w:rsidP="00FE0F45">
      <w:pPr>
        <w:spacing w:line="276" w:lineRule="auto"/>
        <w:jc w:val="right"/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eastAsia="ru-RU"/>
        </w:rPr>
      </w:pPr>
    </w:p>
    <w:p w:rsidR="00FE0F45" w:rsidRPr="00107C11" w:rsidRDefault="00FE0F45" w:rsidP="00FE0F45">
      <w:pPr>
        <w:spacing w:line="276" w:lineRule="auto"/>
        <w:jc w:val="right"/>
        <w:rPr>
          <w:rFonts w:ascii="Arial" w:hAnsi="Arial" w:cs="Arial"/>
          <w:i/>
          <w:sz w:val="28"/>
          <w:szCs w:val="28"/>
          <w:lang w:val="es-ES"/>
        </w:rPr>
      </w:pPr>
      <w:proofErr w:type="spellStart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>Gondii</w:t>
      </w:r>
      <w:proofErr w:type="spellEnd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anti-Toxoplasma </w:t>
      </w:r>
      <w:proofErr w:type="spellStart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>em</w:t>
      </w:r>
      <w:proofErr w:type="spellEnd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>doadores</w:t>
      </w:r>
      <w:proofErr w:type="spellEnd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de </w:t>
      </w:r>
      <w:proofErr w:type="spellStart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>sangue</w:t>
      </w:r>
      <w:proofErr w:type="spellEnd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>voluntários</w:t>
      </w:r>
      <w:proofErr w:type="spellEnd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</w:t>
      </w:r>
      <w:proofErr w:type="spellStart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>em</w:t>
      </w:r>
      <w:proofErr w:type="spellEnd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Hospital </w:t>
      </w:r>
      <w:proofErr w:type="spellStart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>Geral</w:t>
      </w:r>
      <w:proofErr w:type="spellEnd"/>
      <w:r w:rsidRPr="00FE0F45">
        <w:rPr>
          <w:rFonts w:ascii="Calibri" w:eastAsia="Times New Roman" w:hAnsi="Calibri" w:cs="Calibri"/>
          <w:i/>
          <w:color w:val="7030A0"/>
          <w:sz w:val="28"/>
          <w:szCs w:val="36"/>
          <w:shd w:val="solid" w:color="FFFFFF" w:fill="auto"/>
          <w:lang w:val="es-MX" w:eastAsia="ru-RU"/>
        </w:rPr>
        <w:t xml:space="preserve"> de Tijuana, no México</w:t>
      </w:r>
    </w:p>
    <w:p w:rsidR="000B2736" w:rsidRPr="00107C11" w:rsidRDefault="000B2736" w:rsidP="000B2736">
      <w:pPr>
        <w:jc w:val="center"/>
        <w:rPr>
          <w:rFonts w:ascii="Arial" w:hAnsi="Arial" w:cs="Arial"/>
          <w:sz w:val="28"/>
          <w:szCs w:val="28"/>
          <w:lang w:val="es-ES"/>
        </w:rPr>
      </w:pPr>
    </w:p>
    <w:p w:rsidR="000B2736" w:rsidRPr="00107C11" w:rsidRDefault="000B2736" w:rsidP="000B2736">
      <w:pPr>
        <w:jc w:val="center"/>
        <w:rPr>
          <w:rFonts w:ascii="Arial" w:hAnsi="Arial" w:cs="Arial"/>
          <w:b/>
          <w:lang w:val="es-ES"/>
        </w:rPr>
      </w:pPr>
    </w:p>
    <w:p w:rsidR="00AA6CBA" w:rsidRPr="00AA6CBA" w:rsidRDefault="00FE0F45" w:rsidP="00AA6CBA">
      <w:pPr>
        <w:jc w:val="right"/>
        <w:rPr>
          <w:rStyle w:val="Hipervnculo"/>
          <w:rFonts w:ascii="Calibri" w:eastAsia="Calibri" w:hAnsi="Calibri" w:cs="Calibri"/>
          <w:color w:val="FF0000"/>
          <w:szCs w:val="22"/>
          <w:u w:val="none"/>
          <w:lang w:val="es-MX" w:eastAsia="en-US"/>
        </w:rPr>
      </w:pPr>
      <w:r w:rsidRPr="00FE0F45">
        <w:rPr>
          <w:rFonts w:ascii="Calibri" w:eastAsia="Calibri" w:hAnsi="Calibri" w:cs="Calibri"/>
          <w:b/>
          <w:lang w:val="es-ES" w:eastAsia="en-US"/>
        </w:rPr>
        <w:t>Rosales Aguilar Martha</w:t>
      </w:r>
      <w:r w:rsidR="00AA6CBA">
        <w:rPr>
          <w:rFonts w:ascii="Calibri" w:eastAsia="Calibri" w:hAnsi="Calibri" w:cs="Calibri"/>
          <w:b/>
          <w:lang w:val="es-ES" w:eastAsia="en-US"/>
        </w:rPr>
        <w:br/>
      </w:r>
      <w:r w:rsidR="00AA6CBA" w:rsidRPr="00AA6CBA">
        <w:rPr>
          <w:rFonts w:ascii="Calibri" w:eastAsia="Calibri" w:hAnsi="Calibri" w:cs="Calibri"/>
          <w:lang w:val="es-ES" w:eastAsia="en-US"/>
        </w:rPr>
        <w:t>Universidad  Autónoma de Baja California</w:t>
      </w:r>
      <w:r w:rsidR="001D1384">
        <w:rPr>
          <w:rFonts w:ascii="Calibri" w:eastAsia="Calibri" w:hAnsi="Calibri" w:cs="Calibri"/>
          <w:lang w:val="es-ES" w:eastAsia="en-US"/>
        </w:rPr>
        <w:t>, México</w:t>
      </w:r>
      <w:r w:rsidR="00AA6CBA">
        <w:rPr>
          <w:rFonts w:ascii="Calibri" w:eastAsia="Calibri" w:hAnsi="Calibri" w:cs="Calibri"/>
          <w:lang w:val="es-ES" w:eastAsia="en-US"/>
        </w:rPr>
        <w:br/>
      </w:r>
      <w:hyperlink r:id="rId8" w:history="1">
        <w:r w:rsidR="00AA6CBA" w:rsidRPr="00AA6CBA">
          <w:rPr>
            <w:rStyle w:val="Hipervnculo"/>
            <w:rFonts w:ascii="Calibri" w:eastAsia="Calibri" w:hAnsi="Calibri" w:cs="Calibri"/>
            <w:color w:val="FF0000"/>
            <w:szCs w:val="22"/>
            <w:u w:val="none"/>
            <w:lang w:val="es-MX" w:eastAsia="en-US"/>
          </w:rPr>
          <w:t>martha_rosales@uabc.edu.mx</w:t>
        </w:r>
      </w:hyperlink>
    </w:p>
    <w:p w:rsidR="000B2736" w:rsidRPr="00FE0F45" w:rsidRDefault="000B2736" w:rsidP="000B2736">
      <w:pPr>
        <w:jc w:val="right"/>
        <w:rPr>
          <w:rFonts w:ascii="Calibri" w:eastAsia="Calibri" w:hAnsi="Calibri" w:cs="Calibri"/>
          <w:b/>
          <w:lang w:val="es-ES" w:eastAsia="en-US"/>
        </w:rPr>
      </w:pPr>
    </w:p>
    <w:p w:rsidR="00AA6CBA" w:rsidRDefault="00FE0F45" w:rsidP="00AA6CBA">
      <w:pPr>
        <w:jc w:val="right"/>
        <w:rPr>
          <w:rFonts w:ascii="Arial" w:hAnsi="Arial" w:cs="Arial"/>
          <w:color w:val="0000FF"/>
          <w:sz w:val="21"/>
          <w:szCs w:val="21"/>
          <w:shd w:val="clear" w:color="auto" w:fill="FFFFFF"/>
          <w:lang w:val="es-MX"/>
        </w:rPr>
      </w:pPr>
      <w:r w:rsidRPr="00FE0F45">
        <w:rPr>
          <w:rFonts w:ascii="Calibri" w:eastAsia="Calibri" w:hAnsi="Calibri" w:cs="Calibri"/>
          <w:b/>
          <w:lang w:val="es-ES" w:eastAsia="en-US"/>
        </w:rPr>
        <w:t>Gutiérrez Villagrán María de Jesús</w:t>
      </w:r>
      <w:r w:rsidR="00AA6CBA">
        <w:rPr>
          <w:rFonts w:ascii="Calibri" w:eastAsia="Calibri" w:hAnsi="Calibri" w:cs="Calibri"/>
          <w:b/>
          <w:lang w:val="es-ES" w:eastAsia="en-US"/>
        </w:rPr>
        <w:br/>
      </w:r>
      <w:r w:rsidR="001D1384" w:rsidRPr="00AA6CBA">
        <w:rPr>
          <w:rFonts w:ascii="Calibri" w:eastAsia="Calibri" w:hAnsi="Calibri" w:cs="Calibri"/>
          <w:lang w:val="es-ES" w:eastAsia="en-US"/>
        </w:rPr>
        <w:t>Universidad  Autónoma de Baja California</w:t>
      </w:r>
      <w:r w:rsidR="001D1384">
        <w:rPr>
          <w:rFonts w:ascii="Calibri" w:eastAsia="Calibri" w:hAnsi="Calibri" w:cs="Calibri"/>
          <w:lang w:val="es-ES" w:eastAsia="en-US"/>
        </w:rPr>
        <w:t>, México</w:t>
      </w:r>
      <w:r w:rsidR="00AA6CBA">
        <w:rPr>
          <w:rFonts w:ascii="Calibri" w:eastAsia="Calibri" w:hAnsi="Calibri" w:cs="Calibri"/>
          <w:lang w:val="es-ES" w:eastAsia="en-US"/>
        </w:rPr>
        <w:br/>
      </w:r>
      <w:hyperlink r:id="rId9" w:history="1">
        <w:r w:rsidR="00AA6CBA" w:rsidRPr="00AA6CBA">
          <w:rPr>
            <w:rStyle w:val="Hipervnculo"/>
            <w:rFonts w:ascii="Calibri" w:eastAsia="Calibri" w:hAnsi="Calibri" w:cs="Calibri"/>
            <w:color w:val="FF0000"/>
            <w:szCs w:val="22"/>
            <w:u w:val="none"/>
            <w:lang w:val="es-MX" w:eastAsia="en-US"/>
          </w:rPr>
          <w:t>dgutierrez32@uabc.edu.mx</w:t>
        </w:r>
      </w:hyperlink>
    </w:p>
    <w:p w:rsidR="0045613A" w:rsidRPr="0045613A" w:rsidRDefault="0045613A" w:rsidP="0045613A">
      <w:pPr>
        <w:jc w:val="right"/>
        <w:rPr>
          <w:rFonts w:ascii="Arial" w:hAnsi="Arial" w:cs="Arial"/>
          <w:vertAlign w:val="superscript"/>
          <w:lang w:val="es-ES"/>
        </w:rPr>
      </w:pPr>
    </w:p>
    <w:p w:rsidR="000B2736" w:rsidRPr="00AA6CBA" w:rsidRDefault="00FE0F45" w:rsidP="000B2736">
      <w:pPr>
        <w:jc w:val="right"/>
        <w:rPr>
          <w:rFonts w:ascii="Calibri" w:eastAsia="Calibri" w:hAnsi="Calibri" w:cs="Calibri"/>
          <w:b/>
          <w:lang w:val="es-ES" w:eastAsia="en-US"/>
        </w:rPr>
      </w:pPr>
      <w:r w:rsidRPr="00AA6CBA">
        <w:rPr>
          <w:rFonts w:ascii="Calibri" w:eastAsia="Calibri" w:hAnsi="Calibri" w:cs="Calibri"/>
          <w:b/>
          <w:lang w:val="es-ES" w:eastAsia="en-US"/>
        </w:rPr>
        <w:t>Díaz Trujillo Cesar Gerardo</w:t>
      </w:r>
    </w:p>
    <w:p w:rsidR="0045613A" w:rsidRPr="0045613A" w:rsidRDefault="001D1384" w:rsidP="000B2736">
      <w:pPr>
        <w:jc w:val="right"/>
        <w:rPr>
          <w:rFonts w:ascii="Arial" w:hAnsi="Arial" w:cs="Arial"/>
          <w:lang w:val="es-ES"/>
        </w:rPr>
      </w:pPr>
      <w:r w:rsidRPr="00AA6CBA">
        <w:rPr>
          <w:rFonts w:ascii="Calibri" w:eastAsia="Calibri" w:hAnsi="Calibri" w:cs="Calibri"/>
          <w:lang w:val="es-ES" w:eastAsia="en-US"/>
        </w:rPr>
        <w:t>Universidad  Autónoma de Baja California</w:t>
      </w:r>
      <w:r>
        <w:rPr>
          <w:rFonts w:ascii="Calibri" w:eastAsia="Calibri" w:hAnsi="Calibri" w:cs="Calibri"/>
          <w:lang w:val="es-ES" w:eastAsia="en-US"/>
        </w:rPr>
        <w:t>, México</w:t>
      </w:r>
      <w:r w:rsidR="00AA6CBA">
        <w:rPr>
          <w:rFonts w:ascii="Calibri" w:eastAsia="Calibri" w:hAnsi="Calibri" w:cs="Calibri"/>
          <w:lang w:val="es-ES" w:eastAsia="en-US"/>
        </w:rPr>
        <w:br/>
      </w:r>
      <w:r w:rsidR="00AA6CBA" w:rsidRPr="00107C11">
        <w:rPr>
          <w:rStyle w:val="Hipervnculo"/>
          <w:rFonts w:ascii="Calibri" w:eastAsia="Calibri" w:hAnsi="Calibri" w:cs="Calibri"/>
          <w:color w:val="FF0000"/>
          <w:szCs w:val="22"/>
          <w:u w:val="none"/>
          <w:lang w:val="es-ES" w:eastAsia="en-US"/>
        </w:rPr>
        <w:t>diazg@uabc.edu.mx</w:t>
      </w:r>
    </w:p>
    <w:p w:rsidR="0045613A" w:rsidRPr="0045613A" w:rsidRDefault="0045613A" w:rsidP="000B2736">
      <w:pPr>
        <w:jc w:val="right"/>
        <w:rPr>
          <w:rFonts w:ascii="Arial" w:hAnsi="Arial" w:cs="Arial"/>
          <w:vertAlign w:val="superscript"/>
          <w:lang w:val="es-ES"/>
        </w:rPr>
      </w:pPr>
    </w:p>
    <w:p w:rsidR="0045613A" w:rsidRPr="0045613A" w:rsidRDefault="00FE0F45" w:rsidP="000B2736">
      <w:pPr>
        <w:jc w:val="right"/>
        <w:rPr>
          <w:rFonts w:ascii="Arial" w:hAnsi="Arial" w:cs="Arial"/>
          <w:lang w:val="es-ES"/>
        </w:rPr>
      </w:pPr>
      <w:r w:rsidRPr="00AA6CBA">
        <w:rPr>
          <w:rFonts w:ascii="Calibri" w:eastAsia="Calibri" w:hAnsi="Calibri" w:cs="Calibri"/>
          <w:b/>
          <w:lang w:val="es-ES" w:eastAsia="en-US"/>
        </w:rPr>
        <w:t>Lugo Balderas José Luis</w:t>
      </w:r>
    </w:p>
    <w:p w:rsidR="00AA6CBA" w:rsidRPr="00107C11" w:rsidRDefault="001D1384" w:rsidP="00AA6CBA">
      <w:pPr>
        <w:jc w:val="right"/>
        <w:rPr>
          <w:rFonts w:ascii="Arial" w:hAnsi="Arial" w:cs="Arial"/>
          <w:b/>
          <w:color w:val="0000FF"/>
          <w:sz w:val="21"/>
          <w:szCs w:val="21"/>
          <w:u w:val="single"/>
          <w:shd w:val="clear" w:color="auto" w:fill="FFFFFF"/>
          <w:lang w:val="es-ES"/>
        </w:rPr>
      </w:pPr>
      <w:r w:rsidRPr="00AA6CBA">
        <w:rPr>
          <w:rFonts w:ascii="Calibri" w:eastAsia="Calibri" w:hAnsi="Calibri" w:cs="Calibri"/>
          <w:lang w:val="es-ES" w:eastAsia="en-US"/>
        </w:rPr>
        <w:t>Universidad  Autónoma de Baja California</w:t>
      </w:r>
      <w:r>
        <w:rPr>
          <w:rFonts w:ascii="Calibri" w:eastAsia="Calibri" w:hAnsi="Calibri" w:cs="Calibri"/>
          <w:lang w:val="es-ES" w:eastAsia="en-US"/>
        </w:rPr>
        <w:t>, México</w:t>
      </w:r>
      <w:bookmarkStart w:id="0" w:name="_GoBack"/>
      <w:bookmarkEnd w:id="0"/>
      <w:r w:rsidR="00AA6CBA">
        <w:rPr>
          <w:rFonts w:ascii="Calibri" w:eastAsia="Calibri" w:hAnsi="Calibri" w:cs="Calibri"/>
          <w:lang w:val="es-ES" w:eastAsia="en-US"/>
        </w:rPr>
        <w:br/>
      </w:r>
      <w:hyperlink r:id="rId10" w:history="1">
        <w:r w:rsidR="00AA6CBA" w:rsidRPr="00107C11">
          <w:rPr>
            <w:rStyle w:val="Hipervnculo"/>
            <w:rFonts w:ascii="Calibri" w:eastAsia="Calibri" w:hAnsi="Calibri" w:cs="Calibri"/>
            <w:color w:val="FF0000"/>
            <w:szCs w:val="22"/>
            <w:u w:val="none"/>
            <w:lang w:val="es-ES" w:eastAsia="en-US"/>
          </w:rPr>
          <w:t>joselo0694@gmail.com</w:t>
        </w:r>
      </w:hyperlink>
    </w:p>
    <w:p w:rsidR="0045613A" w:rsidRDefault="0045613A" w:rsidP="0045613A">
      <w:pPr>
        <w:jc w:val="right"/>
        <w:rPr>
          <w:rFonts w:ascii="Arial" w:hAnsi="Arial" w:cs="Arial"/>
          <w:b/>
          <w:sz w:val="18"/>
          <w:szCs w:val="18"/>
          <w:lang w:val="es-ES"/>
        </w:rPr>
      </w:pPr>
    </w:p>
    <w:p w:rsidR="000B2736" w:rsidRPr="00440574" w:rsidRDefault="000B2736" w:rsidP="000B2736">
      <w:pPr>
        <w:jc w:val="right"/>
        <w:rPr>
          <w:rFonts w:ascii="Arial" w:hAnsi="Arial" w:cs="Arial"/>
          <w:b/>
          <w:lang w:val="es-ES"/>
        </w:rPr>
      </w:pPr>
    </w:p>
    <w:p w:rsidR="00440574" w:rsidRPr="00B338C7" w:rsidRDefault="00440574" w:rsidP="000B2736">
      <w:pPr>
        <w:jc w:val="right"/>
        <w:rPr>
          <w:rFonts w:ascii="Arial" w:hAnsi="Arial" w:cs="Arial"/>
          <w:b/>
          <w:vertAlign w:val="superscript"/>
          <w:lang w:val="es-ES"/>
        </w:rPr>
      </w:pPr>
    </w:p>
    <w:p w:rsidR="00440574" w:rsidRPr="00B338C7" w:rsidRDefault="00440574" w:rsidP="00BA1491">
      <w:pPr>
        <w:jc w:val="right"/>
        <w:rPr>
          <w:rFonts w:ascii="Arial" w:hAnsi="Arial" w:cs="Arial"/>
          <w:b/>
          <w:sz w:val="18"/>
          <w:szCs w:val="18"/>
          <w:lang w:val="es-ES"/>
        </w:rPr>
      </w:pPr>
    </w:p>
    <w:p w:rsidR="00440574" w:rsidRDefault="00440574" w:rsidP="0045613A">
      <w:pPr>
        <w:jc w:val="right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 xml:space="preserve"> </w:t>
      </w:r>
    </w:p>
    <w:p w:rsidR="0016587B" w:rsidRDefault="0016587B">
      <w:pPr>
        <w:spacing w:after="200" w:line="276" w:lineRule="auto"/>
        <w:rPr>
          <w:rFonts w:ascii="Arial" w:hAnsi="Arial" w:cs="Arial"/>
          <w:b/>
          <w:sz w:val="18"/>
          <w:szCs w:val="18"/>
          <w:lang w:val="es-ES"/>
        </w:rPr>
      </w:pPr>
    </w:p>
    <w:p w:rsidR="0016587B" w:rsidRPr="0016587B" w:rsidRDefault="0016587B" w:rsidP="0016587B">
      <w:pPr>
        <w:jc w:val="both"/>
        <w:rPr>
          <w:rFonts w:ascii="Arial" w:hAnsi="Arial" w:cs="Arial"/>
          <w:b/>
          <w:lang w:val="es-MX"/>
        </w:rPr>
      </w:pPr>
      <w:r w:rsidRPr="00AA6CB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Resumen</w:t>
      </w:r>
    </w:p>
    <w:p w:rsidR="0016587B" w:rsidRPr="00AA6CBA" w:rsidRDefault="0016587B" w:rsidP="00AA6CBA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AA6CBA">
        <w:rPr>
          <w:rFonts w:ascii="Times New Roman" w:hAnsi="Times New Roman" w:cs="Times New Roman"/>
          <w:lang w:val="es-MX"/>
        </w:rPr>
        <w:t xml:space="preserve">La toxoplasmosis es una enfermedad parasitaria en humanos, su agente causal, </w:t>
      </w:r>
      <w:r w:rsidRPr="00AA6CBA">
        <w:rPr>
          <w:rFonts w:ascii="Times New Roman" w:hAnsi="Times New Roman" w:cs="Times New Roman"/>
          <w:i/>
          <w:lang w:val="es-MX"/>
        </w:rPr>
        <w:t>Toxoplasma gondii</w:t>
      </w:r>
      <w:r w:rsidRPr="00AA6CBA">
        <w:rPr>
          <w:rFonts w:ascii="Times New Roman" w:hAnsi="Times New Roman" w:cs="Times New Roman"/>
          <w:lang w:val="es-MX"/>
        </w:rPr>
        <w:t xml:space="preserve">, un </w:t>
      </w:r>
      <w:r w:rsidR="00C11832" w:rsidRPr="00AA6CBA">
        <w:rPr>
          <w:rFonts w:ascii="Times New Roman" w:hAnsi="Times New Roman" w:cs="Times New Roman"/>
          <w:lang w:val="es-MX"/>
        </w:rPr>
        <w:t xml:space="preserve">parásito </w:t>
      </w:r>
      <w:r w:rsidRPr="00AA6CBA">
        <w:rPr>
          <w:rFonts w:ascii="Times New Roman" w:hAnsi="Times New Roman" w:cs="Times New Roman"/>
          <w:lang w:val="es-MX"/>
        </w:rPr>
        <w:t xml:space="preserve">protozoo intracelular obligado, es capaz de infectar a los animales de sangre caliente </w:t>
      </w:r>
      <w:r w:rsidR="00C11832" w:rsidRPr="00AA6CBA">
        <w:rPr>
          <w:rFonts w:ascii="Times New Roman" w:hAnsi="Times New Roman" w:cs="Times New Roman"/>
          <w:lang w:val="es-MX"/>
        </w:rPr>
        <w:t>—</w:t>
      </w:r>
      <w:r w:rsidRPr="00AA6CBA">
        <w:rPr>
          <w:rFonts w:ascii="Times New Roman" w:hAnsi="Times New Roman" w:cs="Times New Roman"/>
          <w:lang w:val="es-MX"/>
        </w:rPr>
        <w:t xml:space="preserve">incluyendo </w:t>
      </w:r>
      <w:r w:rsidR="00C11832" w:rsidRPr="00AA6CBA">
        <w:rPr>
          <w:rFonts w:ascii="Times New Roman" w:hAnsi="Times New Roman" w:cs="Times New Roman"/>
          <w:lang w:val="es-MX"/>
        </w:rPr>
        <w:t xml:space="preserve">a </w:t>
      </w:r>
      <w:r w:rsidRPr="00AA6CBA">
        <w:rPr>
          <w:rFonts w:ascii="Times New Roman" w:hAnsi="Times New Roman" w:cs="Times New Roman"/>
          <w:lang w:val="es-MX"/>
        </w:rPr>
        <w:t>los seres humanos</w:t>
      </w:r>
      <w:r w:rsidR="00C11832" w:rsidRPr="00AA6CBA">
        <w:rPr>
          <w:rFonts w:ascii="Times New Roman" w:hAnsi="Times New Roman" w:cs="Times New Roman"/>
          <w:lang w:val="es-MX"/>
        </w:rPr>
        <w:t>—</w:t>
      </w:r>
      <w:r w:rsidRPr="00AA6CBA">
        <w:rPr>
          <w:rFonts w:ascii="Times New Roman" w:hAnsi="Times New Roman" w:cs="Times New Roman"/>
          <w:lang w:val="es-MX"/>
        </w:rPr>
        <w:t>, qu</w:t>
      </w:r>
      <w:r w:rsidR="00C11832" w:rsidRPr="00AA6CBA">
        <w:rPr>
          <w:rFonts w:ascii="Times New Roman" w:hAnsi="Times New Roman" w:cs="Times New Roman"/>
          <w:lang w:val="es-MX"/>
        </w:rPr>
        <w:t>ienes</w:t>
      </w:r>
      <w:r w:rsidRPr="00AA6CBA">
        <w:rPr>
          <w:rFonts w:ascii="Times New Roman" w:hAnsi="Times New Roman" w:cs="Times New Roman"/>
          <w:lang w:val="es-MX"/>
        </w:rPr>
        <w:t xml:space="preserve"> actúan como su huésped intermediario. </w:t>
      </w:r>
      <w:r w:rsidR="003D14FE" w:rsidRPr="00AA6CBA">
        <w:rPr>
          <w:rFonts w:ascii="Times New Roman" w:hAnsi="Times New Roman" w:cs="Times New Roman"/>
          <w:lang w:val="es-MX"/>
        </w:rPr>
        <w:t>El objetivo</w:t>
      </w:r>
      <w:r w:rsidRPr="00AA6CBA">
        <w:rPr>
          <w:rFonts w:ascii="Times New Roman" w:hAnsi="Times New Roman" w:cs="Times New Roman"/>
          <w:lang w:val="es-MX"/>
        </w:rPr>
        <w:t xml:space="preserve"> de este estudio fue detectar anticuerpos anti-toxoplasma IgG e IGM</w:t>
      </w:r>
      <w:r w:rsidR="003D14FE" w:rsidRPr="00AA6CBA">
        <w:rPr>
          <w:rFonts w:ascii="Times New Roman" w:hAnsi="Times New Roman" w:cs="Times New Roman"/>
          <w:lang w:val="es-MX"/>
        </w:rPr>
        <w:t>, para lo cual se utilizó el método de e</w:t>
      </w:r>
      <w:r w:rsidRPr="00AA6CBA">
        <w:rPr>
          <w:rFonts w:ascii="Times New Roman" w:hAnsi="Times New Roman" w:cs="Times New Roman"/>
          <w:lang w:val="es-MX"/>
        </w:rPr>
        <w:t>studio prospectivo observacional con donadores voluntarios que acudieron al banco de sangre</w:t>
      </w:r>
      <w:r w:rsidR="003D14FE" w:rsidRPr="00AA6CBA">
        <w:rPr>
          <w:rFonts w:ascii="Times New Roman" w:hAnsi="Times New Roman" w:cs="Times New Roman"/>
          <w:lang w:val="es-MX"/>
        </w:rPr>
        <w:t>;</w:t>
      </w:r>
      <w:r w:rsidRPr="00AA6CBA">
        <w:rPr>
          <w:rFonts w:ascii="Times New Roman" w:hAnsi="Times New Roman" w:cs="Times New Roman"/>
          <w:lang w:val="es-MX"/>
        </w:rPr>
        <w:t xml:space="preserve"> el estudio de la detección del suero positivo a anticuerpos anti-toxoplasma IgG e IgM se realizó por método de quimioluminiscencia</w:t>
      </w:r>
      <w:r w:rsidR="003D14FE" w:rsidRPr="00AA6CBA">
        <w:rPr>
          <w:rFonts w:ascii="Times New Roman" w:hAnsi="Times New Roman" w:cs="Times New Roman"/>
          <w:lang w:val="es-MX"/>
        </w:rPr>
        <w:t>. En los resultados</w:t>
      </w:r>
      <w:r w:rsidRPr="00AA6CBA">
        <w:rPr>
          <w:rFonts w:ascii="Times New Roman" w:hAnsi="Times New Roman" w:cs="Times New Roman"/>
          <w:lang w:val="es-MX"/>
        </w:rPr>
        <w:t xml:space="preserve"> se encontraron personas positivas a los anticuerpos </w:t>
      </w:r>
      <w:proofErr w:type="spellStart"/>
      <w:r w:rsidRPr="00AA6CBA">
        <w:rPr>
          <w:rFonts w:ascii="Times New Roman" w:hAnsi="Times New Roman" w:cs="Times New Roman"/>
          <w:lang w:val="es-MX"/>
        </w:rPr>
        <w:t>IgG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e </w:t>
      </w:r>
      <w:proofErr w:type="spellStart"/>
      <w:r w:rsidRPr="00AA6CBA">
        <w:rPr>
          <w:rFonts w:ascii="Times New Roman" w:hAnsi="Times New Roman" w:cs="Times New Roman"/>
          <w:lang w:val="es-MX"/>
        </w:rPr>
        <w:t>Ig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M respectivamente, </w:t>
      </w:r>
      <w:r w:rsidRPr="00AA6CBA">
        <w:rPr>
          <w:rFonts w:ascii="Times New Roman" w:hAnsi="Times New Roman" w:cs="Times New Roman"/>
          <w:lang w:val="es-MX"/>
        </w:rPr>
        <w:lastRenderedPageBreak/>
        <w:t>adultos y de ambos géneros, los cuales tienen gatos y perros en sus casas y son residentes de Tijuana que viven en el área urbana</w:t>
      </w:r>
      <w:r w:rsidR="00D20192" w:rsidRPr="00AA6CBA">
        <w:rPr>
          <w:rFonts w:ascii="Times New Roman" w:hAnsi="Times New Roman" w:cs="Times New Roman"/>
          <w:lang w:val="es-MX"/>
        </w:rPr>
        <w:t xml:space="preserve">. </w:t>
      </w:r>
      <w:r w:rsidR="00C83D9E" w:rsidRPr="00AA6CBA">
        <w:rPr>
          <w:rFonts w:ascii="Times New Roman" w:hAnsi="Times New Roman" w:cs="Times New Roman"/>
          <w:lang w:val="es-MX"/>
        </w:rPr>
        <w:t>Debido a la</w:t>
      </w:r>
      <w:r w:rsidRPr="00AA6CBA">
        <w:rPr>
          <w:rFonts w:ascii="Times New Roman" w:hAnsi="Times New Roman" w:cs="Times New Roman"/>
          <w:lang w:val="es-MX"/>
        </w:rPr>
        <w:t xml:space="preserve"> seroprevalencia encontrada </w:t>
      </w:r>
      <w:r w:rsidR="00C83D9E" w:rsidRPr="00AA6CBA">
        <w:rPr>
          <w:rFonts w:ascii="Times New Roman" w:hAnsi="Times New Roman" w:cs="Times New Roman"/>
          <w:lang w:val="es-MX"/>
        </w:rPr>
        <w:t>se</w:t>
      </w:r>
      <w:r w:rsidRPr="00AA6CBA">
        <w:rPr>
          <w:rFonts w:ascii="Times New Roman" w:hAnsi="Times New Roman" w:cs="Times New Roman"/>
          <w:lang w:val="es-MX"/>
        </w:rPr>
        <w:t xml:space="preserve"> recom</w:t>
      </w:r>
      <w:r w:rsidR="00C83D9E" w:rsidRPr="00AA6CBA">
        <w:rPr>
          <w:rFonts w:ascii="Times New Roman" w:hAnsi="Times New Roman" w:cs="Times New Roman"/>
          <w:lang w:val="es-MX"/>
        </w:rPr>
        <w:t>ienda</w:t>
      </w:r>
      <w:r w:rsidRPr="00AA6CBA">
        <w:rPr>
          <w:rFonts w:ascii="Times New Roman" w:hAnsi="Times New Roman" w:cs="Times New Roman"/>
          <w:lang w:val="es-MX"/>
        </w:rPr>
        <w:t xml:space="preserve"> mayor vigilancia </w:t>
      </w:r>
      <w:r w:rsidR="00C83D9E" w:rsidRPr="00AA6CBA">
        <w:rPr>
          <w:rFonts w:ascii="Times New Roman" w:hAnsi="Times New Roman" w:cs="Times New Roman"/>
          <w:lang w:val="es-MX"/>
        </w:rPr>
        <w:t>con respecto a</w:t>
      </w:r>
      <w:r w:rsidRPr="00AA6CBA">
        <w:rPr>
          <w:rFonts w:ascii="Times New Roman" w:hAnsi="Times New Roman" w:cs="Times New Roman"/>
          <w:lang w:val="es-MX"/>
        </w:rPr>
        <w:t xml:space="preserve"> la presencia de este par</w:t>
      </w:r>
      <w:r w:rsidR="00D20192" w:rsidRPr="00AA6CBA">
        <w:rPr>
          <w:rFonts w:ascii="Times New Roman" w:hAnsi="Times New Roman" w:cs="Times New Roman"/>
          <w:lang w:val="es-MX"/>
        </w:rPr>
        <w:t>á</w:t>
      </w:r>
      <w:r w:rsidRPr="00AA6CBA">
        <w:rPr>
          <w:rFonts w:ascii="Times New Roman" w:hAnsi="Times New Roman" w:cs="Times New Roman"/>
          <w:lang w:val="es-MX"/>
        </w:rPr>
        <w:t>sito en hemoderivados.</w:t>
      </w:r>
    </w:p>
    <w:p w:rsidR="0016587B" w:rsidRPr="00D20192" w:rsidRDefault="00AA6CBA" w:rsidP="00AA6CBA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br/>
      </w:r>
      <w:r w:rsidR="0016587B" w:rsidRPr="00AA6CB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Palabras clave:</w:t>
      </w:r>
      <w:r w:rsidR="0016587B">
        <w:rPr>
          <w:rFonts w:ascii="Arial" w:hAnsi="Arial" w:cs="Arial"/>
          <w:b/>
          <w:lang w:val="es-MX"/>
        </w:rPr>
        <w:t xml:space="preserve"> </w:t>
      </w:r>
      <w:r w:rsidR="0016587B" w:rsidRPr="00AA6CBA">
        <w:rPr>
          <w:rFonts w:ascii="Times New Roman" w:hAnsi="Times New Roman" w:cs="Times New Roman"/>
          <w:lang w:val="es-MX"/>
        </w:rPr>
        <w:t>Toxoplasma gondii, hemoderivados, anti-toxoplasma IgG e IgM, seroprevalencia</w:t>
      </w:r>
    </w:p>
    <w:p w:rsidR="00AA6CBA" w:rsidRDefault="00AA6CBA" w:rsidP="00316DAA">
      <w:pP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16587B" w:rsidRPr="00AA6CBA" w:rsidRDefault="0016587B" w:rsidP="00316DAA">
      <w:pP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proofErr w:type="spellStart"/>
      <w:r w:rsidRPr="00AA6CB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Abstract</w:t>
      </w:r>
      <w:proofErr w:type="spellEnd"/>
    </w:p>
    <w:p w:rsidR="00066ADB" w:rsidRDefault="00066ADB" w:rsidP="00066ADB">
      <w:pPr>
        <w:spacing w:line="360" w:lineRule="auto"/>
        <w:jc w:val="both"/>
      </w:pPr>
      <w:r>
        <w:rPr>
          <w:rFonts w:ascii="Times New Roman" w:hAnsi="Times New Roman" w:cs="Times New Roman"/>
          <w:lang w:val="es-MX"/>
        </w:rPr>
        <w:t xml:space="preserve">Toxoplasmosis </w:t>
      </w:r>
      <w:proofErr w:type="spellStart"/>
      <w:r>
        <w:rPr>
          <w:rFonts w:ascii="Times New Roman" w:hAnsi="Times New Roman" w:cs="Times New Roman"/>
          <w:lang w:val="es-MX"/>
        </w:rPr>
        <w:t>is</w:t>
      </w:r>
      <w:proofErr w:type="spellEnd"/>
      <w:r>
        <w:rPr>
          <w:rFonts w:ascii="Times New Roman" w:hAnsi="Times New Roman" w:cs="Times New Roman"/>
          <w:lang w:val="es-MX"/>
        </w:rPr>
        <w:t xml:space="preserve"> a </w:t>
      </w:r>
      <w:proofErr w:type="spellStart"/>
      <w:r>
        <w:rPr>
          <w:rFonts w:ascii="Times New Roman" w:hAnsi="Times New Roman" w:cs="Times New Roman"/>
          <w:lang w:val="es-MX"/>
        </w:rPr>
        <w:t>parasitic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disease</w:t>
      </w:r>
      <w:proofErr w:type="spellEnd"/>
      <w:r>
        <w:rPr>
          <w:rFonts w:ascii="Times New Roman" w:hAnsi="Times New Roman" w:cs="Times New Roman"/>
          <w:lang w:val="es-MX"/>
        </w:rPr>
        <w:t xml:space="preserve"> in </w:t>
      </w:r>
      <w:proofErr w:type="spellStart"/>
      <w:r>
        <w:rPr>
          <w:rFonts w:ascii="Times New Roman" w:hAnsi="Times New Roman" w:cs="Times New Roman"/>
          <w:lang w:val="es-MX"/>
        </w:rPr>
        <w:t>humans</w:t>
      </w:r>
      <w:proofErr w:type="spellEnd"/>
      <w:r>
        <w:rPr>
          <w:rFonts w:ascii="Times New Roman" w:hAnsi="Times New Roman" w:cs="Times New Roman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lang w:val="es-MX"/>
        </w:rPr>
        <w:t>its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causative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agent</w:t>
      </w:r>
      <w:proofErr w:type="spellEnd"/>
      <w:r>
        <w:rPr>
          <w:rFonts w:ascii="Times New Roman" w:hAnsi="Times New Roman" w:cs="Times New Roman"/>
          <w:lang w:val="es-MX"/>
        </w:rPr>
        <w:t xml:space="preserve">, </w:t>
      </w:r>
      <w:r>
        <w:rPr>
          <w:rFonts w:ascii="Times New Roman" w:hAnsi="Times New Roman" w:cs="Times New Roman"/>
          <w:i/>
          <w:lang w:val="es-MX"/>
        </w:rPr>
        <w:t xml:space="preserve">Toxoplasma </w:t>
      </w:r>
      <w:proofErr w:type="spellStart"/>
      <w:r>
        <w:rPr>
          <w:rFonts w:ascii="Times New Roman" w:hAnsi="Times New Roman" w:cs="Times New Roman"/>
          <w:i/>
          <w:lang w:val="es-MX"/>
        </w:rPr>
        <w:t>gondii</w:t>
      </w:r>
      <w:proofErr w:type="spellEnd"/>
      <w:r>
        <w:rPr>
          <w:rFonts w:ascii="Times New Roman" w:hAnsi="Times New Roman" w:cs="Times New Roman"/>
          <w:lang w:val="es-MX"/>
        </w:rPr>
        <w:t xml:space="preserve">, a </w:t>
      </w:r>
      <w:proofErr w:type="spellStart"/>
      <w:r>
        <w:rPr>
          <w:rFonts w:ascii="Times New Roman" w:hAnsi="Times New Roman" w:cs="Times New Roman"/>
          <w:lang w:val="es-MX"/>
        </w:rPr>
        <w:t>protozoan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obligate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intracellular</w:t>
      </w:r>
      <w:proofErr w:type="spellEnd"/>
      <w:r>
        <w:rPr>
          <w:rFonts w:ascii="Times New Roman" w:hAnsi="Times New Roman" w:cs="Times New Roman"/>
          <w:lang w:val="es-MX"/>
        </w:rPr>
        <w:t xml:space="preserve"> parasite, </w:t>
      </w:r>
      <w:proofErr w:type="spellStart"/>
      <w:r>
        <w:rPr>
          <w:rFonts w:ascii="Times New Roman" w:hAnsi="Times New Roman" w:cs="Times New Roman"/>
          <w:lang w:val="es-MX"/>
        </w:rPr>
        <w:t>it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is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capable</w:t>
      </w:r>
      <w:proofErr w:type="spellEnd"/>
      <w:r>
        <w:rPr>
          <w:rFonts w:ascii="Times New Roman" w:hAnsi="Times New Roman" w:cs="Times New Roman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lang w:val="es-MX"/>
        </w:rPr>
        <w:t>infecting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warm-blooded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animals</w:t>
      </w:r>
      <w:proofErr w:type="spellEnd"/>
      <w:r>
        <w:rPr>
          <w:rFonts w:ascii="Times New Roman" w:hAnsi="Times New Roman" w:cs="Times New Roman"/>
          <w:lang w:val="es-MX"/>
        </w:rPr>
        <w:t xml:space="preserve"> —</w:t>
      </w:r>
      <w:proofErr w:type="spellStart"/>
      <w:r>
        <w:rPr>
          <w:rFonts w:ascii="Times New Roman" w:hAnsi="Times New Roman" w:cs="Times New Roman"/>
          <w:lang w:val="es-MX"/>
        </w:rPr>
        <w:t>including</w:t>
      </w:r>
      <w:proofErr w:type="spellEnd"/>
      <w:r>
        <w:rPr>
          <w:rFonts w:ascii="Times New Roman" w:hAnsi="Times New Roman" w:cs="Times New Roman"/>
          <w:lang w:val="es-MX"/>
        </w:rPr>
        <w:t xml:space="preserve"> human </w:t>
      </w:r>
      <w:proofErr w:type="spellStart"/>
      <w:r>
        <w:rPr>
          <w:rFonts w:ascii="Times New Roman" w:hAnsi="Times New Roman" w:cs="Times New Roman"/>
          <w:lang w:val="es-MX"/>
        </w:rPr>
        <w:t>beings</w:t>
      </w:r>
      <w:proofErr w:type="spellEnd"/>
      <w:r>
        <w:rPr>
          <w:rFonts w:ascii="Times New Roman" w:hAnsi="Times New Roman" w:cs="Times New Roman"/>
          <w:lang w:val="es-MX"/>
        </w:rPr>
        <w:t xml:space="preserve">—, </w:t>
      </w:r>
      <w:proofErr w:type="spellStart"/>
      <w:r>
        <w:rPr>
          <w:rFonts w:ascii="Times New Roman" w:hAnsi="Times New Roman" w:cs="Times New Roman"/>
          <w:lang w:val="es-MX"/>
        </w:rPr>
        <w:t>who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act</w:t>
      </w:r>
      <w:proofErr w:type="spellEnd"/>
      <w:r>
        <w:rPr>
          <w:rFonts w:ascii="Times New Roman" w:hAnsi="Times New Roman" w:cs="Times New Roman"/>
          <w:lang w:val="es-MX"/>
        </w:rPr>
        <w:t xml:space="preserve"> as </w:t>
      </w:r>
      <w:proofErr w:type="spellStart"/>
      <w:r>
        <w:rPr>
          <w:rFonts w:ascii="Times New Roman" w:hAnsi="Times New Roman" w:cs="Times New Roman"/>
          <w:lang w:val="es-MX"/>
        </w:rPr>
        <w:t>its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intermediate</w:t>
      </w:r>
      <w:proofErr w:type="spellEnd"/>
      <w:r>
        <w:rPr>
          <w:rFonts w:ascii="Times New Roman" w:hAnsi="Times New Roman" w:cs="Times New Roman"/>
          <w:lang w:val="es-MX"/>
        </w:rPr>
        <w:t xml:space="preserve"> host. </w:t>
      </w:r>
      <w:proofErr w:type="spellStart"/>
      <w:r>
        <w:rPr>
          <w:rFonts w:ascii="Times New Roman" w:hAnsi="Times New Roman" w:cs="Times New Roman"/>
          <w:lang w:val="es-MX"/>
        </w:rPr>
        <w:t>The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objective</w:t>
      </w:r>
      <w:proofErr w:type="spellEnd"/>
      <w:r>
        <w:rPr>
          <w:rFonts w:ascii="Times New Roman" w:hAnsi="Times New Roman" w:cs="Times New Roman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lang w:val="es-MX"/>
        </w:rPr>
        <w:t>this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study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was</w:t>
      </w:r>
      <w:proofErr w:type="spellEnd"/>
      <w:r>
        <w:rPr>
          <w:rFonts w:ascii="Times New Roman" w:hAnsi="Times New Roman" w:cs="Times New Roman"/>
          <w:lang w:val="es-MX"/>
        </w:rPr>
        <w:t xml:space="preserve"> to </w:t>
      </w:r>
      <w:proofErr w:type="spellStart"/>
      <w:r>
        <w:rPr>
          <w:rFonts w:ascii="Times New Roman" w:hAnsi="Times New Roman" w:cs="Times New Roman"/>
          <w:lang w:val="es-MX"/>
        </w:rPr>
        <w:t>detect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antibodies</w:t>
      </w:r>
      <w:proofErr w:type="spellEnd"/>
      <w:r>
        <w:rPr>
          <w:rFonts w:ascii="Times New Roman" w:hAnsi="Times New Roman" w:cs="Times New Roman"/>
          <w:lang w:val="es-MX"/>
        </w:rPr>
        <w:t xml:space="preserve"> anti-toxoplasma </w:t>
      </w:r>
      <w:proofErr w:type="spellStart"/>
      <w:r>
        <w:rPr>
          <w:rFonts w:ascii="Times New Roman" w:hAnsi="Times New Roman" w:cs="Times New Roman"/>
          <w:lang w:val="es-MX"/>
        </w:rPr>
        <w:t>IgG</w:t>
      </w:r>
      <w:proofErr w:type="spellEnd"/>
      <w:r>
        <w:rPr>
          <w:rFonts w:ascii="Times New Roman" w:hAnsi="Times New Roman" w:cs="Times New Roman"/>
          <w:lang w:val="es-MX"/>
        </w:rPr>
        <w:t xml:space="preserve"> and IGM, </w:t>
      </w:r>
      <w:proofErr w:type="spellStart"/>
      <w:r>
        <w:rPr>
          <w:rFonts w:ascii="Times New Roman" w:hAnsi="Times New Roman" w:cs="Times New Roman"/>
          <w:lang w:val="es-MX"/>
        </w:rPr>
        <w:t>the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prospective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observational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study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method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was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used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with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volunteer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donors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who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attended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the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blood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bank</w:t>
      </w:r>
      <w:proofErr w:type="spellEnd"/>
      <w:r>
        <w:rPr>
          <w:rFonts w:ascii="Times New Roman" w:hAnsi="Times New Roman" w:cs="Times New Roman"/>
          <w:lang w:val="es-MX"/>
        </w:rPr>
        <w:t xml:space="preserve">; </w:t>
      </w:r>
      <w:proofErr w:type="spellStart"/>
      <w:r>
        <w:rPr>
          <w:rFonts w:ascii="Times New Roman" w:hAnsi="Times New Roman" w:cs="Times New Roman"/>
          <w:lang w:val="es-MX"/>
        </w:rPr>
        <w:t>the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study</w:t>
      </w:r>
      <w:proofErr w:type="spellEnd"/>
      <w:r>
        <w:rPr>
          <w:rFonts w:ascii="Times New Roman" w:hAnsi="Times New Roman" w:cs="Times New Roman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lang w:val="es-MX"/>
        </w:rPr>
        <w:t>detection</w:t>
      </w:r>
      <w:proofErr w:type="spellEnd"/>
      <w:r>
        <w:rPr>
          <w:rFonts w:ascii="Times New Roman" w:hAnsi="Times New Roman" w:cs="Times New Roman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lang w:val="es-MX"/>
        </w:rPr>
        <w:t>antibody</w:t>
      </w:r>
      <w:proofErr w:type="spellEnd"/>
      <w:r>
        <w:rPr>
          <w:rFonts w:ascii="Times New Roman" w:hAnsi="Times New Roman" w:cs="Times New Roman"/>
          <w:lang w:val="es-MX"/>
        </w:rPr>
        <w:t xml:space="preserve"> anti-toxoplasma </w:t>
      </w:r>
      <w:proofErr w:type="spellStart"/>
      <w:r>
        <w:rPr>
          <w:rFonts w:ascii="Times New Roman" w:hAnsi="Times New Roman" w:cs="Times New Roman"/>
          <w:lang w:val="es-MX"/>
        </w:rPr>
        <w:t>IgG</w:t>
      </w:r>
      <w:proofErr w:type="spellEnd"/>
      <w:r>
        <w:rPr>
          <w:rFonts w:ascii="Times New Roman" w:hAnsi="Times New Roman" w:cs="Times New Roman"/>
          <w:lang w:val="es-MX"/>
        </w:rPr>
        <w:t xml:space="preserve"> and </w:t>
      </w:r>
      <w:proofErr w:type="spellStart"/>
      <w:r>
        <w:rPr>
          <w:rFonts w:ascii="Times New Roman" w:hAnsi="Times New Roman" w:cs="Times New Roman"/>
          <w:lang w:val="es-MX"/>
        </w:rPr>
        <w:t>IgM</w:t>
      </w:r>
      <w:proofErr w:type="spellEnd"/>
      <w:r>
        <w:rPr>
          <w:rFonts w:ascii="Times New Roman" w:hAnsi="Times New Roman" w:cs="Times New Roman"/>
          <w:lang w:val="es-MX"/>
        </w:rPr>
        <w:t xml:space="preserve"> positive </w:t>
      </w:r>
      <w:proofErr w:type="spellStart"/>
      <w:r>
        <w:rPr>
          <w:rFonts w:ascii="Times New Roman" w:hAnsi="Times New Roman" w:cs="Times New Roman"/>
          <w:lang w:val="es-MX"/>
        </w:rPr>
        <w:t>serum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was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performed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by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chemiluminescence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method</w:t>
      </w:r>
      <w:proofErr w:type="spellEnd"/>
      <w:r>
        <w:rPr>
          <w:rFonts w:ascii="Times New Roman" w:hAnsi="Times New Roman" w:cs="Times New Roman"/>
          <w:lang w:val="es-MX"/>
        </w:rPr>
        <w:t xml:space="preserve">. </w:t>
      </w:r>
      <w:proofErr w:type="spellStart"/>
      <w:r>
        <w:rPr>
          <w:rFonts w:ascii="Times New Roman" w:hAnsi="Times New Roman" w:cs="Times New Roman"/>
          <w:lang w:val="es-MX"/>
        </w:rPr>
        <w:t>People</w:t>
      </w:r>
      <w:proofErr w:type="spellEnd"/>
      <w:r>
        <w:rPr>
          <w:rFonts w:ascii="Times New Roman" w:hAnsi="Times New Roman" w:cs="Times New Roman"/>
          <w:lang w:val="es-MX"/>
        </w:rPr>
        <w:t xml:space="preserve"> positive to </w:t>
      </w:r>
      <w:proofErr w:type="spellStart"/>
      <w:r>
        <w:rPr>
          <w:rFonts w:ascii="Times New Roman" w:hAnsi="Times New Roman" w:cs="Times New Roman"/>
          <w:lang w:val="es-MX"/>
        </w:rPr>
        <w:t>antibodies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IgG</w:t>
      </w:r>
      <w:proofErr w:type="spellEnd"/>
      <w:r>
        <w:rPr>
          <w:rFonts w:ascii="Times New Roman" w:hAnsi="Times New Roman" w:cs="Times New Roman"/>
          <w:lang w:val="es-MX"/>
        </w:rPr>
        <w:t xml:space="preserve"> and </w:t>
      </w:r>
      <w:proofErr w:type="spellStart"/>
      <w:r>
        <w:rPr>
          <w:rFonts w:ascii="Times New Roman" w:hAnsi="Times New Roman" w:cs="Times New Roman"/>
          <w:lang w:val="es-MX"/>
        </w:rPr>
        <w:t>Ig</w:t>
      </w:r>
      <w:proofErr w:type="spellEnd"/>
      <w:r>
        <w:rPr>
          <w:rFonts w:ascii="Times New Roman" w:hAnsi="Times New Roman" w:cs="Times New Roman"/>
          <w:lang w:val="es-MX"/>
        </w:rPr>
        <w:t xml:space="preserve"> M </w:t>
      </w:r>
      <w:proofErr w:type="spellStart"/>
      <w:r>
        <w:rPr>
          <w:rFonts w:ascii="Times New Roman" w:hAnsi="Times New Roman" w:cs="Times New Roman"/>
          <w:lang w:val="es-MX"/>
        </w:rPr>
        <w:t>respectively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were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found</w:t>
      </w:r>
      <w:proofErr w:type="spellEnd"/>
      <w:r>
        <w:rPr>
          <w:rFonts w:ascii="Times New Roman" w:hAnsi="Times New Roman" w:cs="Times New Roman"/>
          <w:lang w:val="es-MX"/>
        </w:rPr>
        <w:t xml:space="preserve"> in </w:t>
      </w:r>
      <w:proofErr w:type="spellStart"/>
      <w:r>
        <w:rPr>
          <w:rFonts w:ascii="Times New Roman" w:hAnsi="Times New Roman" w:cs="Times New Roman"/>
          <w:lang w:val="es-MX"/>
        </w:rPr>
        <w:t>the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results</w:t>
      </w:r>
      <w:proofErr w:type="spellEnd"/>
      <w:r>
        <w:rPr>
          <w:rFonts w:ascii="Times New Roman" w:hAnsi="Times New Roman" w:cs="Times New Roman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lang w:val="es-MX"/>
        </w:rPr>
        <w:t>adult</w:t>
      </w:r>
      <w:proofErr w:type="spellEnd"/>
      <w:r>
        <w:rPr>
          <w:rFonts w:ascii="Times New Roman" w:hAnsi="Times New Roman" w:cs="Times New Roman"/>
          <w:lang w:val="es-MX"/>
        </w:rPr>
        <w:t xml:space="preserve"> and of </w:t>
      </w:r>
      <w:proofErr w:type="spellStart"/>
      <w:r>
        <w:rPr>
          <w:rFonts w:ascii="Times New Roman" w:hAnsi="Times New Roman" w:cs="Times New Roman"/>
          <w:lang w:val="es-MX"/>
        </w:rPr>
        <w:t>both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genders</w:t>
      </w:r>
      <w:proofErr w:type="spellEnd"/>
      <w:r>
        <w:rPr>
          <w:rFonts w:ascii="Times New Roman" w:hAnsi="Times New Roman" w:cs="Times New Roman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lang w:val="es-MX"/>
        </w:rPr>
        <w:t>which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have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cats</w:t>
      </w:r>
      <w:proofErr w:type="spellEnd"/>
      <w:r>
        <w:rPr>
          <w:rFonts w:ascii="Times New Roman" w:hAnsi="Times New Roman" w:cs="Times New Roman"/>
          <w:lang w:val="es-MX"/>
        </w:rPr>
        <w:t xml:space="preserve"> and </w:t>
      </w:r>
      <w:proofErr w:type="spellStart"/>
      <w:r>
        <w:rPr>
          <w:rFonts w:ascii="Times New Roman" w:hAnsi="Times New Roman" w:cs="Times New Roman"/>
          <w:lang w:val="es-MX"/>
        </w:rPr>
        <w:t>dogs</w:t>
      </w:r>
      <w:proofErr w:type="spellEnd"/>
      <w:r>
        <w:rPr>
          <w:rFonts w:ascii="Times New Roman" w:hAnsi="Times New Roman" w:cs="Times New Roman"/>
          <w:lang w:val="es-MX"/>
        </w:rPr>
        <w:t xml:space="preserve"> at home, and </w:t>
      </w:r>
      <w:proofErr w:type="spellStart"/>
      <w:r>
        <w:rPr>
          <w:rFonts w:ascii="Times New Roman" w:hAnsi="Times New Roman" w:cs="Times New Roman"/>
          <w:lang w:val="es-MX"/>
        </w:rPr>
        <w:t>they</w:t>
      </w:r>
      <w:proofErr w:type="spellEnd"/>
      <w:r>
        <w:rPr>
          <w:rFonts w:ascii="Times New Roman" w:hAnsi="Times New Roman" w:cs="Times New Roman"/>
          <w:lang w:val="es-MX"/>
        </w:rPr>
        <w:t xml:space="preserve"> are Tijuana </w:t>
      </w:r>
      <w:proofErr w:type="spellStart"/>
      <w:r>
        <w:rPr>
          <w:rFonts w:ascii="Times New Roman" w:hAnsi="Times New Roman" w:cs="Times New Roman"/>
          <w:lang w:val="es-MX"/>
        </w:rPr>
        <w:t>residents</w:t>
      </w:r>
      <w:proofErr w:type="spellEnd"/>
      <w:r>
        <w:rPr>
          <w:rFonts w:ascii="Times New Roman" w:hAnsi="Times New Roman" w:cs="Times New Roman"/>
          <w:lang w:val="es-MX"/>
        </w:rPr>
        <w:t xml:space="preserve"> living in </w:t>
      </w:r>
      <w:proofErr w:type="spellStart"/>
      <w:r>
        <w:rPr>
          <w:rFonts w:ascii="Times New Roman" w:hAnsi="Times New Roman" w:cs="Times New Roman"/>
          <w:lang w:val="es-MX"/>
        </w:rPr>
        <w:t>the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urban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area</w:t>
      </w:r>
      <w:proofErr w:type="spellEnd"/>
      <w:r>
        <w:rPr>
          <w:rFonts w:ascii="Times New Roman" w:hAnsi="Times New Roman" w:cs="Times New Roman"/>
          <w:lang w:val="es-MX"/>
        </w:rPr>
        <w:t xml:space="preserve">. </w:t>
      </w:r>
      <w:proofErr w:type="spellStart"/>
      <w:r>
        <w:rPr>
          <w:rFonts w:ascii="Times New Roman" w:hAnsi="Times New Roman" w:cs="Times New Roman"/>
          <w:lang w:val="es-MX"/>
        </w:rPr>
        <w:t>Due</w:t>
      </w:r>
      <w:proofErr w:type="spellEnd"/>
      <w:r>
        <w:rPr>
          <w:rFonts w:ascii="Times New Roman" w:hAnsi="Times New Roman" w:cs="Times New Roman"/>
          <w:lang w:val="es-MX"/>
        </w:rPr>
        <w:t xml:space="preserve"> to </w:t>
      </w:r>
      <w:proofErr w:type="spellStart"/>
      <w:r>
        <w:rPr>
          <w:rFonts w:ascii="Times New Roman" w:hAnsi="Times New Roman" w:cs="Times New Roman"/>
          <w:lang w:val="es-MX"/>
        </w:rPr>
        <w:t>the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seroprevalence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found</w:t>
      </w:r>
      <w:proofErr w:type="spellEnd"/>
      <w:r>
        <w:rPr>
          <w:rFonts w:ascii="Times New Roman" w:hAnsi="Times New Roman" w:cs="Times New Roman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lang w:val="es-MX"/>
        </w:rPr>
        <w:t>we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recommend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greater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vigilance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with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regard</w:t>
      </w:r>
      <w:proofErr w:type="spellEnd"/>
      <w:r>
        <w:rPr>
          <w:rFonts w:ascii="Times New Roman" w:hAnsi="Times New Roman" w:cs="Times New Roman"/>
          <w:lang w:val="es-MX"/>
        </w:rPr>
        <w:t xml:space="preserve"> to </w:t>
      </w:r>
      <w:proofErr w:type="spellStart"/>
      <w:r>
        <w:rPr>
          <w:rFonts w:ascii="Times New Roman" w:hAnsi="Times New Roman" w:cs="Times New Roman"/>
          <w:lang w:val="es-MX"/>
        </w:rPr>
        <w:t>the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presence</w:t>
      </w:r>
      <w:proofErr w:type="spellEnd"/>
      <w:r>
        <w:rPr>
          <w:rFonts w:ascii="Times New Roman" w:hAnsi="Times New Roman" w:cs="Times New Roman"/>
          <w:lang w:val="es-MX"/>
        </w:rPr>
        <w:t xml:space="preserve"> of </w:t>
      </w:r>
      <w:proofErr w:type="spellStart"/>
      <w:r>
        <w:rPr>
          <w:rFonts w:ascii="Times New Roman" w:hAnsi="Times New Roman" w:cs="Times New Roman"/>
          <w:lang w:val="es-MX"/>
        </w:rPr>
        <w:t>this</w:t>
      </w:r>
      <w:proofErr w:type="spellEnd"/>
      <w:r>
        <w:rPr>
          <w:rFonts w:ascii="Times New Roman" w:hAnsi="Times New Roman" w:cs="Times New Roman"/>
          <w:lang w:val="es-MX"/>
        </w:rPr>
        <w:t xml:space="preserve"> parasite in </w:t>
      </w:r>
      <w:proofErr w:type="spellStart"/>
      <w:r>
        <w:rPr>
          <w:rFonts w:ascii="Times New Roman" w:hAnsi="Times New Roman" w:cs="Times New Roman"/>
          <w:lang w:val="es-MX"/>
        </w:rPr>
        <w:t>blood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products</w:t>
      </w:r>
      <w:proofErr w:type="spellEnd"/>
      <w:r>
        <w:rPr>
          <w:rFonts w:ascii="Times New Roman" w:hAnsi="Times New Roman" w:cs="Times New Roman"/>
          <w:lang w:val="es-MX"/>
        </w:rPr>
        <w:t>.</w:t>
      </w:r>
    </w:p>
    <w:p w:rsidR="0016587B" w:rsidRPr="00107C11" w:rsidRDefault="00066ADB" w:rsidP="00066AD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eastAsia="Times New Roman" w:cs="Calibri"/>
          <w:color w:val="7030A0"/>
          <w:sz w:val="28"/>
          <w:szCs w:val="28"/>
          <w:lang w:val="es-ES" w:eastAsia="es-ES"/>
        </w:rPr>
        <w:br/>
        <w:t xml:space="preserve">Key </w:t>
      </w:r>
      <w:proofErr w:type="spellStart"/>
      <w:r>
        <w:rPr>
          <w:rFonts w:eastAsia="Times New Roman" w:cs="Calibri"/>
          <w:color w:val="7030A0"/>
          <w:sz w:val="28"/>
          <w:szCs w:val="28"/>
          <w:lang w:val="es-ES" w:eastAsia="es-ES"/>
        </w:rPr>
        <w:t>Words</w:t>
      </w:r>
      <w:proofErr w:type="spellEnd"/>
      <w:r>
        <w:rPr>
          <w:rFonts w:eastAsia="Times New Roman" w:cs="Calibri"/>
          <w:color w:val="7030A0"/>
          <w:sz w:val="28"/>
          <w:szCs w:val="28"/>
          <w:lang w:val="es-ES" w:eastAsia="es-ES"/>
        </w:rPr>
        <w:t>: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Toxoplasma </w:t>
      </w:r>
      <w:proofErr w:type="spellStart"/>
      <w:r>
        <w:rPr>
          <w:rFonts w:ascii="Times New Roman" w:hAnsi="Times New Roman" w:cs="Times New Roman"/>
          <w:lang w:val="es-MX"/>
        </w:rPr>
        <w:t>gondii</w:t>
      </w:r>
      <w:proofErr w:type="spellEnd"/>
      <w:r>
        <w:rPr>
          <w:rFonts w:ascii="Times New Roman" w:hAnsi="Times New Roman" w:cs="Times New Roman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lang w:val="es-MX"/>
        </w:rPr>
        <w:t>blood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products</w:t>
      </w:r>
      <w:proofErr w:type="spellEnd"/>
      <w:r>
        <w:rPr>
          <w:rFonts w:ascii="Times New Roman" w:hAnsi="Times New Roman" w:cs="Times New Roman"/>
          <w:lang w:val="es-MX"/>
        </w:rPr>
        <w:t xml:space="preserve">, Anti-Toxoplasma </w:t>
      </w:r>
      <w:proofErr w:type="spellStart"/>
      <w:r>
        <w:rPr>
          <w:rFonts w:ascii="Times New Roman" w:hAnsi="Times New Roman" w:cs="Times New Roman"/>
          <w:lang w:val="es-MX"/>
        </w:rPr>
        <w:t>IgG</w:t>
      </w:r>
      <w:proofErr w:type="spellEnd"/>
      <w:r>
        <w:rPr>
          <w:rFonts w:ascii="Times New Roman" w:hAnsi="Times New Roman" w:cs="Times New Roman"/>
          <w:lang w:val="es-MX"/>
        </w:rPr>
        <w:t xml:space="preserve"> and </w:t>
      </w:r>
      <w:proofErr w:type="spellStart"/>
      <w:r>
        <w:rPr>
          <w:rFonts w:ascii="Times New Roman" w:hAnsi="Times New Roman" w:cs="Times New Roman"/>
          <w:lang w:val="es-MX"/>
        </w:rPr>
        <w:t>IgM</w:t>
      </w:r>
      <w:proofErr w:type="spellEnd"/>
      <w:r>
        <w:rPr>
          <w:rFonts w:ascii="Times New Roman" w:hAnsi="Times New Roman" w:cs="Times New Roman"/>
          <w:lang w:val="es-MX"/>
        </w:rPr>
        <w:t xml:space="preserve">, </w:t>
      </w:r>
      <w:proofErr w:type="spellStart"/>
      <w:r>
        <w:rPr>
          <w:rFonts w:ascii="Times New Roman" w:hAnsi="Times New Roman" w:cs="Times New Roman"/>
          <w:lang w:val="es-MX"/>
        </w:rPr>
        <w:t>seroprevalence</w:t>
      </w:r>
      <w:proofErr w:type="spellEnd"/>
    </w:p>
    <w:p w:rsidR="00AA6CBA" w:rsidRPr="00107C11" w:rsidRDefault="00AA6CBA" w:rsidP="00AA6CBA">
      <w:pPr>
        <w:spacing w:line="360" w:lineRule="auto"/>
        <w:jc w:val="both"/>
        <w:rPr>
          <w:rFonts w:ascii="Times New Roman" w:hAnsi="Times New Roman" w:cs="Times New Roman"/>
        </w:rPr>
      </w:pPr>
    </w:p>
    <w:p w:rsidR="00AA6CBA" w:rsidRPr="00AA6CBA" w:rsidRDefault="00AA6CBA" w:rsidP="00AA6CBA">
      <w:pPr>
        <w:spacing w:line="36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AA6CB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Resumo</w:t>
      </w:r>
    </w:p>
    <w:p w:rsidR="00AA6CBA" w:rsidRPr="00107C11" w:rsidRDefault="00AA6CBA" w:rsidP="00AA6CBA">
      <w:pPr>
        <w:spacing w:line="360" w:lineRule="auto"/>
        <w:jc w:val="both"/>
        <w:rPr>
          <w:rFonts w:ascii="Arial" w:hAnsi="Arial" w:cs="Arial"/>
          <w:lang w:val="es-ES"/>
        </w:rPr>
      </w:pPr>
      <w:r w:rsidRPr="00AA6CBA">
        <w:rPr>
          <w:rFonts w:ascii="Times New Roman" w:hAnsi="Times New Roman" w:cs="Times New Roman"/>
          <w:lang w:val="es-MX"/>
        </w:rPr>
        <w:t xml:space="preserve">A </w:t>
      </w:r>
      <w:proofErr w:type="spellStart"/>
      <w:r w:rsidRPr="00AA6CBA">
        <w:rPr>
          <w:rFonts w:ascii="Times New Roman" w:hAnsi="Times New Roman" w:cs="Times New Roman"/>
          <w:lang w:val="es-MX"/>
        </w:rPr>
        <w:t>toxoplasmose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é </w:t>
      </w:r>
      <w:proofErr w:type="spellStart"/>
      <w:r w:rsidRPr="00AA6CBA">
        <w:rPr>
          <w:rFonts w:ascii="Times New Roman" w:hAnsi="Times New Roman" w:cs="Times New Roman"/>
          <w:lang w:val="es-MX"/>
        </w:rPr>
        <w:t>uma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doença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parasitária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em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humanos, </w:t>
      </w:r>
      <w:proofErr w:type="spellStart"/>
      <w:r w:rsidRPr="00AA6CBA">
        <w:rPr>
          <w:rFonts w:ascii="Times New Roman" w:hAnsi="Times New Roman" w:cs="Times New Roman"/>
          <w:lang w:val="es-MX"/>
        </w:rPr>
        <w:t>seu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agente causador, Toxoplasma </w:t>
      </w:r>
      <w:proofErr w:type="spellStart"/>
      <w:r w:rsidRPr="00AA6CBA">
        <w:rPr>
          <w:rFonts w:ascii="Times New Roman" w:hAnsi="Times New Roman" w:cs="Times New Roman"/>
          <w:lang w:val="es-MX"/>
        </w:rPr>
        <w:t>gondii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AA6CBA">
        <w:rPr>
          <w:rFonts w:ascii="Times New Roman" w:hAnsi="Times New Roman" w:cs="Times New Roman"/>
          <w:lang w:val="es-MX"/>
        </w:rPr>
        <w:t>um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protozoário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intracelular </w:t>
      </w:r>
      <w:proofErr w:type="spellStart"/>
      <w:r w:rsidRPr="00AA6CBA">
        <w:rPr>
          <w:rFonts w:ascii="Times New Roman" w:hAnsi="Times New Roman" w:cs="Times New Roman"/>
          <w:lang w:val="es-MX"/>
        </w:rPr>
        <w:t>obrigatório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parasita, é capaz de infectar </w:t>
      </w:r>
      <w:proofErr w:type="spellStart"/>
      <w:r w:rsidRPr="00AA6CBA">
        <w:rPr>
          <w:rFonts w:ascii="Times New Roman" w:hAnsi="Times New Roman" w:cs="Times New Roman"/>
          <w:lang w:val="es-MX"/>
        </w:rPr>
        <w:t>animais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de </w:t>
      </w:r>
      <w:proofErr w:type="spellStart"/>
      <w:r w:rsidRPr="00AA6CBA">
        <w:rPr>
          <w:rFonts w:ascii="Times New Roman" w:hAnsi="Times New Roman" w:cs="Times New Roman"/>
          <w:lang w:val="es-MX"/>
        </w:rPr>
        <w:t>sangue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quente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AA6CBA">
        <w:rPr>
          <w:rFonts w:ascii="Times New Roman" w:hAnsi="Times New Roman" w:cs="Times New Roman"/>
          <w:lang w:val="es-MX"/>
        </w:rPr>
        <w:t>incluindo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os seres humanos que </w:t>
      </w:r>
      <w:proofErr w:type="spellStart"/>
      <w:r w:rsidRPr="00AA6CBA">
        <w:rPr>
          <w:rFonts w:ascii="Times New Roman" w:hAnsi="Times New Roman" w:cs="Times New Roman"/>
          <w:lang w:val="es-MX"/>
        </w:rPr>
        <w:t>atuam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como </w:t>
      </w:r>
      <w:proofErr w:type="spellStart"/>
      <w:r w:rsidRPr="00AA6CBA">
        <w:rPr>
          <w:rFonts w:ascii="Times New Roman" w:hAnsi="Times New Roman" w:cs="Times New Roman"/>
          <w:lang w:val="es-MX"/>
        </w:rPr>
        <w:t>hospedeiro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intermediário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. O objetivo </w:t>
      </w:r>
      <w:proofErr w:type="spellStart"/>
      <w:r w:rsidRPr="00AA6CBA">
        <w:rPr>
          <w:rFonts w:ascii="Times New Roman" w:hAnsi="Times New Roman" w:cs="Times New Roman"/>
          <w:lang w:val="es-MX"/>
        </w:rPr>
        <w:t>deste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estudo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foi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detectar </w:t>
      </w:r>
      <w:proofErr w:type="spellStart"/>
      <w:r w:rsidRPr="00AA6CBA">
        <w:rPr>
          <w:rFonts w:ascii="Times New Roman" w:hAnsi="Times New Roman" w:cs="Times New Roman"/>
          <w:lang w:val="es-MX"/>
        </w:rPr>
        <w:t>anticorpos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IgG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anti-toxoplasma e </w:t>
      </w:r>
      <w:proofErr w:type="spellStart"/>
      <w:r w:rsidRPr="00AA6CBA">
        <w:rPr>
          <w:rFonts w:ascii="Times New Roman" w:hAnsi="Times New Roman" w:cs="Times New Roman"/>
          <w:lang w:val="es-MX"/>
        </w:rPr>
        <w:t>IgM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para o </w:t>
      </w:r>
      <w:proofErr w:type="spellStart"/>
      <w:r w:rsidRPr="00AA6CBA">
        <w:rPr>
          <w:rFonts w:ascii="Times New Roman" w:hAnsi="Times New Roman" w:cs="Times New Roman"/>
          <w:lang w:val="es-MX"/>
        </w:rPr>
        <w:t>qual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o método prospectivo observacional </w:t>
      </w:r>
      <w:proofErr w:type="spellStart"/>
      <w:r w:rsidRPr="00AA6CBA">
        <w:rPr>
          <w:rFonts w:ascii="Times New Roman" w:hAnsi="Times New Roman" w:cs="Times New Roman"/>
          <w:lang w:val="es-MX"/>
        </w:rPr>
        <w:t>foi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utilizado </w:t>
      </w:r>
      <w:proofErr w:type="spellStart"/>
      <w:r w:rsidRPr="00AA6CBA">
        <w:rPr>
          <w:rFonts w:ascii="Times New Roman" w:hAnsi="Times New Roman" w:cs="Times New Roman"/>
          <w:lang w:val="es-MX"/>
        </w:rPr>
        <w:t>com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doadores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voluntários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que </w:t>
      </w:r>
      <w:proofErr w:type="spellStart"/>
      <w:r w:rsidRPr="00AA6CBA">
        <w:rPr>
          <w:rFonts w:ascii="Times New Roman" w:hAnsi="Times New Roman" w:cs="Times New Roman"/>
          <w:lang w:val="es-MX"/>
        </w:rPr>
        <w:t>participaram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do banco de </w:t>
      </w:r>
      <w:proofErr w:type="spellStart"/>
      <w:r w:rsidRPr="00AA6CBA">
        <w:rPr>
          <w:rFonts w:ascii="Times New Roman" w:hAnsi="Times New Roman" w:cs="Times New Roman"/>
          <w:lang w:val="es-MX"/>
        </w:rPr>
        <w:t>sangue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; </w:t>
      </w:r>
      <w:proofErr w:type="spellStart"/>
      <w:r w:rsidRPr="00AA6CBA">
        <w:rPr>
          <w:rFonts w:ascii="Times New Roman" w:hAnsi="Times New Roman" w:cs="Times New Roman"/>
          <w:lang w:val="es-MX"/>
        </w:rPr>
        <w:t>estudo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de </w:t>
      </w:r>
      <w:proofErr w:type="spellStart"/>
      <w:r w:rsidRPr="00AA6CBA">
        <w:rPr>
          <w:rFonts w:ascii="Times New Roman" w:hAnsi="Times New Roman" w:cs="Times New Roman"/>
          <w:lang w:val="es-MX"/>
        </w:rPr>
        <w:t>rastreio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anti-toxoplasma </w:t>
      </w:r>
      <w:proofErr w:type="spellStart"/>
      <w:r w:rsidRPr="00AA6CBA">
        <w:rPr>
          <w:rFonts w:ascii="Times New Roman" w:hAnsi="Times New Roman" w:cs="Times New Roman"/>
          <w:lang w:val="es-MX"/>
        </w:rPr>
        <w:t>níveis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séricos positivo </w:t>
      </w:r>
      <w:proofErr w:type="spellStart"/>
      <w:r w:rsidRPr="00AA6CBA">
        <w:rPr>
          <w:rFonts w:ascii="Times New Roman" w:hAnsi="Times New Roman" w:cs="Times New Roman"/>
          <w:lang w:val="es-MX"/>
        </w:rPr>
        <w:t>IgM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e </w:t>
      </w:r>
      <w:proofErr w:type="spellStart"/>
      <w:r w:rsidRPr="00AA6CBA">
        <w:rPr>
          <w:rFonts w:ascii="Times New Roman" w:hAnsi="Times New Roman" w:cs="Times New Roman"/>
          <w:lang w:val="es-MX"/>
        </w:rPr>
        <w:t>IgG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foi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realizado pelo método de </w:t>
      </w:r>
      <w:proofErr w:type="spellStart"/>
      <w:r w:rsidRPr="00AA6CBA">
        <w:rPr>
          <w:rFonts w:ascii="Times New Roman" w:hAnsi="Times New Roman" w:cs="Times New Roman"/>
          <w:lang w:val="es-MX"/>
        </w:rPr>
        <w:t>quimiluminescência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. Eles </w:t>
      </w:r>
      <w:proofErr w:type="spellStart"/>
      <w:r w:rsidRPr="00AA6CBA">
        <w:rPr>
          <w:rFonts w:ascii="Times New Roman" w:hAnsi="Times New Roman" w:cs="Times New Roman"/>
          <w:lang w:val="es-MX"/>
        </w:rPr>
        <w:t>resultam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anticorpos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IgG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e IgM positivos, respectivamente, adultos e </w:t>
      </w:r>
      <w:proofErr w:type="spellStart"/>
      <w:r w:rsidRPr="00AA6CBA">
        <w:rPr>
          <w:rFonts w:ascii="Times New Roman" w:hAnsi="Times New Roman" w:cs="Times New Roman"/>
          <w:lang w:val="es-MX"/>
        </w:rPr>
        <w:t>pessoas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de ambos os sexos </w:t>
      </w:r>
      <w:proofErr w:type="spellStart"/>
      <w:r w:rsidRPr="00AA6CBA">
        <w:rPr>
          <w:rFonts w:ascii="Times New Roman" w:hAnsi="Times New Roman" w:cs="Times New Roman"/>
          <w:lang w:val="es-MX"/>
        </w:rPr>
        <w:t>foram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encontrados, que </w:t>
      </w:r>
      <w:proofErr w:type="spellStart"/>
      <w:r w:rsidRPr="00AA6CBA">
        <w:rPr>
          <w:rFonts w:ascii="Times New Roman" w:hAnsi="Times New Roman" w:cs="Times New Roman"/>
          <w:lang w:val="es-MX"/>
        </w:rPr>
        <w:t>têm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cães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e gatos </w:t>
      </w:r>
      <w:proofErr w:type="spellStart"/>
      <w:r w:rsidRPr="00AA6CBA">
        <w:rPr>
          <w:rFonts w:ascii="Times New Roman" w:hAnsi="Times New Roman" w:cs="Times New Roman"/>
          <w:lang w:val="es-MX"/>
        </w:rPr>
        <w:t>em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suas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casas e </w:t>
      </w:r>
      <w:proofErr w:type="spellStart"/>
      <w:r w:rsidRPr="00AA6CBA">
        <w:rPr>
          <w:rFonts w:ascii="Times New Roman" w:hAnsi="Times New Roman" w:cs="Times New Roman"/>
          <w:lang w:val="es-MX"/>
        </w:rPr>
        <w:t>são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residentes Tijuana </w:t>
      </w:r>
      <w:proofErr w:type="spellStart"/>
      <w:r w:rsidRPr="00AA6CBA">
        <w:rPr>
          <w:rFonts w:ascii="Times New Roman" w:hAnsi="Times New Roman" w:cs="Times New Roman"/>
          <w:lang w:val="es-MX"/>
        </w:rPr>
        <w:t>vivem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em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áreas urbanas. Porque a </w:t>
      </w:r>
      <w:proofErr w:type="spellStart"/>
      <w:r w:rsidRPr="00AA6CBA">
        <w:rPr>
          <w:rFonts w:ascii="Times New Roman" w:hAnsi="Times New Roman" w:cs="Times New Roman"/>
          <w:lang w:val="es-MX"/>
        </w:rPr>
        <w:lastRenderedPageBreak/>
        <w:t>soroprevalência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encontrada aumento da </w:t>
      </w:r>
      <w:proofErr w:type="spellStart"/>
      <w:r w:rsidRPr="00AA6CBA">
        <w:rPr>
          <w:rFonts w:ascii="Times New Roman" w:hAnsi="Times New Roman" w:cs="Times New Roman"/>
          <w:lang w:val="es-MX"/>
        </w:rPr>
        <w:t>fiscalização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é recomendada </w:t>
      </w:r>
      <w:proofErr w:type="spellStart"/>
      <w:r w:rsidRPr="00AA6CBA">
        <w:rPr>
          <w:rFonts w:ascii="Times New Roman" w:hAnsi="Times New Roman" w:cs="Times New Roman"/>
          <w:lang w:val="es-MX"/>
        </w:rPr>
        <w:t>em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relação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à </w:t>
      </w:r>
      <w:proofErr w:type="spellStart"/>
      <w:r w:rsidRPr="00AA6CBA">
        <w:rPr>
          <w:rFonts w:ascii="Times New Roman" w:hAnsi="Times New Roman" w:cs="Times New Roman"/>
          <w:lang w:val="es-MX"/>
        </w:rPr>
        <w:t>presença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do parasita </w:t>
      </w:r>
      <w:proofErr w:type="spellStart"/>
      <w:r w:rsidRPr="00AA6CBA">
        <w:rPr>
          <w:rFonts w:ascii="Times New Roman" w:hAnsi="Times New Roman" w:cs="Times New Roman"/>
          <w:lang w:val="es-MX"/>
        </w:rPr>
        <w:t>em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MX"/>
        </w:rPr>
        <w:t>produtos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sanguíneos.</w:t>
      </w:r>
    </w:p>
    <w:p w:rsidR="00AA6CBA" w:rsidRPr="00107C11" w:rsidRDefault="00AA6CBA" w:rsidP="00AA6CBA">
      <w:pPr>
        <w:spacing w:line="360" w:lineRule="auto"/>
        <w:jc w:val="both"/>
        <w:rPr>
          <w:rFonts w:ascii="Arial" w:hAnsi="Arial" w:cs="Arial"/>
          <w:lang w:val="es-ES"/>
        </w:rPr>
      </w:pPr>
    </w:p>
    <w:p w:rsidR="00AA6CBA" w:rsidRDefault="00AA6CBA" w:rsidP="00AA6CBA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proofErr w:type="spellStart"/>
      <w:r w:rsidRPr="00AA6CB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Palavras</w:t>
      </w:r>
      <w:proofErr w:type="spellEnd"/>
      <w:r w:rsidRPr="00AA6CB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-chave:</w:t>
      </w:r>
      <w:r w:rsidRPr="00107C11">
        <w:rPr>
          <w:rFonts w:ascii="Arial" w:hAnsi="Arial" w:cs="Arial"/>
          <w:lang w:val="es-ES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 xml:space="preserve">Toxoplasma </w:t>
      </w:r>
      <w:proofErr w:type="spellStart"/>
      <w:r w:rsidRPr="00AA6CBA">
        <w:rPr>
          <w:rFonts w:ascii="Times New Roman" w:hAnsi="Times New Roman" w:cs="Times New Roman"/>
          <w:lang w:val="es-MX"/>
        </w:rPr>
        <w:t>gondii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AA6CBA">
        <w:rPr>
          <w:rFonts w:ascii="Times New Roman" w:hAnsi="Times New Roman" w:cs="Times New Roman"/>
          <w:lang w:val="es-MX"/>
        </w:rPr>
        <w:t>produtos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sanguíneos, </w:t>
      </w:r>
      <w:proofErr w:type="spellStart"/>
      <w:r w:rsidRPr="00AA6CBA">
        <w:rPr>
          <w:rFonts w:ascii="Times New Roman" w:hAnsi="Times New Roman" w:cs="Times New Roman"/>
          <w:lang w:val="es-MX"/>
        </w:rPr>
        <w:t>IgG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anti-toxoplasma e </w:t>
      </w:r>
      <w:proofErr w:type="spellStart"/>
      <w:r w:rsidRPr="00AA6CBA">
        <w:rPr>
          <w:rFonts w:ascii="Times New Roman" w:hAnsi="Times New Roman" w:cs="Times New Roman"/>
          <w:lang w:val="es-MX"/>
        </w:rPr>
        <w:t>IgM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de </w:t>
      </w:r>
      <w:proofErr w:type="spellStart"/>
      <w:r w:rsidRPr="00AA6CBA">
        <w:rPr>
          <w:rFonts w:ascii="Times New Roman" w:hAnsi="Times New Roman" w:cs="Times New Roman"/>
          <w:lang w:val="es-MX"/>
        </w:rPr>
        <w:t>soroprevalência</w:t>
      </w:r>
      <w:proofErr w:type="spellEnd"/>
      <w:r>
        <w:rPr>
          <w:rFonts w:ascii="Times New Roman" w:hAnsi="Times New Roman" w:cs="Times New Roman"/>
          <w:lang w:val="es-MX"/>
        </w:rPr>
        <w:t>.</w:t>
      </w:r>
    </w:p>
    <w:p w:rsidR="00AA6CBA" w:rsidRDefault="00AA6CBA" w:rsidP="00AA6CBA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:rsidR="00AA6CBA" w:rsidRDefault="00AA6CBA" w:rsidP="00AA6CBA">
      <w:pPr>
        <w:spacing w:line="480" w:lineRule="auto"/>
        <w:rPr>
          <w:rFonts w:ascii="Times New Roman" w:eastAsia="Calibri" w:hAnsi="Times New Roman" w:cs="Times New Roman"/>
          <w:color w:val="000000" w:themeColor="text1"/>
          <w:lang w:val="es-ES"/>
        </w:rPr>
      </w:pPr>
      <w:r w:rsidRPr="00923828">
        <w:rPr>
          <w:rFonts w:ascii="Times New Roman" w:eastAsia="Calibri" w:hAnsi="Times New Roman" w:cs="Times New Roman"/>
          <w:b/>
          <w:color w:val="000000" w:themeColor="text1"/>
          <w:lang w:val="es-ES"/>
        </w:rPr>
        <w:t>Fecha recepción:</w:t>
      </w:r>
      <w:r w:rsidRPr="00923828">
        <w:rPr>
          <w:rFonts w:ascii="Times New Roman" w:eastAsia="Calibri" w:hAnsi="Times New Roman" w:cs="Times New Roman"/>
          <w:color w:val="000000" w:themeColor="text1"/>
          <w:lang w:val="es-ES"/>
        </w:rPr>
        <w:t xml:space="preserve">     </w:t>
      </w:r>
      <w:r w:rsidR="00FB032A">
        <w:rPr>
          <w:rFonts w:ascii="Times New Roman" w:eastAsia="Calibri" w:hAnsi="Times New Roman" w:cs="Times New Roman"/>
          <w:color w:val="000000" w:themeColor="text1"/>
          <w:lang w:val="es-ES"/>
        </w:rPr>
        <w:t>Enero</w:t>
      </w:r>
      <w:r>
        <w:rPr>
          <w:rFonts w:ascii="Times New Roman" w:eastAsia="Calibri" w:hAnsi="Times New Roman" w:cs="Times New Roman"/>
          <w:color w:val="000000" w:themeColor="text1"/>
          <w:lang w:val="es-ES"/>
        </w:rPr>
        <w:t xml:space="preserve"> 2016</w:t>
      </w:r>
      <w:r w:rsidRPr="00923828">
        <w:rPr>
          <w:rFonts w:ascii="Times New Roman" w:eastAsia="Calibri" w:hAnsi="Times New Roman" w:cs="Times New Roman"/>
          <w:color w:val="000000" w:themeColor="text1"/>
          <w:lang w:val="es-ES"/>
        </w:rPr>
        <w:t xml:space="preserve">     </w:t>
      </w:r>
      <w:r w:rsidRPr="00923828">
        <w:rPr>
          <w:rFonts w:ascii="Times New Roman" w:eastAsia="Calibri" w:hAnsi="Times New Roman" w:cs="Times New Roman"/>
          <w:b/>
          <w:color w:val="000000" w:themeColor="text1"/>
          <w:lang w:val="es-ES"/>
        </w:rPr>
        <w:t>Fecha aceptación:</w:t>
      </w:r>
      <w:r w:rsidRPr="00923828">
        <w:rPr>
          <w:rFonts w:ascii="Times New Roman" w:eastAsia="Calibri" w:hAnsi="Times New Roman" w:cs="Times New Roman"/>
          <w:color w:val="000000" w:themeColor="text1"/>
          <w:lang w:val="es-ES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lang w:val="es-ES"/>
        </w:rPr>
        <w:t>Ju</w:t>
      </w:r>
      <w:r w:rsidR="00291BA1">
        <w:rPr>
          <w:rFonts w:ascii="Times New Roman" w:eastAsia="Calibri" w:hAnsi="Times New Roman" w:cs="Times New Roman"/>
          <w:color w:val="000000" w:themeColor="text1"/>
          <w:lang w:val="es-ES"/>
        </w:rPr>
        <w:t>n</w:t>
      </w:r>
      <w:r>
        <w:rPr>
          <w:rFonts w:ascii="Times New Roman" w:eastAsia="Calibri" w:hAnsi="Times New Roman" w:cs="Times New Roman"/>
          <w:color w:val="000000" w:themeColor="text1"/>
          <w:lang w:val="es-ES"/>
        </w:rPr>
        <w:t>io 2016</w:t>
      </w:r>
    </w:p>
    <w:p w:rsidR="00AA6CBA" w:rsidRPr="00B71587" w:rsidRDefault="002533B5" w:rsidP="00AA6CBA">
      <w:pPr>
        <w:spacing w:line="360" w:lineRule="auto"/>
        <w:jc w:val="both"/>
        <w:rPr>
          <w:rFonts w:ascii="Arial" w:hAnsi="Arial" w:cs="Arial"/>
        </w:rPr>
      </w:pPr>
      <w:r>
        <w:rPr>
          <w:rFonts w:cs="Calibri"/>
        </w:rPr>
        <w:pict>
          <v:rect id="_x0000_i1025" style="width:0;height:1.5pt" o:hralign="center" o:hrstd="t" o:hr="t" fillcolor="#a0a0a0" stroked="f"/>
        </w:pict>
      </w:r>
    </w:p>
    <w:p w:rsidR="0016587B" w:rsidRPr="00C46943" w:rsidRDefault="0016587B" w:rsidP="0016587B">
      <w:pPr>
        <w:spacing w:before="100" w:beforeAutospacing="1" w:after="100" w:afterAutospacing="1" w:line="214" w:lineRule="atLeast"/>
        <w:ind w:right="375"/>
        <w:rPr>
          <w:rFonts w:ascii="Arial" w:eastAsia="Times New Roman" w:hAnsi="Arial" w:cs="Arial"/>
          <w:color w:val="575757"/>
          <w:spacing w:val="3"/>
          <w:lang w:eastAsia="es-MX"/>
        </w:rPr>
      </w:pPr>
    </w:p>
    <w:p w:rsidR="001E223C" w:rsidRPr="0016587B" w:rsidRDefault="001E223C" w:rsidP="00D03710">
      <w:pPr>
        <w:spacing w:line="360" w:lineRule="auto"/>
        <w:jc w:val="both"/>
        <w:rPr>
          <w:rFonts w:ascii="Arial" w:hAnsi="Arial" w:cs="Arial"/>
          <w:b/>
        </w:rPr>
      </w:pPr>
    </w:p>
    <w:p w:rsidR="001E223C" w:rsidRDefault="001E223C" w:rsidP="00A45AF4">
      <w:pPr>
        <w:spacing w:line="480" w:lineRule="auto"/>
        <w:jc w:val="both"/>
        <w:rPr>
          <w:rFonts w:ascii="Arial" w:hAnsi="Arial" w:cs="Arial"/>
          <w:b/>
          <w:lang w:val="es-ES"/>
        </w:rPr>
      </w:pPr>
      <w:r w:rsidRPr="00AA6CBA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Introducción</w:t>
      </w:r>
    </w:p>
    <w:p w:rsidR="00774B9B" w:rsidRPr="00AA6CBA" w:rsidRDefault="001E223C" w:rsidP="00AA6CBA">
      <w:pPr>
        <w:spacing w:line="360" w:lineRule="auto"/>
        <w:jc w:val="both"/>
        <w:rPr>
          <w:rFonts w:ascii="Times New Roman" w:hAnsi="Times New Roman" w:cs="Times New Roman"/>
          <w:vertAlign w:val="superscript"/>
          <w:lang w:val="es-MX"/>
        </w:rPr>
      </w:pPr>
      <w:r w:rsidRPr="00AA6CBA">
        <w:rPr>
          <w:rFonts w:ascii="Times New Roman" w:hAnsi="Times New Roman" w:cs="Times New Roman"/>
          <w:lang w:val="es-MX"/>
        </w:rPr>
        <w:t xml:space="preserve">La toxoplasmosis es una enfermedad parasitaria en humanos, su agente causal, </w:t>
      </w:r>
      <w:r w:rsidRPr="00AA6CBA">
        <w:rPr>
          <w:rFonts w:ascii="Times New Roman" w:hAnsi="Times New Roman" w:cs="Times New Roman"/>
          <w:i/>
          <w:lang w:val="es-MX"/>
        </w:rPr>
        <w:t>Toxoplasma gondii</w:t>
      </w:r>
      <w:r w:rsidRPr="00AA6CBA">
        <w:rPr>
          <w:rFonts w:ascii="Times New Roman" w:hAnsi="Times New Roman" w:cs="Times New Roman"/>
          <w:lang w:val="es-MX"/>
        </w:rPr>
        <w:t xml:space="preserve">, un </w:t>
      </w:r>
      <w:r w:rsidR="00AF5686" w:rsidRPr="00AA6CBA">
        <w:rPr>
          <w:rFonts w:ascii="Times New Roman" w:hAnsi="Times New Roman" w:cs="Times New Roman"/>
          <w:lang w:val="es-MX"/>
        </w:rPr>
        <w:t xml:space="preserve">parásito </w:t>
      </w:r>
      <w:r w:rsidR="00BA372F" w:rsidRPr="00AA6CBA">
        <w:rPr>
          <w:rFonts w:ascii="Times New Roman" w:hAnsi="Times New Roman" w:cs="Times New Roman"/>
          <w:lang w:val="es-MX"/>
        </w:rPr>
        <w:t>protozoo intracelular obligado,</w:t>
      </w:r>
      <w:r w:rsidRPr="00AA6CBA">
        <w:rPr>
          <w:rFonts w:ascii="Times New Roman" w:hAnsi="Times New Roman" w:cs="Times New Roman"/>
          <w:lang w:val="es-MX"/>
        </w:rPr>
        <w:t xml:space="preserve"> es capaz de infectar a los animales de sangre caliente</w:t>
      </w:r>
      <w:r w:rsidR="00AF5686" w:rsidRPr="00AA6CBA">
        <w:rPr>
          <w:rFonts w:ascii="Times New Roman" w:hAnsi="Times New Roman" w:cs="Times New Roman"/>
          <w:lang w:val="es-MX"/>
        </w:rPr>
        <w:t xml:space="preserve"> —</w:t>
      </w:r>
      <w:r w:rsidRPr="00AA6CBA">
        <w:rPr>
          <w:rFonts w:ascii="Times New Roman" w:hAnsi="Times New Roman" w:cs="Times New Roman"/>
          <w:lang w:val="es-MX"/>
        </w:rPr>
        <w:t>incluyendo los seres humanos</w:t>
      </w:r>
      <w:r w:rsidR="00AF5686" w:rsidRPr="00AA6CBA">
        <w:rPr>
          <w:rFonts w:ascii="Times New Roman" w:hAnsi="Times New Roman" w:cs="Times New Roman"/>
          <w:lang w:val="es-MX"/>
        </w:rPr>
        <w:t>—</w:t>
      </w:r>
      <w:r w:rsidRPr="00AA6CBA">
        <w:rPr>
          <w:rFonts w:ascii="Times New Roman" w:hAnsi="Times New Roman" w:cs="Times New Roman"/>
          <w:lang w:val="es-MX"/>
        </w:rPr>
        <w:t>, qu</w:t>
      </w:r>
      <w:r w:rsidR="00AF5686" w:rsidRPr="00AA6CBA">
        <w:rPr>
          <w:rFonts w:ascii="Times New Roman" w:hAnsi="Times New Roman" w:cs="Times New Roman"/>
          <w:lang w:val="es-MX"/>
        </w:rPr>
        <w:t>ienes</w:t>
      </w:r>
      <w:r w:rsidRPr="00AA6CBA">
        <w:rPr>
          <w:rFonts w:ascii="Times New Roman" w:hAnsi="Times New Roman" w:cs="Times New Roman"/>
          <w:lang w:val="es-MX"/>
        </w:rPr>
        <w:t xml:space="preserve"> actúan como </w:t>
      </w:r>
      <w:r w:rsidR="00BA372F" w:rsidRPr="00AA6CBA">
        <w:rPr>
          <w:rFonts w:ascii="Times New Roman" w:hAnsi="Times New Roman" w:cs="Times New Roman"/>
          <w:lang w:val="es-MX"/>
        </w:rPr>
        <w:t xml:space="preserve">su </w:t>
      </w:r>
      <w:r w:rsidRPr="00AA6CBA">
        <w:rPr>
          <w:rFonts w:ascii="Times New Roman" w:hAnsi="Times New Roman" w:cs="Times New Roman"/>
          <w:lang w:val="es-MX"/>
        </w:rPr>
        <w:t xml:space="preserve">huésped </w:t>
      </w:r>
      <w:r w:rsidR="00A54341" w:rsidRPr="00AA6CBA">
        <w:rPr>
          <w:rFonts w:ascii="Times New Roman" w:hAnsi="Times New Roman" w:cs="Times New Roman"/>
          <w:lang w:val="es-MX"/>
        </w:rPr>
        <w:t>intermediario (</w:t>
      </w:r>
      <w:r w:rsidR="0031013E" w:rsidRPr="00AA6CBA">
        <w:rPr>
          <w:rFonts w:ascii="Times New Roman" w:hAnsi="Times New Roman" w:cs="Times New Roman"/>
          <w:lang w:val="es-MX"/>
        </w:rPr>
        <w:t>Pinto</w:t>
      </w:r>
      <w:r w:rsidR="001B5B6A" w:rsidRPr="00AA6CBA">
        <w:rPr>
          <w:rFonts w:ascii="Times New Roman" w:hAnsi="Times New Roman" w:cs="Times New Roman"/>
          <w:lang w:val="es-MX"/>
        </w:rPr>
        <w:t xml:space="preserve"> </w:t>
      </w:r>
      <w:r w:rsidR="0031013E" w:rsidRPr="00AA6CBA">
        <w:rPr>
          <w:rFonts w:ascii="Times New Roman" w:hAnsi="Times New Roman" w:cs="Times New Roman"/>
          <w:lang w:val="es-MX"/>
        </w:rPr>
        <w:t>B</w:t>
      </w:r>
      <w:r w:rsidR="001B5B6A" w:rsidRPr="00AA6CBA">
        <w:rPr>
          <w:rFonts w:ascii="Times New Roman" w:hAnsi="Times New Roman" w:cs="Times New Roman"/>
          <w:lang w:val="es-MX"/>
        </w:rPr>
        <w:t>.</w:t>
      </w:r>
      <w:r w:rsidR="00A54341" w:rsidRPr="00AA6CBA">
        <w:rPr>
          <w:rFonts w:ascii="Times New Roman" w:hAnsi="Times New Roman" w:cs="Times New Roman"/>
          <w:lang w:val="es-MX"/>
        </w:rPr>
        <w:t>, 2012</w:t>
      </w:r>
      <w:r w:rsidR="0031013E" w:rsidRPr="00AA6CBA">
        <w:rPr>
          <w:rFonts w:ascii="Times New Roman" w:hAnsi="Times New Roman" w:cs="Times New Roman"/>
          <w:lang w:val="es-MX"/>
        </w:rPr>
        <w:t>)</w:t>
      </w:r>
      <w:r w:rsidRPr="00AA6CBA">
        <w:rPr>
          <w:rFonts w:ascii="Times New Roman" w:hAnsi="Times New Roman" w:cs="Times New Roman"/>
          <w:lang w:val="es-MX"/>
        </w:rPr>
        <w:t>.</w:t>
      </w:r>
      <w:r w:rsidRPr="00AA6CBA">
        <w:rPr>
          <w:rFonts w:ascii="Times New Roman" w:hAnsi="Times New Roman" w:cs="Times New Roman"/>
          <w:vertAlign w:val="superscript"/>
          <w:lang w:val="es-MX"/>
        </w:rPr>
        <w:t>1</w:t>
      </w:r>
    </w:p>
    <w:p w:rsidR="001E223C" w:rsidRPr="00AA6CBA" w:rsidRDefault="00AF5686" w:rsidP="00AA6CBA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AA6CBA">
        <w:rPr>
          <w:rFonts w:ascii="Times New Roman" w:hAnsi="Times New Roman" w:cs="Times New Roman"/>
          <w:lang w:val="es-MX"/>
        </w:rPr>
        <w:t xml:space="preserve">Al parecer </w:t>
      </w:r>
      <w:r w:rsidR="00D121A6" w:rsidRPr="00AA6CBA">
        <w:rPr>
          <w:rFonts w:ascii="Times New Roman" w:hAnsi="Times New Roman" w:cs="Times New Roman"/>
          <w:lang w:val="es-MX"/>
        </w:rPr>
        <w:t xml:space="preserve">el humano se infecta </w:t>
      </w:r>
      <w:r w:rsidR="001E223C" w:rsidRPr="00AA6CBA">
        <w:rPr>
          <w:rFonts w:ascii="Times New Roman" w:hAnsi="Times New Roman" w:cs="Times New Roman"/>
          <w:lang w:val="es-MX"/>
        </w:rPr>
        <w:t>principalmente a través de</w:t>
      </w:r>
      <w:r w:rsidR="00D121A6" w:rsidRPr="00AA6CBA">
        <w:rPr>
          <w:rFonts w:ascii="Times New Roman" w:hAnsi="Times New Roman" w:cs="Times New Roman"/>
          <w:lang w:val="es-MX"/>
        </w:rPr>
        <w:t>l</w:t>
      </w:r>
      <w:r w:rsidR="001E223C" w:rsidRPr="00AA6CBA">
        <w:rPr>
          <w:rFonts w:ascii="Times New Roman" w:hAnsi="Times New Roman" w:cs="Times New Roman"/>
          <w:lang w:val="es-MX"/>
        </w:rPr>
        <w:t xml:space="preserve"> contacto directo con el suelo o la ingestión accidental de agua o alimentos contaminados </w:t>
      </w:r>
      <w:r w:rsidR="00D121A6" w:rsidRPr="00AA6CBA">
        <w:rPr>
          <w:rFonts w:ascii="Times New Roman" w:hAnsi="Times New Roman" w:cs="Times New Roman"/>
          <w:lang w:val="es-MX"/>
        </w:rPr>
        <w:t>con</w:t>
      </w:r>
      <w:r w:rsidR="001E223C" w:rsidRPr="00AA6CBA">
        <w:rPr>
          <w:rFonts w:ascii="Times New Roman" w:hAnsi="Times New Roman" w:cs="Times New Roman"/>
          <w:lang w:val="es-MX"/>
        </w:rPr>
        <w:t xml:space="preserve"> </w:t>
      </w:r>
      <w:r w:rsidR="001E223C" w:rsidRPr="00AA6CBA">
        <w:rPr>
          <w:rFonts w:ascii="Times New Roman" w:hAnsi="Times New Roman" w:cs="Times New Roman"/>
          <w:i/>
          <w:lang w:val="es-MX"/>
        </w:rPr>
        <w:t>Toxoplasma</w:t>
      </w:r>
      <w:r w:rsidR="001E223C" w:rsidRPr="00AA6CBA">
        <w:rPr>
          <w:rFonts w:ascii="Times New Roman" w:hAnsi="Times New Roman" w:cs="Times New Roman"/>
          <w:lang w:val="es-MX"/>
        </w:rPr>
        <w:t xml:space="preserve"> </w:t>
      </w:r>
      <w:r w:rsidR="001E223C" w:rsidRPr="00AA6CBA">
        <w:rPr>
          <w:rFonts w:ascii="Times New Roman" w:hAnsi="Times New Roman" w:cs="Times New Roman"/>
          <w:i/>
          <w:lang w:val="es-MX"/>
        </w:rPr>
        <w:t>gondii</w:t>
      </w:r>
      <w:r w:rsidR="001E223C" w:rsidRPr="00AA6CBA">
        <w:rPr>
          <w:rFonts w:ascii="Times New Roman" w:hAnsi="Times New Roman" w:cs="Times New Roman"/>
          <w:lang w:val="es-MX"/>
        </w:rPr>
        <w:t xml:space="preserve"> en forma de ooquistes excretados en heces de gato.</w:t>
      </w:r>
      <w:r w:rsidR="001E223C" w:rsidRPr="00AA6CBA">
        <w:rPr>
          <w:rFonts w:ascii="Times New Roman" w:hAnsi="Times New Roman" w:cs="Times New Roman"/>
          <w:vertAlign w:val="superscript"/>
          <w:lang w:val="es-MX"/>
        </w:rPr>
        <w:t>2</w:t>
      </w:r>
      <w:r w:rsidR="001E223C" w:rsidRPr="00AA6CBA">
        <w:rPr>
          <w:rFonts w:ascii="Times New Roman" w:hAnsi="Times New Roman" w:cs="Times New Roman"/>
          <w:lang w:val="es-MX"/>
        </w:rPr>
        <w:t xml:space="preserve">  Aunque los parásitos permanecen latentes en las personas que presentan inmunología competente</w:t>
      </w:r>
      <w:r w:rsidR="00D121A6" w:rsidRPr="00AA6CBA">
        <w:rPr>
          <w:rFonts w:ascii="Times New Roman" w:hAnsi="Times New Roman" w:cs="Times New Roman"/>
          <w:lang w:val="es-MX"/>
        </w:rPr>
        <w:t>,</w:t>
      </w:r>
      <w:r w:rsidR="00774B9B" w:rsidRPr="00AA6CBA">
        <w:rPr>
          <w:rFonts w:ascii="Times New Roman" w:hAnsi="Times New Roman" w:cs="Times New Roman"/>
          <w:lang w:val="es-MX"/>
        </w:rPr>
        <w:t xml:space="preserve"> representa una </w:t>
      </w:r>
      <w:r w:rsidR="001E223C" w:rsidRPr="00AA6CBA">
        <w:rPr>
          <w:rFonts w:ascii="Times New Roman" w:hAnsi="Times New Roman" w:cs="Times New Roman"/>
          <w:lang w:val="es-MX"/>
        </w:rPr>
        <w:t>amenaza</w:t>
      </w:r>
      <w:r w:rsidR="00774B9B" w:rsidRPr="00AA6CBA">
        <w:rPr>
          <w:rFonts w:ascii="Times New Roman" w:hAnsi="Times New Roman" w:cs="Times New Roman"/>
          <w:lang w:val="es-MX"/>
        </w:rPr>
        <w:t xml:space="preserve"> </w:t>
      </w:r>
      <w:r w:rsidR="00BA372F" w:rsidRPr="00AA6CBA">
        <w:rPr>
          <w:rFonts w:ascii="Times New Roman" w:hAnsi="Times New Roman" w:cs="Times New Roman"/>
          <w:lang w:val="es-MX"/>
        </w:rPr>
        <w:t>en</w:t>
      </w:r>
      <w:r w:rsidR="00774B9B" w:rsidRPr="00AA6CBA">
        <w:rPr>
          <w:rFonts w:ascii="Times New Roman" w:hAnsi="Times New Roman" w:cs="Times New Roman"/>
          <w:lang w:val="es-MX"/>
        </w:rPr>
        <w:t xml:space="preserve"> </w:t>
      </w:r>
      <w:r w:rsidR="001E223C" w:rsidRPr="00AA6CBA">
        <w:rPr>
          <w:rFonts w:ascii="Times New Roman" w:hAnsi="Times New Roman" w:cs="Times New Roman"/>
          <w:lang w:val="es-MX"/>
        </w:rPr>
        <w:t>individuos que son immunocomprometidos.</w:t>
      </w:r>
      <w:r w:rsidR="001E223C" w:rsidRPr="00AA6CBA">
        <w:rPr>
          <w:rFonts w:ascii="Times New Roman" w:hAnsi="Times New Roman" w:cs="Times New Roman"/>
          <w:vertAlign w:val="superscript"/>
          <w:lang w:val="es-MX"/>
        </w:rPr>
        <w:t>3</w:t>
      </w:r>
    </w:p>
    <w:p w:rsidR="00774B9B" w:rsidRPr="00AA6CBA" w:rsidRDefault="001E223C" w:rsidP="00AA6CBA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AA6CBA">
        <w:rPr>
          <w:rFonts w:ascii="Times New Roman" w:hAnsi="Times New Roman" w:cs="Times New Roman"/>
          <w:lang w:val="es-MX"/>
        </w:rPr>
        <w:t>Diferentes autores han reportado que este parásito podría comportarse como oportunista, porque a pesar de que se mantiene latente puede migrar e infectar diferentes tejidos en situaciones consideradas normales</w:t>
      </w:r>
      <w:r w:rsidR="00B34658" w:rsidRPr="00AA6CBA">
        <w:rPr>
          <w:rFonts w:ascii="Times New Roman" w:hAnsi="Times New Roman" w:cs="Times New Roman"/>
          <w:lang w:val="es-MX"/>
        </w:rPr>
        <w:t>,</w:t>
      </w:r>
      <w:r w:rsidRPr="00AA6CBA">
        <w:rPr>
          <w:rFonts w:ascii="Times New Roman" w:hAnsi="Times New Roman" w:cs="Times New Roman"/>
          <w:lang w:val="es-MX"/>
        </w:rPr>
        <w:t xml:space="preserve"> como el embarazo</w:t>
      </w:r>
      <w:r w:rsidR="00B34658" w:rsidRPr="00AA6CBA">
        <w:rPr>
          <w:rFonts w:ascii="Times New Roman" w:hAnsi="Times New Roman" w:cs="Times New Roman"/>
          <w:lang w:val="es-MX"/>
        </w:rPr>
        <w:t>; además</w:t>
      </w:r>
      <w:r w:rsidR="00854BFC" w:rsidRPr="00AA6CBA">
        <w:rPr>
          <w:rFonts w:ascii="Times New Roman" w:hAnsi="Times New Roman" w:cs="Times New Roman"/>
          <w:lang w:val="es-MX"/>
        </w:rPr>
        <w:t>,</w:t>
      </w:r>
      <w:r w:rsidR="00B34658" w:rsidRPr="00AA6CBA">
        <w:rPr>
          <w:rFonts w:ascii="Times New Roman" w:hAnsi="Times New Roman" w:cs="Times New Roman"/>
          <w:lang w:val="es-MX"/>
        </w:rPr>
        <w:t xml:space="preserve"> la </w:t>
      </w:r>
      <w:r w:rsidRPr="00AA6CBA">
        <w:rPr>
          <w:rFonts w:ascii="Times New Roman" w:hAnsi="Times New Roman" w:cs="Times New Roman"/>
          <w:lang w:val="es-MX"/>
        </w:rPr>
        <w:t xml:space="preserve">infección suele </w:t>
      </w:r>
      <w:r w:rsidR="00774B9B" w:rsidRPr="00AA6CBA">
        <w:rPr>
          <w:rFonts w:ascii="Times New Roman" w:hAnsi="Times New Roman" w:cs="Times New Roman"/>
          <w:lang w:val="es-MX"/>
        </w:rPr>
        <w:t xml:space="preserve">aparecer </w:t>
      </w:r>
      <w:r w:rsidRPr="00AA6CBA">
        <w:rPr>
          <w:rFonts w:ascii="Times New Roman" w:hAnsi="Times New Roman" w:cs="Times New Roman"/>
          <w:lang w:val="es-MX"/>
        </w:rPr>
        <w:t xml:space="preserve">subclínica o asociada </w:t>
      </w:r>
      <w:r w:rsidR="00AF5686" w:rsidRPr="00AA6CBA">
        <w:rPr>
          <w:rFonts w:ascii="Times New Roman" w:hAnsi="Times New Roman" w:cs="Times New Roman"/>
          <w:lang w:val="es-MX"/>
        </w:rPr>
        <w:t xml:space="preserve">a </w:t>
      </w:r>
      <w:r w:rsidRPr="00AA6CBA">
        <w:rPr>
          <w:rFonts w:ascii="Times New Roman" w:hAnsi="Times New Roman" w:cs="Times New Roman"/>
          <w:lang w:val="es-MX"/>
        </w:rPr>
        <w:t>síntomas no específicos</w:t>
      </w:r>
      <w:r w:rsidR="00B34658" w:rsidRPr="00AA6CBA">
        <w:rPr>
          <w:rFonts w:ascii="Times New Roman" w:hAnsi="Times New Roman" w:cs="Times New Roman"/>
          <w:lang w:val="es-MX"/>
        </w:rPr>
        <w:t>, y de</w:t>
      </w:r>
      <w:r w:rsidRPr="00AA6CBA">
        <w:rPr>
          <w:rFonts w:ascii="Times New Roman" w:hAnsi="Times New Roman" w:cs="Times New Roman"/>
          <w:lang w:val="es-MX"/>
        </w:rPr>
        <w:t xml:space="preserve"> esa manera transm</w:t>
      </w:r>
      <w:r w:rsidR="00BA372F" w:rsidRPr="00AA6CBA">
        <w:rPr>
          <w:rFonts w:ascii="Times New Roman" w:hAnsi="Times New Roman" w:cs="Times New Roman"/>
          <w:lang w:val="es-MX"/>
        </w:rPr>
        <w:t>itir</w:t>
      </w:r>
      <w:r w:rsidR="00B34658" w:rsidRPr="00AA6CBA">
        <w:rPr>
          <w:rFonts w:ascii="Times New Roman" w:hAnsi="Times New Roman" w:cs="Times New Roman"/>
          <w:lang w:val="es-MX"/>
        </w:rPr>
        <w:t>se</w:t>
      </w:r>
      <w:r w:rsidR="00BA372F" w:rsidRPr="00AA6CBA">
        <w:rPr>
          <w:rFonts w:ascii="Times New Roman" w:hAnsi="Times New Roman" w:cs="Times New Roman"/>
          <w:lang w:val="es-MX"/>
        </w:rPr>
        <w:t xml:space="preserve"> al feto y causar</w:t>
      </w:r>
      <w:r w:rsidRPr="00AA6CBA">
        <w:rPr>
          <w:rFonts w:ascii="Times New Roman" w:hAnsi="Times New Roman" w:cs="Times New Roman"/>
          <w:lang w:val="es-MX"/>
        </w:rPr>
        <w:t xml:space="preserve"> </w:t>
      </w:r>
      <w:r w:rsidR="00AF5686" w:rsidRPr="00AA6CBA">
        <w:rPr>
          <w:rFonts w:ascii="Times New Roman" w:hAnsi="Times New Roman" w:cs="Times New Roman"/>
          <w:lang w:val="es-MX"/>
        </w:rPr>
        <w:t>una</w:t>
      </w:r>
      <w:r w:rsidRPr="00AA6CBA">
        <w:rPr>
          <w:rFonts w:ascii="Times New Roman" w:hAnsi="Times New Roman" w:cs="Times New Roman"/>
          <w:lang w:val="es-MX"/>
        </w:rPr>
        <w:t xml:space="preserve"> enfermedad congénita </w:t>
      </w:r>
      <w:r w:rsidR="00AF5686" w:rsidRPr="00AA6CBA">
        <w:rPr>
          <w:rFonts w:ascii="Times New Roman" w:hAnsi="Times New Roman" w:cs="Times New Roman"/>
          <w:lang w:val="es-MX"/>
        </w:rPr>
        <w:t>como</w:t>
      </w:r>
      <w:r w:rsidRPr="00AA6CBA">
        <w:rPr>
          <w:rFonts w:ascii="Times New Roman" w:hAnsi="Times New Roman" w:cs="Times New Roman"/>
          <w:lang w:val="es-MX"/>
        </w:rPr>
        <w:t xml:space="preserve"> hidrocefalia, calcificaciones intracraneales y cororretinitis</w:t>
      </w:r>
      <w:r w:rsidR="00774B9B" w:rsidRPr="00AA6CBA">
        <w:rPr>
          <w:rFonts w:ascii="Times New Roman" w:hAnsi="Times New Roman" w:cs="Times New Roman"/>
          <w:lang w:val="es-MX"/>
        </w:rPr>
        <w:t>.</w:t>
      </w:r>
      <w:r w:rsidR="00774B9B" w:rsidRPr="00AA6CBA">
        <w:rPr>
          <w:rFonts w:ascii="Times New Roman" w:hAnsi="Times New Roman" w:cs="Times New Roman"/>
          <w:vertAlign w:val="superscript"/>
          <w:lang w:val="es-MX"/>
        </w:rPr>
        <w:t xml:space="preserve"> 4,5</w:t>
      </w:r>
      <w:r w:rsidRPr="00AA6CBA">
        <w:rPr>
          <w:rFonts w:ascii="Times New Roman" w:hAnsi="Times New Roman" w:cs="Times New Roman"/>
          <w:lang w:val="es-MX"/>
        </w:rPr>
        <w:t xml:space="preserve">  </w:t>
      </w:r>
    </w:p>
    <w:p w:rsidR="001E223C" w:rsidRPr="00BB58BB" w:rsidRDefault="00854BFC" w:rsidP="00AA6CBA">
      <w:pPr>
        <w:spacing w:line="360" w:lineRule="auto"/>
        <w:jc w:val="both"/>
        <w:rPr>
          <w:rFonts w:ascii="Arial" w:hAnsi="Arial" w:cs="Arial"/>
          <w:lang w:val="es-MX"/>
        </w:rPr>
      </w:pPr>
      <w:r w:rsidRPr="00AA6CBA">
        <w:rPr>
          <w:rFonts w:ascii="Times New Roman" w:hAnsi="Times New Roman" w:cs="Times New Roman"/>
          <w:lang w:val="es-MX"/>
        </w:rPr>
        <w:t>Con el tiempo, l</w:t>
      </w:r>
      <w:r w:rsidR="001E223C" w:rsidRPr="00AA6CBA">
        <w:rPr>
          <w:rFonts w:ascii="Times New Roman" w:hAnsi="Times New Roman" w:cs="Times New Roman"/>
          <w:lang w:val="es-MX"/>
        </w:rPr>
        <w:t xml:space="preserve">a presentación subclínica puede desarrollar </w:t>
      </w:r>
      <w:r w:rsidR="00774B9B" w:rsidRPr="00AA6CBA">
        <w:rPr>
          <w:rFonts w:ascii="Times New Roman" w:hAnsi="Times New Roman" w:cs="Times New Roman"/>
          <w:lang w:val="es-MX"/>
        </w:rPr>
        <w:t xml:space="preserve">diferentes </w:t>
      </w:r>
      <w:r w:rsidR="001E223C" w:rsidRPr="00AA6CBA">
        <w:rPr>
          <w:rFonts w:ascii="Times New Roman" w:hAnsi="Times New Roman" w:cs="Times New Roman"/>
          <w:lang w:val="es-MX"/>
        </w:rPr>
        <w:t>trastornos</w:t>
      </w:r>
      <w:r w:rsidR="00A530FC" w:rsidRPr="00AA6CBA">
        <w:rPr>
          <w:rFonts w:ascii="Times New Roman" w:hAnsi="Times New Roman" w:cs="Times New Roman"/>
          <w:lang w:val="es-MX"/>
        </w:rPr>
        <w:t xml:space="preserve"> a nivel de</w:t>
      </w:r>
      <w:r w:rsidRPr="00AA6CBA">
        <w:rPr>
          <w:rFonts w:ascii="Times New Roman" w:hAnsi="Times New Roman" w:cs="Times New Roman"/>
          <w:lang w:val="es-MX"/>
        </w:rPr>
        <w:t>l</w:t>
      </w:r>
      <w:r w:rsidR="00A530FC" w:rsidRPr="00AA6CBA">
        <w:rPr>
          <w:rFonts w:ascii="Times New Roman" w:hAnsi="Times New Roman" w:cs="Times New Roman"/>
          <w:lang w:val="es-MX"/>
        </w:rPr>
        <w:t xml:space="preserve"> sistema nervioso</w:t>
      </w:r>
      <w:r w:rsidRPr="00AA6CBA">
        <w:rPr>
          <w:rFonts w:ascii="Times New Roman" w:hAnsi="Times New Roman" w:cs="Times New Roman"/>
          <w:lang w:val="es-MX"/>
        </w:rPr>
        <w:t>,</w:t>
      </w:r>
      <w:r w:rsidR="001E223C" w:rsidRPr="00AA6CBA">
        <w:rPr>
          <w:rFonts w:ascii="Times New Roman" w:hAnsi="Times New Roman" w:cs="Times New Roman"/>
          <w:lang w:val="es-MX"/>
        </w:rPr>
        <w:t xml:space="preserve"> como toxoplasmosis cerebral o des</w:t>
      </w:r>
      <w:r w:rsidRPr="00AA6CBA">
        <w:rPr>
          <w:rFonts w:ascii="Times New Roman" w:hAnsi="Times New Roman" w:cs="Times New Roman"/>
          <w:lang w:val="es-MX"/>
        </w:rPr>
        <w:t>ó</w:t>
      </w:r>
      <w:r w:rsidR="001E223C" w:rsidRPr="00AA6CBA">
        <w:rPr>
          <w:rFonts w:ascii="Times New Roman" w:hAnsi="Times New Roman" w:cs="Times New Roman"/>
          <w:lang w:val="es-MX"/>
        </w:rPr>
        <w:t>rdenes psiqui</w:t>
      </w:r>
      <w:r w:rsidRPr="00AA6CBA">
        <w:rPr>
          <w:rFonts w:ascii="Times New Roman" w:hAnsi="Times New Roman" w:cs="Times New Roman"/>
          <w:lang w:val="es-MX"/>
        </w:rPr>
        <w:t>á</w:t>
      </w:r>
      <w:r w:rsidR="001E223C" w:rsidRPr="00AA6CBA">
        <w:rPr>
          <w:rFonts w:ascii="Times New Roman" w:hAnsi="Times New Roman" w:cs="Times New Roman"/>
          <w:lang w:val="es-MX"/>
        </w:rPr>
        <w:t>tricos.</w:t>
      </w:r>
      <w:r w:rsidR="001E223C" w:rsidRPr="00BB58BB">
        <w:rPr>
          <w:rFonts w:ascii="Arial" w:hAnsi="Arial" w:cs="Arial"/>
          <w:vertAlign w:val="superscript"/>
          <w:lang w:val="es-MX"/>
        </w:rPr>
        <w:t>4</w:t>
      </w:r>
      <w:r w:rsidR="001E223C" w:rsidRPr="00BB58BB">
        <w:rPr>
          <w:rFonts w:ascii="Arial" w:hAnsi="Arial" w:cs="Arial"/>
          <w:lang w:val="es-MX"/>
        </w:rPr>
        <w:t xml:space="preserve"> </w:t>
      </w:r>
    </w:p>
    <w:p w:rsidR="00CC4818" w:rsidRDefault="00CC4818" w:rsidP="00A45AF4">
      <w:pPr>
        <w:spacing w:line="480" w:lineRule="auto"/>
        <w:jc w:val="both"/>
        <w:rPr>
          <w:rFonts w:ascii="Arial" w:hAnsi="Arial" w:cs="Arial"/>
          <w:lang w:val="es-MX"/>
        </w:rPr>
      </w:pPr>
    </w:p>
    <w:p w:rsidR="00CC4818" w:rsidRDefault="00CC4818">
      <w:pPr>
        <w:spacing w:after="200" w:line="276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br w:type="page"/>
      </w:r>
    </w:p>
    <w:p w:rsidR="001E223C" w:rsidRPr="00AA6CBA" w:rsidRDefault="001E223C" w:rsidP="00AA6CBA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AA6CBA">
        <w:rPr>
          <w:rFonts w:ascii="Times New Roman" w:hAnsi="Times New Roman" w:cs="Times New Roman"/>
          <w:lang w:val="es-MX"/>
        </w:rPr>
        <w:lastRenderedPageBreak/>
        <w:t xml:space="preserve">La toxoplasmosis latente se caracteriza por la presencia del quiste de </w:t>
      </w:r>
      <w:r w:rsidRPr="00AA6CBA">
        <w:rPr>
          <w:rFonts w:ascii="Times New Roman" w:hAnsi="Times New Roman" w:cs="Times New Roman"/>
          <w:i/>
          <w:lang w:val="es-MX"/>
        </w:rPr>
        <w:t>Toxoplasma</w:t>
      </w:r>
      <w:r w:rsidRPr="00AA6CBA">
        <w:rPr>
          <w:rFonts w:ascii="Times New Roman" w:hAnsi="Times New Roman" w:cs="Times New Roman"/>
          <w:lang w:val="es-MX"/>
        </w:rPr>
        <w:t xml:space="preserve"> </w:t>
      </w:r>
      <w:r w:rsidRPr="00AA6CBA">
        <w:rPr>
          <w:rFonts w:ascii="Times New Roman" w:hAnsi="Times New Roman" w:cs="Times New Roman"/>
          <w:i/>
          <w:lang w:val="es-MX"/>
        </w:rPr>
        <w:t xml:space="preserve">gondii </w:t>
      </w:r>
      <w:r w:rsidRPr="00AA6CBA">
        <w:rPr>
          <w:rFonts w:ascii="Times New Roman" w:hAnsi="Times New Roman" w:cs="Times New Roman"/>
          <w:lang w:val="es-MX"/>
        </w:rPr>
        <w:t>en diferentes tejidos del huésped,</w:t>
      </w:r>
      <w:r w:rsidR="00A530FC" w:rsidRPr="00AA6CBA">
        <w:rPr>
          <w:rFonts w:ascii="Times New Roman" w:hAnsi="Times New Roman" w:cs="Times New Roman"/>
          <w:lang w:val="es-MX"/>
        </w:rPr>
        <w:t xml:space="preserve"> incluyendo el sistema nervioso</w:t>
      </w:r>
      <w:r w:rsidR="00774B9B" w:rsidRPr="00AA6CBA">
        <w:rPr>
          <w:rFonts w:ascii="Times New Roman" w:hAnsi="Times New Roman" w:cs="Times New Roman"/>
          <w:lang w:val="es-MX"/>
        </w:rPr>
        <w:t xml:space="preserve"> y </w:t>
      </w:r>
      <w:r w:rsidRPr="00AA6CBA">
        <w:rPr>
          <w:rFonts w:ascii="Times New Roman" w:hAnsi="Times New Roman" w:cs="Times New Roman"/>
          <w:lang w:val="es-MX"/>
        </w:rPr>
        <w:t>la presencia de anticuerpos de Toxoplasma</w:t>
      </w:r>
      <w:r w:rsidR="00BA372F" w:rsidRPr="00AA6CBA">
        <w:rPr>
          <w:rFonts w:ascii="Times New Roman" w:hAnsi="Times New Roman" w:cs="Times New Roman"/>
          <w:lang w:val="es-MX"/>
        </w:rPr>
        <w:t xml:space="preserve"> IgG en el suero</w:t>
      </w:r>
      <w:r w:rsidR="00D121A6" w:rsidRPr="00AA6CBA">
        <w:rPr>
          <w:rFonts w:ascii="Times New Roman" w:hAnsi="Times New Roman" w:cs="Times New Roman"/>
          <w:lang w:val="es-MX"/>
        </w:rPr>
        <w:t>;</w:t>
      </w:r>
      <w:r w:rsidRPr="00AA6CBA">
        <w:rPr>
          <w:rFonts w:ascii="Times New Roman" w:hAnsi="Times New Roman" w:cs="Times New Roman"/>
          <w:lang w:val="es-MX"/>
        </w:rPr>
        <w:t xml:space="preserve"> </w:t>
      </w:r>
      <w:r w:rsidR="00774B9B" w:rsidRPr="00AA6CBA">
        <w:rPr>
          <w:rFonts w:ascii="Times New Roman" w:hAnsi="Times New Roman" w:cs="Times New Roman"/>
          <w:lang w:val="es-MX"/>
        </w:rPr>
        <w:t>en esta fase se cree</w:t>
      </w:r>
      <w:r w:rsidRPr="00AA6CBA">
        <w:rPr>
          <w:rFonts w:ascii="Times New Roman" w:hAnsi="Times New Roman" w:cs="Times New Roman"/>
          <w:lang w:val="es-MX"/>
        </w:rPr>
        <w:t xml:space="preserve"> que las personas se mantienen asintomá</w:t>
      </w:r>
      <w:r w:rsidR="00BA372F" w:rsidRPr="00AA6CBA">
        <w:rPr>
          <w:rFonts w:ascii="Times New Roman" w:hAnsi="Times New Roman" w:cs="Times New Roman"/>
          <w:lang w:val="es-MX"/>
        </w:rPr>
        <w:t>tica</w:t>
      </w:r>
      <w:r w:rsidRPr="00AA6CBA">
        <w:rPr>
          <w:rFonts w:ascii="Times New Roman" w:hAnsi="Times New Roman" w:cs="Times New Roman"/>
          <w:lang w:val="es-MX"/>
        </w:rPr>
        <w:t>s</w:t>
      </w:r>
      <w:r w:rsidR="00774B9B" w:rsidRPr="00AA6CBA">
        <w:rPr>
          <w:rFonts w:ascii="Times New Roman" w:hAnsi="Times New Roman" w:cs="Times New Roman"/>
          <w:lang w:val="es-MX"/>
        </w:rPr>
        <w:t xml:space="preserve"> o presentan malestar general de manera que no se sospecha de la infección</w:t>
      </w:r>
      <w:r w:rsidRPr="00AA6CBA">
        <w:rPr>
          <w:rFonts w:ascii="Times New Roman" w:hAnsi="Times New Roman" w:cs="Times New Roman"/>
          <w:lang w:val="es-MX"/>
        </w:rPr>
        <w:t>.</w:t>
      </w:r>
      <w:r w:rsidRPr="00AA6CBA">
        <w:rPr>
          <w:rFonts w:ascii="Times New Roman" w:hAnsi="Times New Roman" w:cs="Times New Roman"/>
          <w:vertAlign w:val="superscript"/>
          <w:lang w:val="es-MX"/>
        </w:rPr>
        <w:t>6</w:t>
      </w:r>
    </w:p>
    <w:p w:rsidR="001E223C" w:rsidRPr="00AA6CBA" w:rsidRDefault="001E223C" w:rsidP="00AA6CBA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AA6CBA">
        <w:rPr>
          <w:rFonts w:ascii="Times New Roman" w:hAnsi="Times New Roman" w:cs="Times New Roman"/>
          <w:lang w:val="es-MX"/>
        </w:rPr>
        <w:t xml:space="preserve"> </w:t>
      </w:r>
      <w:r w:rsidR="00BA372F" w:rsidRPr="00AA6CBA">
        <w:rPr>
          <w:rFonts w:ascii="Times New Roman" w:hAnsi="Times New Roman" w:cs="Times New Roman"/>
          <w:lang w:val="es-MX"/>
        </w:rPr>
        <w:t>Hoy</w:t>
      </w:r>
      <w:r w:rsidR="00BB58BB" w:rsidRPr="00AA6CBA">
        <w:rPr>
          <w:rFonts w:ascii="Times New Roman" w:hAnsi="Times New Roman" w:cs="Times New Roman"/>
          <w:lang w:val="es-MX"/>
        </w:rPr>
        <w:t xml:space="preserve"> en día existen</w:t>
      </w:r>
      <w:r w:rsidRPr="00AA6CBA">
        <w:rPr>
          <w:rFonts w:ascii="Times New Roman" w:hAnsi="Times New Roman" w:cs="Times New Roman"/>
          <w:lang w:val="es-MX"/>
        </w:rPr>
        <w:t xml:space="preserve"> estudios </w:t>
      </w:r>
      <w:r w:rsidR="00BB58BB" w:rsidRPr="00AA6CBA">
        <w:rPr>
          <w:rFonts w:ascii="Times New Roman" w:hAnsi="Times New Roman" w:cs="Times New Roman"/>
          <w:lang w:val="es-MX"/>
        </w:rPr>
        <w:t xml:space="preserve">que </w:t>
      </w:r>
      <w:r w:rsidRPr="00AA6CBA">
        <w:rPr>
          <w:rFonts w:ascii="Times New Roman" w:hAnsi="Times New Roman" w:cs="Times New Roman"/>
          <w:lang w:val="es-MX"/>
        </w:rPr>
        <w:t xml:space="preserve">relacionan la presencia de anticuerpos </w:t>
      </w:r>
      <w:r w:rsidR="00BB58BB" w:rsidRPr="00AA6CBA">
        <w:rPr>
          <w:rFonts w:ascii="Times New Roman" w:hAnsi="Times New Roman" w:cs="Times New Roman"/>
          <w:lang w:val="es-MX"/>
        </w:rPr>
        <w:t xml:space="preserve">de </w:t>
      </w:r>
      <w:r w:rsidR="00BB58BB" w:rsidRPr="00AA6CBA">
        <w:rPr>
          <w:rFonts w:ascii="Times New Roman" w:hAnsi="Times New Roman" w:cs="Times New Roman"/>
          <w:i/>
          <w:lang w:val="es-MX"/>
        </w:rPr>
        <w:t>Toxoplasma gondii</w:t>
      </w:r>
      <w:r w:rsidR="00BB58BB" w:rsidRPr="00AA6CBA">
        <w:rPr>
          <w:rFonts w:ascii="Times New Roman" w:hAnsi="Times New Roman" w:cs="Times New Roman"/>
          <w:lang w:val="es-MX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>con cambios en la person</w:t>
      </w:r>
      <w:r w:rsidR="00774B9B" w:rsidRPr="00AA6CBA">
        <w:rPr>
          <w:rFonts w:ascii="Times New Roman" w:hAnsi="Times New Roman" w:cs="Times New Roman"/>
          <w:lang w:val="es-MX"/>
        </w:rPr>
        <w:t>alidad y la conducta</w:t>
      </w:r>
      <w:r w:rsidRPr="00AA6CBA">
        <w:rPr>
          <w:rFonts w:ascii="Times New Roman" w:hAnsi="Times New Roman" w:cs="Times New Roman"/>
          <w:lang w:val="es-MX"/>
        </w:rPr>
        <w:t xml:space="preserve">, </w:t>
      </w:r>
      <w:r w:rsidR="001A7581" w:rsidRPr="00AA6CBA">
        <w:rPr>
          <w:rFonts w:ascii="Times New Roman" w:hAnsi="Times New Roman" w:cs="Times New Roman"/>
          <w:lang w:val="es-MX"/>
        </w:rPr>
        <w:t xml:space="preserve">como </w:t>
      </w:r>
      <w:r w:rsidR="00774B9B" w:rsidRPr="00AA6CBA">
        <w:rPr>
          <w:rFonts w:ascii="Times New Roman" w:hAnsi="Times New Roman" w:cs="Times New Roman"/>
          <w:lang w:val="es-MX"/>
        </w:rPr>
        <w:t xml:space="preserve">esquizofrenia, </w:t>
      </w:r>
      <w:r w:rsidRPr="00AA6CBA">
        <w:rPr>
          <w:rFonts w:ascii="Times New Roman" w:hAnsi="Times New Roman" w:cs="Times New Roman"/>
          <w:lang w:val="es-MX"/>
        </w:rPr>
        <w:t xml:space="preserve"> enfermedad de</w:t>
      </w:r>
      <w:r w:rsidR="00774B9B" w:rsidRPr="00AA6CBA">
        <w:rPr>
          <w:rFonts w:ascii="Times New Roman" w:hAnsi="Times New Roman" w:cs="Times New Roman"/>
          <w:lang w:val="es-MX"/>
        </w:rPr>
        <w:t xml:space="preserve"> Parkinson, riesgo </w:t>
      </w:r>
      <w:r w:rsidR="001A7581" w:rsidRPr="00AA6CBA">
        <w:rPr>
          <w:rFonts w:ascii="Times New Roman" w:hAnsi="Times New Roman" w:cs="Times New Roman"/>
          <w:lang w:val="es-MX"/>
        </w:rPr>
        <w:t>de</w:t>
      </w:r>
      <w:r w:rsidRPr="00AA6CBA">
        <w:rPr>
          <w:rFonts w:ascii="Times New Roman" w:hAnsi="Times New Roman" w:cs="Times New Roman"/>
          <w:lang w:val="es-MX"/>
        </w:rPr>
        <w:t xml:space="preserve"> suicidio, depresión y trastorno bipolar</w:t>
      </w:r>
      <w:r w:rsidR="001A7581" w:rsidRPr="00AA6CBA">
        <w:rPr>
          <w:rFonts w:ascii="Times New Roman" w:hAnsi="Times New Roman" w:cs="Times New Roman"/>
          <w:lang w:val="es-MX"/>
        </w:rPr>
        <w:t>. Esto</w:t>
      </w:r>
      <w:r w:rsidR="00A530FC" w:rsidRPr="00AA6CBA">
        <w:rPr>
          <w:rFonts w:ascii="Times New Roman" w:hAnsi="Times New Roman" w:cs="Times New Roman"/>
          <w:lang w:val="es-MX"/>
        </w:rPr>
        <w:t xml:space="preserve"> se </w:t>
      </w:r>
      <w:r w:rsidR="001A7581" w:rsidRPr="00AA6CBA">
        <w:rPr>
          <w:rFonts w:ascii="Times New Roman" w:hAnsi="Times New Roman" w:cs="Times New Roman"/>
          <w:lang w:val="es-MX"/>
        </w:rPr>
        <w:t>sabe</w:t>
      </w:r>
      <w:r w:rsidR="00A530FC" w:rsidRPr="00AA6CBA">
        <w:rPr>
          <w:rFonts w:ascii="Times New Roman" w:hAnsi="Times New Roman" w:cs="Times New Roman"/>
          <w:lang w:val="es-MX"/>
        </w:rPr>
        <w:t xml:space="preserve"> </w:t>
      </w:r>
      <w:r w:rsidR="00774B9B" w:rsidRPr="00AA6CBA">
        <w:rPr>
          <w:rFonts w:ascii="Times New Roman" w:hAnsi="Times New Roman" w:cs="Times New Roman"/>
          <w:lang w:val="es-MX"/>
        </w:rPr>
        <w:t>debido a</w:t>
      </w:r>
      <w:r w:rsidR="00A530FC" w:rsidRPr="00AA6CBA">
        <w:rPr>
          <w:rFonts w:ascii="Times New Roman" w:hAnsi="Times New Roman" w:cs="Times New Roman"/>
          <w:lang w:val="es-MX"/>
        </w:rPr>
        <w:t xml:space="preserve"> la</w:t>
      </w:r>
      <w:r w:rsidR="00774B9B" w:rsidRPr="00AA6CBA">
        <w:rPr>
          <w:rFonts w:ascii="Times New Roman" w:hAnsi="Times New Roman" w:cs="Times New Roman"/>
          <w:lang w:val="es-MX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>toxoplasmosis detectada por estudios serológicos</w:t>
      </w:r>
      <w:r w:rsidR="00BA372F" w:rsidRPr="00AA6CBA">
        <w:rPr>
          <w:rFonts w:ascii="Times New Roman" w:hAnsi="Times New Roman" w:cs="Times New Roman"/>
          <w:lang w:val="es-MX"/>
        </w:rPr>
        <w:t>.</w:t>
      </w:r>
      <w:r w:rsidR="00BA372F" w:rsidRPr="00AA6CBA">
        <w:rPr>
          <w:rFonts w:ascii="Times New Roman" w:hAnsi="Times New Roman" w:cs="Times New Roman"/>
          <w:vertAlign w:val="superscript"/>
          <w:lang w:val="es-MX"/>
        </w:rPr>
        <w:t xml:space="preserve"> 7</w:t>
      </w:r>
      <w:r w:rsidR="001A7581" w:rsidRPr="00AA6CBA">
        <w:rPr>
          <w:rFonts w:ascii="Times New Roman" w:hAnsi="Times New Roman" w:cs="Times New Roman"/>
          <w:vertAlign w:val="superscript"/>
          <w:lang w:val="es-MX"/>
        </w:rPr>
        <w:t xml:space="preserve">, </w:t>
      </w:r>
      <w:r w:rsidRPr="00AA6CBA">
        <w:rPr>
          <w:rFonts w:ascii="Times New Roman" w:hAnsi="Times New Roman" w:cs="Times New Roman"/>
          <w:vertAlign w:val="superscript"/>
          <w:lang w:val="es-MX"/>
        </w:rPr>
        <w:t>8</w:t>
      </w:r>
    </w:p>
    <w:p w:rsidR="00BA372F" w:rsidRPr="00AA6CBA" w:rsidRDefault="001E223C" w:rsidP="00AA6CBA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AA6CBA">
        <w:rPr>
          <w:rFonts w:ascii="Times New Roman" w:hAnsi="Times New Roman" w:cs="Times New Roman"/>
          <w:lang w:val="es-MX"/>
        </w:rPr>
        <w:t>La seroprevalencia de toxoplasmosis se ha e</w:t>
      </w:r>
      <w:r w:rsidR="00BB58BB" w:rsidRPr="00AA6CBA">
        <w:rPr>
          <w:rFonts w:ascii="Times New Roman" w:hAnsi="Times New Roman" w:cs="Times New Roman"/>
          <w:lang w:val="es-MX"/>
        </w:rPr>
        <w:t>ncontrado</w:t>
      </w:r>
      <w:r w:rsidR="00BA372F" w:rsidRPr="00AA6CBA">
        <w:rPr>
          <w:rFonts w:ascii="Times New Roman" w:hAnsi="Times New Roman" w:cs="Times New Roman"/>
          <w:lang w:val="es-MX"/>
        </w:rPr>
        <w:t xml:space="preserve"> también</w:t>
      </w:r>
      <w:r w:rsidR="00BB58BB" w:rsidRPr="00AA6CBA">
        <w:rPr>
          <w:rFonts w:ascii="Times New Roman" w:hAnsi="Times New Roman" w:cs="Times New Roman"/>
          <w:lang w:val="es-MX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 xml:space="preserve">en personas que padecen retraso ​​mental en </w:t>
      </w:r>
      <w:r w:rsidR="00E9424F" w:rsidRPr="00AA6CBA">
        <w:rPr>
          <w:rFonts w:ascii="Times New Roman" w:hAnsi="Times New Roman" w:cs="Times New Roman"/>
          <w:lang w:val="es-MX"/>
        </w:rPr>
        <w:t>30.</w:t>
      </w:r>
      <w:r w:rsidRPr="00AA6CBA">
        <w:rPr>
          <w:rFonts w:ascii="Times New Roman" w:hAnsi="Times New Roman" w:cs="Times New Roman"/>
          <w:lang w:val="es-MX"/>
        </w:rPr>
        <w:t>4</w:t>
      </w:r>
      <w:r w:rsidR="001A7581" w:rsidRPr="00AA6CBA">
        <w:rPr>
          <w:rFonts w:ascii="Times New Roman" w:hAnsi="Times New Roman" w:cs="Times New Roman"/>
          <w:lang w:val="es-MX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>%,</w:t>
      </w:r>
      <w:r w:rsidR="00BB58BB" w:rsidRPr="00AA6CBA">
        <w:rPr>
          <w:rFonts w:ascii="Times New Roman" w:hAnsi="Times New Roman" w:cs="Times New Roman"/>
          <w:lang w:val="es-MX"/>
        </w:rPr>
        <w:t xml:space="preserve"> </w:t>
      </w:r>
      <w:r w:rsidR="00D121A6" w:rsidRPr="00AA6CBA">
        <w:rPr>
          <w:rFonts w:ascii="Times New Roman" w:hAnsi="Times New Roman" w:cs="Times New Roman"/>
          <w:lang w:val="es-MX"/>
        </w:rPr>
        <w:t xml:space="preserve">así como </w:t>
      </w:r>
      <w:r w:rsidR="001A7581" w:rsidRPr="00AA6CBA">
        <w:rPr>
          <w:rFonts w:ascii="Times New Roman" w:hAnsi="Times New Roman" w:cs="Times New Roman"/>
          <w:lang w:val="es-MX"/>
        </w:rPr>
        <w:t>en</w:t>
      </w:r>
      <w:r w:rsidRPr="00AA6CBA">
        <w:rPr>
          <w:rFonts w:ascii="Times New Roman" w:hAnsi="Times New Roman" w:cs="Times New Roman"/>
          <w:lang w:val="es-MX"/>
        </w:rPr>
        <w:t xml:space="preserve"> niños con síntomas obs</w:t>
      </w:r>
      <w:r w:rsidR="00BB58BB" w:rsidRPr="00AA6CBA">
        <w:rPr>
          <w:rFonts w:ascii="Times New Roman" w:hAnsi="Times New Roman" w:cs="Times New Roman"/>
          <w:lang w:val="es-MX"/>
        </w:rPr>
        <w:t>esivo-compulsivos</w:t>
      </w:r>
      <w:r w:rsidR="001A7581" w:rsidRPr="00AA6CBA">
        <w:rPr>
          <w:rFonts w:ascii="Times New Roman" w:hAnsi="Times New Roman" w:cs="Times New Roman"/>
          <w:lang w:val="es-MX"/>
        </w:rPr>
        <w:t xml:space="preserve">, </w:t>
      </w:r>
      <w:r w:rsidR="00BB58BB" w:rsidRPr="00AA6CBA">
        <w:rPr>
          <w:rFonts w:ascii="Times New Roman" w:hAnsi="Times New Roman" w:cs="Times New Roman"/>
          <w:lang w:val="es-MX"/>
        </w:rPr>
        <w:t>donde</w:t>
      </w:r>
      <w:r w:rsidRPr="00AA6CBA">
        <w:rPr>
          <w:rFonts w:ascii="Times New Roman" w:hAnsi="Times New Roman" w:cs="Times New Roman"/>
          <w:lang w:val="es-MX"/>
        </w:rPr>
        <w:t xml:space="preserve"> los anticuerpos IgM e IgG </w:t>
      </w:r>
      <w:r w:rsidR="00D121A6" w:rsidRPr="00AA6CBA">
        <w:rPr>
          <w:rFonts w:ascii="Times New Roman" w:hAnsi="Times New Roman" w:cs="Times New Roman"/>
          <w:lang w:val="es-MX"/>
        </w:rPr>
        <w:t>dieron</w:t>
      </w:r>
      <w:r w:rsidRPr="00AA6CBA">
        <w:rPr>
          <w:rFonts w:ascii="Times New Roman" w:hAnsi="Times New Roman" w:cs="Times New Roman"/>
          <w:lang w:val="es-MX"/>
        </w:rPr>
        <w:t xml:space="preserve"> positivo por pruebas de inmunofluorescencia.</w:t>
      </w:r>
      <w:r w:rsidR="00BA372F" w:rsidRPr="00AA6CBA">
        <w:rPr>
          <w:rFonts w:ascii="Times New Roman" w:hAnsi="Times New Roman" w:cs="Times New Roman"/>
          <w:vertAlign w:val="superscript"/>
          <w:lang w:val="es-MX"/>
        </w:rPr>
        <w:t xml:space="preserve"> 9,</w:t>
      </w:r>
      <w:r w:rsidRPr="00AA6CBA">
        <w:rPr>
          <w:rFonts w:ascii="Times New Roman" w:hAnsi="Times New Roman" w:cs="Times New Roman"/>
          <w:vertAlign w:val="superscript"/>
          <w:lang w:val="es-MX"/>
        </w:rPr>
        <w:t>10</w:t>
      </w:r>
      <w:r w:rsidRPr="00AA6CBA">
        <w:rPr>
          <w:rFonts w:ascii="Times New Roman" w:hAnsi="Times New Roman" w:cs="Times New Roman"/>
          <w:lang w:val="es-MX"/>
        </w:rPr>
        <w:t xml:space="preserve"> </w:t>
      </w:r>
      <w:r w:rsidR="00BA372F" w:rsidRPr="00AA6CBA">
        <w:rPr>
          <w:rFonts w:ascii="Times New Roman" w:hAnsi="Times New Roman" w:cs="Times New Roman"/>
          <w:lang w:val="es-MX"/>
        </w:rPr>
        <w:t>Para tratar de comprender cómo la infección parasitaria de toxoplasma puede llegar</w:t>
      </w:r>
      <w:r w:rsidR="00E9424F" w:rsidRPr="00AA6CBA">
        <w:rPr>
          <w:rFonts w:ascii="Times New Roman" w:hAnsi="Times New Roman" w:cs="Times New Roman"/>
          <w:lang w:val="es-MX"/>
        </w:rPr>
        <w:t xml:space="preserve"> a los tejidos, se han</w:t>
      </w:r>
      <w:r w:rsidR="00BA372F" w:rsidRPr="00AA6CBA">
        <w:rPr>
          <w:rFonts w:ascii="Times New Roman" w:hAnsi="Times New Roman" w:cs="Times New Roman"/>
          <w:lang w:val="es-MX"/>
        </w:rPr>
        <w:t xml:space="preserve"> </w:t>
      </w:r>
      <w:r w:rsidR="00E9424F" w:rsidRPr="00AA6CBA">
        <w:rPr>
          <w:rFonts w:ascii="Times New Roman" w:hAnsi="Times New Roman" w:cs="Times New Roman"/>
          <w:lang w:val="es-MX"/>
        </w:rPr>
        <w:t xml:space="preserve">realizado estudios para su detección </w:t>
      </w:r>
      <w:r w:rsidR="00D121A6" w:rsidRPr="00AA6CBA">
        <w:rPr>
          <w:rFonts w:ascii="Times New Roman" w:hAnsi="Times New Roman" w:cs="Times New Roman"/>
          <w:lang w:val="es-MX"/>
        </w:rPr>
        <w:t>incluso</w:t>
      </w:r>
      <w:r w:rsidR="00BA372F" w:rsidRPr="00AA6CBA">
        <w:rPr>
          <w:rFonts w:ascii="Times New Roman" w:hAnsi="Times New Roman" w:cs="Times New Roman"/>
          <w:lang w:val="es-MX"/>
        </w:rPr>
        <w:t xml:space="preserve"> e</w:t>
      </w:r>
      <w:r w:rsidR="00E9424F" w:rsidRPr="00AA6CBA">
        <w:rPr>
          <w:rFonts w:ascii="Times New Roman" w:hAnsi="Times New Roman" w:cs="Times New Roman"/>
          <w:lang w:val="es-MX"/>
        </w:rPr>
        <w:t>n</w:t>
      </w:r>
      <w:r w:rsidR="00BA372F" w:rsidRPr="00AA6CBA">
        <w:rPr>
          <w:rFonts w:ascii="Times New Roman" w:hAnsi="Times New Roman" w:cs="Times New Roman"/>
          <w:lang w:val="es-MX"/>
        </w:rPr>
        <w:t xml:space="preserve"> </w:t>
      </w:r>
      <w:r w:rsidR="00D121A6" w:rsidRPr="00AA6CBA">
        <w:rPr>
          <w:rFonts w:ascii="Times New Roman" w:hAnsi="Times New Roman" w:cs="Times New Roman"/>
          <w:lang w:val="es-MX"/>
        </w:rPr>
        <w:t xml:space="preserve">la </w:t>
      </w:r>
      <w:r w:rsidR="00BA372F" w:rsidRPr="00AA6CBA">
        <w:rPr>
          <w:rFonts w:ascii="Times New Roman" w:hAnsi="Times New Roman" w:cs="Times New Roman"/>
          <w:lang w:val="es-MX"/>
        </w:rPr>
        <w:t>leche matern</w:t>
      </w:r>
      <w:r w:rsidR="00E9424F" w:rsidRPr="00AA6CBA">
        <w:rPr>
          <w:rFonts w:ascii="Times New Roman" w:hAnsi="Times New Roman" w:cs="Times New Roman"/>
          <w:lang w:val="es-MX"/>
        </w:rPr>
        <w:t>a humana</w:t>
      </w:r>
      <w:r w:rsidR="001A7581" w:rsidRPr="00AA6CBA">
        <w:rPr>
          <w:rFonts w:ascii="Times New Roman" w:hAnsi="Times New Roman" w:cs="Times New Roman"/>
          <w:lang w:val="es-MX"/>
        </w:rPr>
        <w:t>,</w:t>
      </w:r>
      <w:r w:rsidR="00E9424F" w:rsidRPr="00AA6CBA">
        <w:rPr>
          <w:rFonts w:ascii="Times New Roman" w:hAnsi="Times New Roman" w:cs="Times New Roman"/>
          <w:lang w:val="es-MX"/>
        </w:rPr>
        <w:t xml:space="preserve"> encontr</w:t>
      </w:r>
      <w:r w:rsidR="001A7581" w:rsidRPr="00AA6CBA">
        <w:rPr>
          <w:rFonts w:ascii="Times New Roman" w:hAnsi="Times New Roman" w:cs="Times New Roman"/>
          <w:lang w:val="es-MX"/>
        </w:rPr>
        <w:t>ándose</w:t>
      </w:r>
      <w:r w:rsidR="00E9424F" w:rsidRPr="00AA6CBA">
        <w:rPr>
          <w:rFonts w:ascii="Times New Roman" w:hAnsi="Times New Roman" w:cs="Times New Roman"/>
          <w:lang w:val="es-MX"/>
        </w:rPr>
        <w:t xml:space="preserve"> positividad a los</w:t>
      </w:r>
      <w:r w:rsidR="00BA372F" w:rsidRPr="00AA6CBA">
        <w:rPr>
          <w:rFonts w:ascii="Times New Roman" w:hAnsi="Times New Roman" w:cs="Times New Roman"/>
          <w:lang w:val="es-MX"/>
        </w:rPr>
        <w:t xml:space="preserve"> anticuerpos de Toxoplasma a IgG, IgM e IgA.</w:t>
      </w:r>
      <w:r w:rsidR="00BA372F" w:rsidRPr="00AA6CBA">
        <w:rPr>
          <w:rFonts w:ascii="Times New Roman" w:hAnsi="Times New Roman" w:cs="Times New Roman"/>
          <w:vertAlign w:val="superscript"/>
          <w:lang w:val="es-MX"/>
        </w:rPr>
        <w:t>1</w:t>
      </w:r>
      <w:r w:rsidR="008728BC" w:rsidRPr="00AA6CBA">
        <w:rPr>
          <w:rFonts w:ascii="Times New Roman" w:hAnsi="Times New Roman" w:cs="Times New Roman"/>
          <w:vertAlign w:val="superscript"/>
          <w:lang w:val="es-MX"/>
        </w:rPr>
        <w:t>4</w:t>
      </w:r>
    </w:p>
    <w:p w:rsidR="001E223C" w:rsidRPr="00AA6CBA" w:rsidRDefault="00E9424F" w:rsidP="00AA6CBA">
      <w:pPr>
        <w:spacing w:after="200" w:line="360" w:lineRule="auto"/>
        <w:jc w:val="both"/>
        <w:rPr>
          <w:rFonts w:ascii="Times New Roman" w:hAnsi="Times New Roman" w:cs="Times New Roman"/>
          <w:lang w:val="es-MX"/>
        </w:rPr>
      </w:pPr>
      <w:r w:rsidRPr="00AA6CBA">
        <w:rPr>
          <w:rFonts w:ascii="Times New Roman" w:hAnsi="Times New Roman" w:cs="Times New Roman"/>
          <w:lang w:val="es-MX"/>
        </w:rPr>
        <w:t>En España</w:t>
      </w:r>
      <w:r w:rsidR="00D121A6" w:rsidRPr="00AA6CBA">
        <w:rPr>
          <w:rFonts w:ascii="Times New Roman" w:hAnsi="Times New Roman" w:cs="Times New Roman"/>
          <w:lang w:val="es-MX"/>
        </w:rPr>
        <w:t>,</w:t>
      </w:r>
      <w:r w:rsidRPr="00AA6CBA">
        <w:rPr>
          <w:rFonts w:ascii="Times New Roman" w:hAnsi="Times New Roman" w:cs="Times New Roman"/>
          <w:lang w:val="es-MX"/>
        </w:rPr>
        <w:t xml:space="preserve"> </w:t>
      </w:r>
      <w:r w:rsidR="001E223C" w:rsidRPr="00AA6CBA">
        <w:rPr>
          <w:rFonts w:ascii="Times New Roman" w:hAnsi="Times New Roman" w:cs="Times New Roman"/>
          <w:lang w:val="es-MX"/>
        </w:rPr>
        <w:t>un grupo d</w:t>
      </w:r>
      <w:r w:rsidR="00A530FC" w:rsidRPr="00AA6CBA">
        <w:rPr>
          <w:rFonts w:ascii="Times New Roman" w:hAnsi="Times New Roman" w:cs="Times New Roman"/>
          <w:lang w:val="es-MX"/>
        </w:rPr>
        <w:t>e mujeres embarazadas migrantes</w:t>
      </w:r>
      <w:r w:rsidRPr="00AA6CBA">
        <w:rPr>
          <w:rFonts w:ascii="Times New Roman" w:hAnsi="Times New Roman" w:cs="Times New Roman"/>
          <w:lang w:val="es-MX"/>
        </w:rPr>
        <w:t xml:space="preserve"> dieron</w:t>
      </w:r>
      <w:r w:rsidR="001E223C" w:rsidRPr="00AA6CBA">
        <w:rPr>
          <w:rFonts w:ascii="Times New Roman" w:hAnsi="Times New Roman" w:cs="Times New Roman"/>
          <w:lang w:val="es-MX"/>
        </w:rPr>
        <w:t xml:space="preserve"> </w:t>
      </w:r>
      <w:r w:rsidR="00BB58BB" w:rsidRPr="00AA6CBA">
        <w:rPr>
          <w:rFonts w:ascii="Times New Roman" w:hAnsi="Times New Roman" w:cs="Times New Roman"/>
          <w:lang w:val="es-MX"/>
        </w:rPr>
        <w:t xml:space="preserve">positivas a anticuerpos </w:t>
      </w:r>
      <w:r w:rsidRPr="00AA6CBA">
        <w:rPr>
          <w:rFonts w:ascii="Times New Roman" w:hAnsi="Times New Roman" w:cs="Times New Roman"/>
          <w:lang w:val="es-MX"/>
        </w:rPr>
        <w:t>IgG con 41.</w:t>
      </w:r>
      <w:r w:rsidR="001E223C" w:rsidRPr="00AA6CBA">
        <w:rPr>
          <w:rFonts w:ascii="Times New Roman" w:hAnsi="Times New Roman" w:cs="Times New Roman"/>
          <w:lang w:val="es-MX"/>
        </w:rPr>
        <w:t>4</w:t>
      </w:r>
      <w:r w:rsidR="001A7581" w:rsidRPr="00AA6CBA">
        <w:rPr>
          <w:rFonts w:ascii="Times New Roman" w:hAnsi="Times New Roman" w:cs="Times New Roman"/>
          <w:lang w:val="es-MX"/>
        </w:rPr>
        <w:t xml:space="preserve"> </w:t>
      </w:r>
      <w:r w:rsidR="001E223C" w:rsidRPr="00AA6CBA">
        <w:rPr>
          <w:rFonts w:ascii="Times New Roman" w:hAnsi="Times New Roman" w:cs="Times New Roman"/>
          <w:lang w:val="es-MX"/>
        </w:rPr>
        <w:t>% de seroprev</w:t>
      </w:r>
      <w:r w:rsidRPr="00AA6CBA">
        <w:rPr>
          <w:rFonts w:ascii="Times New Roman" w:hAnsi="Times New Roman" w:cs="Times New Roman"/>
          <w:lang w:val="es-MX"/>
        </w:rPr>
        <w:t>alencia</w:t>
      </w:r>
      <w:r w:rsidR="001A7581" w:rsidRPr="00AA6CBA">
        <w:rPr>
          <w:rFonts w:ascii="Times New Roman" w:hAnsi="Times New Roman" w:cs="Times New Roman"/>
          <w:lang w:val="es-MX"/>
        </w:rPr>
        <w:t>:</w:t>
      </w:r>
      <w:r w:rsidR="001E223C" w:rsidRPr="00AA6CBA">
        <w:rPr>
          <w:rFonts w:ascii="Times New Roman" w:hAnsi="Times New Roman" w:cs="Times New Roman"/>
          <w:lang w:val="es-MX"/>
        </w:rPr>
        <w:t xml:space="preserve"> par</w:t>
      </w:r>
      <w:r w:rsidRPr="00AA6CBA">
        <w:rPr>
          <w:rFonts w:ascii="Times New Roman" w:hAnsi="Times New Roman" w:cs="Times New Roman"/>
          <w:lang w:val="es-MX"/>
        </w:rPr>
        <w:t>a América Latina y el Caribe 34.6</w:t>
      </w:r>
      <w:r w:rsidR="001A7581" w:rsidRPr="00AA6CBA">
        <w:rPr>
          <w:rFonts w:ascii="Times New Roman" w:hAnsi="Times New Roman" w:cs="Times New Roman"/>
          <w:lang w:val="es-MX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>%, Norte de África 33.8</w:t>
      </w:r>
      <w:r w:rsidR="001A7581" w:rsidRPr="00AA6CBA">
        <w:rPr>
          <w:rFonts w:ascii="Times New Roman" w:hAnsi="Times New Roman" w:cs="Times New Roman"/>
          <w:lang w:val="es-MX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>%, Europa del Este 15.</w:t>
      </w:r>
      <w:r w:rsidR="001E223C" w:rsidRPr="00AA6CBA">
        <w:rPr>
          <w:rFonts w:ascii="Times New Roman" w:hAnsi="Times New Roman" w:cs="Times New Roman"/>
          <w:lang w:val="es-MX"/>
        </w:rPr>
        <w:t>7</w:t>
      </w:r>
      <w:r w:rsidR="001A7581" w:rsidRPr="00AA6CBA">
        <w:rPr>
          <w:rFonts w:ascii="Times New Roman" w:hAnsi="Times New Roman" w:cs="Times New Roman"/>
          <w:lang w:val="es-MX"/>
        </w:rPr>
        <w:t xml:space="preserve"> </w:t>
      </w:r>
      <w:r w:rsidR="001E223C" w:rsidRPr="00AA6CBA">
        <w:rPr>
          <w:rFonts w:ascii="Times New Roman" w:hAnsi="Times New Roman" w:cs="Times New Roman"/>
          <w:lang w:val="es-MX"/>
        </w:rPr>
        <w:t xml:space="preserve">%, Asia </w:t>
      </w:r>
      <w:r w:rsidRPr="00AA6CBA">
        <w:rPr>
          <w:rFonts w:ascii="Times New Roman" w:hAnsi="Times New Roman" w:cs="Times New Roman"/>
          <w:lang w:val="es-MX"/>
        </w:rPr>
        <w:t>4.7</w:t>
      </w:r>
      <w:r w:rsidR="001A7581" w:rsidRPr="00AA6CBA">
        <w:rPr>
          <w:rFonts w:ascii="Times New Roman" w:hAnsi="Times New Roman" w:cs="Times New Roman"/>
          <w:lang w:val="es-MX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>% y Europa</w:t>
      </w:r>
      <w:r w:rsidR="001A7581" w:rsidRPr="00AA6CBA">
        <w:rPr>
          <w:rFonts w:ascii="Times New Roman" w:hAnsi="Times New Roman" w:cs="Times New Roman"/>
          <w:lang w:val="es-MX"/>
        </w:rPr>
        <w:t xml:space="preserve"> Occidental</w:t>
      </w:r>
      <w:r w:rsidRPr="00AA6CBA">
        <w:rPr>
          <w:rFonts w:ascii="Times New Roman" w:hAnsi="Times New Roman" w:cs="Times New Roman"/>
          <w:lang w:val="es-MX"/>
        </w:rPr>
        <w:t xml:space="preserve"> 3.0</w:t>
      </w:r>
      <w:r w:rsidR="001A7581" w:rsidRPr="00AA6CBA">
        <w:rPr>
          <w:rFonts w:ascii="Times New Roman" w:hAnsi="Times New Roman" w:cs="Times New Roman"/>
          <w:lang w:val="es-MX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>%</w:t>
      </w:r>
      <w:r w:rsidR="001A7581" w:rsidRPr="00AA6CBA">
        <w:rPr>
          <w:rFonts w:ascii="Times New Roman" w:hAnsi="Times New Roman" w:cs="Times New Roman"/>
          <w:lang w:val="es-MX"/>
        </w:rPr>
        <w:t>. E</w:t>
      </w:r>
      <w:r w:rsidR="001E223C" w:rsidRPr="00AA6CBA">
        <w:rPr>
          <w:rFonts w:ascii="Times New Roman" w:hAnsi="Times New Roman" w:cs="Times New Roman"/>
          <w:lang w:val="es-MX"/>
        </w:rPr>
        <w:t>l estudio sugiere que estas mujeres adquirieron la infección en su</w:t>
      </w:r>
      <w:r w:rsidR="001A7581" w:rsidRPr="00AA6CBA">
        <w:rPr>
          <w:rFonts w:ascii="Times New Roman" w:hAnsi="Times New Roman" w:cs="Times New Roman"/>
          <w:lang w:val="es-MX"/>
        </w:rPr>
        <w:t>s</w:t>
      </w:r>
      <w:r w:rsidR="001E223C" w:rsidRPr="00AA6CBA">
        <w:rPr>
          <w:rFonts w:ascii="Times New Roman" w:hAnsi="Times New Roman" w:cs="Times New Roman"/>
          <w:lang w:val="es-MX"/>
        </w:rPr>
        <w:t xml:space="preserve"> países.</w:t>
      </w:r>
      <w:r w:rsidR="001E223C" w:rsidRPr="00AA6CBA">
        <w:rPr>
          <w:rFonts w:ascii="Times New Roman" w:hAnsi="Times New Roman" w:cs="Times New Roman"/>
          <w:vertAlign w:val="superscript"/>
          <w:lang w:val="es-MX"/>
        </w:rPr>
        <w:t>11</w:t>
      </w:r>
    </w:p>
    <w:p w:rsidR="001E223C" w:rsidRPr="00AA6CBA" w:rsidRDefault="001E223C" w:rsidP="00AA6CBA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AA6CBA">
        <w:rPr>
          <w:rFonts w:ascii="Times New Roman" w:hAnsi="Times New Roman" w:cs="Times New Roman"/>
          <w:lang w:val="es-MX"/>
        </w:rPr>
        <w:t>La infección de toxoplasmos</w:t>
      </w:r>
      <w:r w:rsidR="00E9424F" w:rsidRPr="00AA6CBA">
        <w:rPr>
          <w:rFonts w:ascii="Times New Roman" w:hAnsi="Times New Roman" w:cs="Times New Roman"/>
          <w:lang w:val="es-MX"/>
        </w:rPr>
        <w:t>is se ha relacionado incluso con el</w:t>
      </w:r>
      <w:r w:rsidRPr="00AA6CBA">
        <w:rPr>
          <w:rFonts w:ascii="Times New Roman" w:hAnsi="Times New Roman" w:cs="Times New Roman"/>
          <w:lang w:val="es-MX"/>
        </w:rPr>
        <w:t xml:space="preserve"> género</w:t>
      </w:r>
      <w:r w:rsidR="00E9424F" w:rsidRPr="00AA6CBA">
        <w:rPr>
          <w:rFonts w:ascii="Times New Roman" w:hAnsi="Times New Roman" w:cs="Times New Roman"/>
          <w:lang w:val="es-MX"/>
        </w:rPr>
        <w:t xml:space="preserve"> humano</w:t>
      </w:r>
      <w:r w:rsidRPr="00AA6CBA">
        <w:rPr>
          <w:rFonts w:ascii="Times New Roman" w:hAnsi="Times New Roman" w:cs="Times New Roman"/>
          <w:lang w:val="es-MX"/>
        </w:rPr>
        <w:t xml:space="preserve"> en China</w:t>
      </w:r>
      <w:r w:rsidR="001A7581" w:rsidRPr="00AA6CBA">
        <w:rPr>
          <w:rFonts w:ascii="Times New Roman" w:hAnsi="Times New Roman" w:cs="Times New Roman"/>
          <w:lang w:val="es-MX"/>
        </w:rPr>
        <w:t xml:space="preserve">, donde </w:t>
      </w:r>
      <w:r w:rsidRPr="00AA6CBA">
        <w:rPr>
          <w:rFonts w:ascii="Times New Roman" w:hAnsi="Times New Roman" w:cs="Times New Roman"/>
          <w:lang w:val="es-MX"/>
        </w:rPr>
        <w:t>se</w:t>
      </w:r>
      <w:r w:rsidR="00BA372F" w:rsidRPr="00AA6CBA">
        <w:rPr>
          <w:rFonts w:ascii="Times New Roman" w:hAnsi="Times New Roman" w:cs="Times New Roman"/>
          <w:lang w:val="es-MX"/>
        </w:rPr>
        <w:t xml:space="preserve"> encontró </w:t>
      </w:r>
      <w:r w:rsidRPr="00AA6CBA">
        <w:rPr>
          <w:rFonts w:ascii="Times New Roman" w:hAnsi="Times New Roman" w:cs="Times New Roman"/>
          <w:lang w:val="es-MX"/>
        </w:rPr>
        <w:t xml:space="preserve">una </w:t>
      </w:r>
      <w:r w:rsidR="00E9424F" w:rsidRPr="00AA6CBA">
        <w:rPr>
          <w:rFonts w:ascii="Times New Roman" w:hAnsi="Times New Roman" w:cs="Times New Roman"/>
          <w:lang w:val="es-MX"/>
        </w:rPr>
        <w:t>prevalencia de 10.</w:t>
      </w:r>
      <w:r w:rsidR="00BA372F" w:rsidRPr="00AA6CBA">
        <w:rPr>
          <w:rFonts w:ascii="Times New Roman" w:hAnsi="Times New Roman" w:cs="Times New Roman"/>
          <w:lang w:val="es-MX"/>
        </w:rPr>
        <w:t>5</w:t>
      </w:r>
      <w:r w:rsidR="001A7581" w:rsidRPr="00AA6CBA">
        <w:rPr>
          <w:rFonts w:ascii="Times New Roman" w:hAnsi="Times New Roman" w:cs="Times New Roman"/>
          <w:lang w:val="es-MX"/>
        </w:rPr>
        <w:t xml:space="preserve"> </w:t>
      </w:r>
      <w:r w:rsidR="00BA372F" w:rsidRPr="00AA6CBA">
        <w:rPr>
          <w:rFonts w:ascii="Times New Roman" w:hAnsi="Times New Roman" w:cs="Times New Roman"/>
          <w:lang w:val="es-MX"/>
        </w:rPr>
        <w:t>% en</w:t>
      </w:r>
      <w:r w:rsidRPr="00AA6CBA">
        <w:rPr>
          <w:rFonts w:ascii="Times New Roman" w:hAnsi="Times New Roman" w:cs="Times New Roman"/>
          <w:lang w:val="es-MX"/>
        </w:rPr>
        <w:t xml:space="preserve"> hombr</w:t>
      </w:r>
      <w:r w:rsidR="00E9424F" w:rsidRPr="00AA6CBA">
        <w:rPr>
          <w:rFonts w:ascii="Times New Roman" w:hAnsi="Times New Roman" w:cs="Times New Roman"/>
          <w:lang w:val="es-MX"/>
        </w:rPr>
        <w:t>es y 14.</w:t>
      </w:r>
      <w:r w:rsidR="00BA372F" w:rsidRPr="00AA6CBA">
        <w:rPr>
          <w:rFonts w:ascii="Times New Roman" w:hAnsi="Times New Roman" w:cs="Times New Roman"/>
          <w:lang w:val="es-MX"/>
        </w:rPr>
        <w:t>3</w:t>
      </w:r>
      <w:r w:rsidR="001A7581" w:rsidRPr="00AA6CBA">
        <w:rPr>
          <w:rFonts w:ascii="Times New Roman" w:hAnsi="Times New Roman" w:cs="Times New Roman"/>
          <w:lang w:val="es-MX"/>
        </w:rPr>
        <w:t xml:space="preserve"> </w:t>
      </w:r>
      <w:r w:rsidR="00BA372F" w:rsidRPr="00AA6CBA">
        <w:rPr>
          <w:rFonts w:ascii="Times New Roman" w:hAnsi="Times New Roman" w:cs="Times New Roman"/>
          <w:lang w:val="es-MX"/>
        </w:rPr>
        <w:t>% en mujeres de</w:t>
      </w:r>
      <w:r w:rsidRPr="00AA6CBA">
        <w:rPr>
          <w:rFonts w:ascii="Times New Roman" w:hAnsi="Times New Roman" w:cs="Times New Roman"/>
          <w:lang w:val="es-MX"/>
        </w:rPr>
        <w:t xml:space="preserve"> población sana, </w:t>
      </w:r>
      <w:r w:rsidR="00BA372F" w:rsidRPr="00AA6CBA">
        <w:rPr>
          <w:rFonts w:ascii="Times New Roman" w:hAnsi="Times New Roman" w:cs="Times New Roman"/>
          <w:lang w:val="es-MX"/>
        </w:rPr>
        <w:t xml:space="preserve">en </w:t>
      </w:r>
      <w:r w:rsidRPr="00AA6CBA">
        <w:rPr>
          <w:rFonts w:ascii="Times New Roman" w:hAnsi="Times New Roman" w:cs="Times New Roman"/>
          <w:lang w:val="es-MX"/>
        </w:rPr>
        <w:t>Etiopía</w:t>
      </w:r>
      <w:r w:rsidRPr="00AA6CBA">
        <w:rPr>
          <w:rFonts w:ascii="Times New Roman" w:hAnsi="Times New Roman" w:cs="Times New Roman"/>
          <w:vertAlign w:val="superscript"/>
          <w:lang w:val="es-MX"/>
        </w:rPr>
        <w:t>3</w:t>
      </w:r>
      <w:r w:rsidRPr="00AA6CBA">
        <w:rPr>
          <w:rFonts w:ascii="Times New Roman" w:hAnsi="Times New Roman" w:cs="Times New Roman"/>
          <w:lang w:val="es-MX"/>
        </w:rPr>
        <w:t xml:space="preserve"> 73.54</w:t>
      </w:r>
      <w:r w:rsidR="001A7581" w:rsidRPr="00AA6CBA">
        <w:rPr>
          <w:rFonts w:ascii="Times New Roman" w:hAnsi="Times New Roman" w:cs="Times New Roman"/>
          <w:lang w:val="es-MX"/>
        </w:rPr>
        <w:t xml:space="preserve"> </w:t>
      </w:r>
      <w:r w:rsidR="00BA372F" w:rsidRPr="00AA6CBA">
        <w:rPr>
          <w:rFonts w:ascii="Times New Roman" w:hAnsi="Times New Roman" w:cs="Times New Roman"/>
          <w:lang w:val="es-MX"/>
        </w:rPr>
        <w:t>%</w:t>
      </w:r>
      <w:r w:rsidRPr="00AA6CBA">
        <w:rPr>
          <w:rFonts w:ascii="Times New Roman" w:hAnsi="Times New Roman" w:cs="Times New Roman"/>
          <w:lang w:val="es-MX"/>
        </w:rPr>
        <w:t xml:space="preserve"> </w:t>
      </w:r>
      <w:r w:rsidR="00BA372F" w:rsidRPr="00AA6CBA">
        <w:rPr>
          <w:rFonts w:ascii="Times New Roman" w:hAnsi="Times New Roman" w:cs="Times New Roman"/>
          <w:lang w:val="es-MX"/>
        </w:rPr>
        <w:t xml:space="preserve">en </w:t>
      </w:r>
      <w:r w:rsidRPr="00AA6CBA">
        <w:rPr>
          <w:rFonts w:ascii="Times New Roman" w:hAnsi="Times New Roman" w:cs="Times New Roman"/>
          <w:lang w:val="es-MX"/>
        </w:rPr>
        <w:t xml:space="preserve">varones y </w:t>
      </w:r>
      <w:r w:rsidR="001A7581" w:rsidRPr="00AA6CBA">
        <w:rPr>
          <w:rFonts w:ascii="Times New Roman" w:hAnsi="Times New Roman" w:cs="Times New Roman"/>
          <w:lang w:val="es-MX"/>
        </w:rPr>
        <w:t>62.74 %</w:t>
      </w:r>
      <w:r w:rsidR="001A7581" w:rsidRPr="00AA6CBA">
        <w:rPr>
          <w:rFonts w:ascii="Times New Roman" w:hAnsi="Times New Roman" w:cs="Times New Roman"/>
          <w:vertAlign w:val="superscript"/>
          <w:lang w:val="es-MX"/>
        </w:rPr>
        <w:t>12</w:t>
      </w:r>
      <w:r w:rsidR="001A7581" w:rsidRPr="00AA6CBA">
        <w:rPr>
          <w:rFonts w:ascii="Times New Roman" w:hAnsi="Times New Roman" w:cs="Times New Roman"/>
          <w:lang w:val="es-MX"/>
        </w:rPr>
        <w:t xml:space="preserve"> </w:t>
      </w:r>
      <w:r w:rsidR="00BA372F" w:rsidRPr="00AA6CBA">
        <w:rPr>
          <w:rFonts w:ascii="Times New Roman" w:hAnsi="Times New Roman" w:cs="Times New Roman"/>
          <w:lang w:val="es-MX"/>
        </w:rPr>
        <w:t xml:space="preserve">en </w:t>
      </w:r>
      <w:r w:rsidR="00E9424F" w:rsidRPr="00AA6CBA">
        <w:rPr>
          <w:rFonts w:ascii="Times New Roman" w:hAnsi="Times New Roman" w:cs="Times New Roman"/>
          <w:lang w:val="es-MX"/>
        </w:rPr>
        <w:t>mujeres</w:t>
      </w:r>
      <w:r w:rsidR="00004ED0" w:rsidRPr="00AA6CBA">
        <w:rPr>
          <w:rFonts w:ascii="Times New Roman" w:hAnsi="Times New Roman" w:cs="Times New Roman"/>
          <w:lang w:val="es-MX"/>
        </w:rPr>
        <w:t>,</w:t>
      </w:r>
      <w:r w:rsidRPr="00AA6CBA">
        <w:rPr>
          <w:rFonts w:ascii="Times New Roman" w:hAnsi="Times New Roman" w:cs="Times New Roman"/>
          <w:lang w:val="es-MX"/>
        </w:rPr>
        <w:t xml:space="preserve"> </w:t>
      </w:r>
      <w:r w:rsidR="00004ED0" w:rsidRPr="00AA6CBA">
        <w:rPr>
          <w:rFonts w:ascii="Times New Roman" w:hAnsi="Times New Roman" w:cs="Times New Roman"/>
          <w:lang w:val="es-MX"/>
        </w:rPr>
        <w:t xml:space="preserve">en </w:t>
      </w:r>
      <w:r w:rsidRPr="00AA6CBA">
        <w:rPr>
          <w:rFonts w:ascii="Times New Roman" w:hAnsi="Times New Roman" w:cs="Times New Roman"/>
          <w:lang w:val="es-MX"/>
        </w:rPr>
        <w:t>Costa Rica 61.5</w:t>
      </w:r>
      <w:r w:rsidR="00004ED0" w:rsidRPr="00AA6CBA">
        <w:rPr>
          <w:rFonts w:ascii="Times New Roman" w:hAnsi="Times New Roman" w:cs="Times New Roman"/>
          <w:lang w:val="es-MX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>% hombres y 55</w:t>
      </w:r>
      <w:r w:rsidR="00004ED0" w:rsidRPr="00AA6CBA">
        <w:rPr>
          <w:rFonts w:ascii="Times New Roman" w:hAnsi="Times New Roman" w:cs="Times New Roman"/>
          <w:lang w:val="es-MX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>% mujeres</w:t>
      </w:r>
      <w:proofErr w:type="gramStart"/>
      <w:r w:rsidR="00E9424F" w:rsidRPr="00AA6CBA">
        <w:rPr>
          <w:rFonts w:ascii="Times New Roman" w:hAnsi="Times New Roman" w:cs="Times New Roman"/>
          <w:lang w:val="es-MX"/>
        </w:rPr>
        <w:t>,</w:t>
      </w:r>
      <w:r w:rsidR="00E9424F" w:rsidRPr="00AA6CBA">
        <w:rPr>
          <w:rFonts w:ascii="Times New Roman" w:hAnsi="Times New Roman" w:cs="Times New Roman"/>
          <w:vertAlign w:val="superscript"/>
          <w:lang w:val="es-MX"/>
        </w:rPr>
        <w:t>13</w:t>
      </w:r>
      <w:proofErr w:type="gramEnd"/>
      <w:r w:rsidR="00E9424F" w:rsidRPr="00AA6CBA">
        <w:rPr>
          <w:rFonts w:ascii="Times New Roman" w:hAnsi="Times New Roman" w:cs="Times New Roman"/>
          <w:vertAlign w:val="superscript"/>
          <w:lang w:val="es-MX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 xml:space="preserve"> </w:t>
      </w:r>
      <w:r w:rsidR="00E9424F" w:rsidRPr="00AA6CBA">
        <w:rPr>
          <w:rFonts w:ascii="Times New Roman" w:hAnsi="Times New Roman" w:cs="Times New Roman"/>
          <w:lang w:val="es-MX"/>
        </w:rPr>
        <w:t xml:space="preserve">en </w:t>
      </w:r>
      <w:r w:rsidRPr="00AA6CBA">
        <w:rPr>
          <w:rFonts w:ascii="Times New Roman" w:hAnsi="Times New Roman" w:cs="Times New Roman"/>
          <w:lang w:val="es-MX"/>
        </w:rPr>
        <w:t>Tamil Nadu, India</w:t>
      </w:r>
      <w:r w:rsidR="00E9424F" w:rsidRPr="00AA6CBA">
        <w:rPr>
          <w:rFonts w:ascii="Times New Roman" w:hAnsi="Times New Roman" w:cs="Times New Roman"/>
          <w:lang w:val="es-MX"/>
        </w:rPr>
        <w:t xml:space="preserve"> 19.12</w:t>
      </w:r>
      <w:r w:rsidR="00004ED0" w:rsidRPr="00AA6CBA">
        <w:rPr>
          <w:rFonts w:ascii="Times New Roman" w:hAnsi="Times New Roman" w:cs="Times New Roman"/>
          <w:lang w:val="es-MX"/>
        </w:rPr>
        <w:t xml:space="preserve"> </w:t>
      </w:r>
      <w:r w:rsidR="00E9424F" w:rsidRPr="00AA6CBA">
        <w:rPr>
          <w:rFonts w:ascii="Times New Roman" w:hAnsi="Times New Roman" w:cs="Times New Roman"/>
          <w:lang w:val="es-MX"/>
        </w:rPr>
        <w:t>% en varones y 9.</w:t>
      </w:r>
      <w:r w:rsidRPr="00AA6CBA">
        <w:rPr>
          <w:rFonts w:ascii="Times New Roman" w:hAnsi="Times New Roman" w:cs="Times New Roman"/>
          <w:lang w:val="es-MX"/>
        </w:rPr>
        <w:t>35</w:t>
      </w:r>
      <w:r w:rsidR="00004ED0" w:rsidRPr="00AA6CBA">
        <w:rPr>
          <w:rFonts w:ascii="Times New Roman" w:hAnsi="Times New Roman" w:cs="Times New Roman"/>
          <w:lang w:val="es-MX"/>
        </w:rPr>
        <w:t xml:space="preserve"> </w:t>
      </w:r>
      <w:r w:rsidRPr="00AA6CBA">
        <w:rPr>
          <w:rFonts w:ascii="Times New Roman" w:hAnsi="Times New Roman" w:cs="Times New Roman"/>
          <w:lang w:val="es-MX"/>
        </w:rPr>
        <w:t xml:space="preserve">% </w:t>
      </w:r>
      <w:r w:rsidR="002F09D0" w:rsidRPr="00AA6CBA">
        <w:rPr>
          <w:rFonts w:ascii="Times New Roman" w:hAnsi="Times New Roman" w:cs="Times New Roman"/>
          <w:lang w:val="es-MX"/>
        </w:rPr>
        <w:t xml:space="preserve">en </w:t>
      </w:r>
      <w:r w:rsidR="008A6CAC" w:rsidRPr="00AA6CBA">
        <w:rPr>
          <w:rFonts w:ascii="Times New Roman" w:hAnsi="Times New Roman" w:cs="Times New Roman"/>
          <w:lang w:val="es-MX"/>
        </w:rPr>
        <w:t>mujeres</w:t>
      </w:r>
      <w:r w:rsidR="00A530FC" w:rsidRPr="00AA6CBA">
        <w:rPr>
          <w:rFonts w:ascii="Times New Roman" w:hAnsi="Times New Roman" w:cs="Times New Roman"/>
          <w:lang w:val="es-MX"/>
        </w:rPr>
        <w:t>, aunque las estadísticas no son claras</w:t>
      </w:r>
      <w:r w:rsidRPr="00AA6CBA">
        <w:rPr>
          <w:rFonts w:ascii="Times New Roman" w:hAnsi="Times New Roman" w:cs="Times New Roman"/>
          <w:lang w:val="es-MX"/>
        </w:rPr>
        <w:t>.</w:t>
      </w:r>
      <w:r w:rsidR="005A751F" w:rsidRPr="00AA6CBA">
        <w:rPr>
          <w:rFonts w:ascii="Times New Roman" w:hAnsi="Times New Roman" w:cs="Times New Roman"/>
          <w:vertAlign w:val="superscript"/>
          <w:lang w:val="es-MX"/>
        </w:rPr>
        <w:t>2</w:t>
      </w:r>
    </w:p>
    <w:p w:rsidR="00A54341" w:rsidRPr="00AA6CBA" w:rsidRDefault="008A6CAC" w:rsidP="00AA6CBA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AA6CBA">
        <w:rPr>
          <w:rFonts w:ascii="Times New Roman" w:hAnsi="Times New Roman" w:cs="Times New Roman"/>
          <w:lang w:val="es-MX"/>
        </w:rPr>
        <w:t>Los</w:t>
      </w:r>
      <w:r w:rsidR="00034A53" w:rsidRPr="00AA6CBA">
        <w:rPr>
          <w:rFonts w:ascii="Times New Roman" w:hAnsi="Times New Roman" w:cs="Times New Roman"/>
          <w:lang w:val="es-ES"/>
        </w:rPr>
        <w:t xml:space="preserve"> múltiples </w:t>
      </w:r>
      <w:r w:rsidRPr="00AA6CBA">
        <w:rPr>
          <w:rFonts w:ascii="Times New Roman" w:hAnsi="Times New Roman" w:cs="Times New Roman"/>
          <w:lang w:val="es-ES"/>
        </w:rPr>
        <w:t>estudios seroepidemiológicos</w:t>
      </w:r>
      <w:r w:rsidR="00034A53" w:rsidRPr="00AA6CBA">
        <w:rPr>
          <w:rFonts w:ascii="Times New Roman" w:hAnsi="Times New Roman" w:cs="Times New Roman"/>
          <w:lang w:val="es-ES"/>
        </w:rPr>
        <w:t xml:space="preserve"> consideran</w:t>
      </w:r>
      <w:r w:rsidR="00E9424F" w:rsidRPr="00AA6CBA">
        <w:rPr>
          <w:rFonts w:ascii="Times New Roman" w:hAnsi="Times New Roman" w:cs="Times New Roman"/>
          <w:lang w:val="es-ES"/>
        </w:rPr>
        <w:t xml:space="preserve"> que</w:t>
      </w:r>
      <w:r w:rsidR="00204968" w:rsidRPr="00AA6CBA">
        <w:rPr>
          <w:rFonts w:ascii="Times New Roman" w:hAnsi="Times New Roman" w:cs="Times New Roman"/>
          <w:lang w:val="es-ES"/>
        </w:rPr>
        <w:t xml:space="preserve"> la toxoplasmosis </w:t>
      </w:r>
      <w:r w:rsidR="00E9424F" w:rsidRPr="00AA6CBA">
        <w:rPr>
          <w:rFonts w:ascii="Times New Roman" w:hAnsi="Times New Roman" w:cs="Times New Roman"/>
          <w:lang w:val="es-ES"/>
        </w:rPr>
        <w:t xml:space="preserve">es </w:t>
      </w:r>
      <w:r w:rsidR="00D41603" w:rsidRPr="00AA6CBA">
        <w:rPr>
          <w:rFonts w:ascii="Times New Roman" w:hAnsi="Times New Roman" w:cs="Times New Roman"/>
          <w:lang w:val="es-ES"/>
        </w:rPr>
        <w:t>una infección altamente prevalente</w:t>
      </w:r>
      <w:r w:rsidR="002F09D0" w:rsidRPr="00AA6CBA">
        <w:rPr>
          <w:rFonts w:ascii="Times New Roman" w:hAnsi="Times New Roman" w:cs="Times New Roman"/>
          <w:lang w:val="es-ES"/>
        </w:rPr>
        <w:t xml:space="preserve"> que alcanza</w:t>
      </w:r>
      <w:r w:rsidRPr="00AA6CBA">
        <w:rPr>
          <w:rFonts w:ascii="Times New Roman" w:hAnsi="Times New Roman" w:cs="Times New Roman"/>
          <w:lang w:val="es-ES"/>
        </w:rPr>
        <w:t xml:space="preserve"> 40 y 85</w:t>
      </w:r>
      <w:r w:rsidR="002F09D0" w:rsidRPr="00AA6CBA">
        <w:rPr>
          <w:rFonts w:ascii="Times New Roman" w:hAnsi="Times New Roman" w:cs="Times New Roman"/>
          <w:lang w:val="es-ES"/>
        </w:rPr>
        <w:t xml:space="preserve"> </w:t>
      </w:r>
      <w:r w:rsidRPr="00AA6CBA">
        <w:rPr>
          <w:rFonts w:ascii="Times New Roman" w:hAnsi="Times New Roman" w:cs="Times New Roman"/>
          <w:lang w:val="es-ES"/>
        </w:rPr>
        <w:t>%</w:t>
      </w:r>
      <w:r w:rsidR="0040415D" w:rsidRPr="00AA6CBA">
        <w:rPr>
          <w:rFonts w:ascii="Times New Roman" w:hAnsi="Times New Roman" w:cs="Times New Roman"/>
          <w:lang w:val="es-ES"/>
        </w:rPr>
        <w:t xml:space="preserve"> a nivel </w:t>
      </w:r>
      <w:r w:rsidRPr="00AA6CBA">
        <w:rPr>
          <w:rFonts w:ascii="Times New Roman" w:hAnsi="Times New Roman" w:cs="Times New Roman"/>
          <w:lang w:val="es-ES"/>
        </w:rPr>
        <w:t>mundial</w:t>
      </w:r>
      <w:r w:rsidR="00034A53" w:rsidRPr="00AA6CBA">
        <w:rPr>
          <w:rFonts w:ascii="Times New Roman" w:hAnsi="Times New Roman" w:cs="Times New Roman"/>
          <w:lang w:val="es-ES"/>
        </w:rPr>
        <w:t>.</w:t>
      </w:r>
      <w:r w:rsidR="00A54341" w:rsidRPr="00AA6CBA">
        <w:rPr>
          <w:rFonts w:ascii="Times New Roman" w:hAnsi="Times New Roman" w:cs="Times New Roman"/>
          <w:vertAlign w:val="superscript"/>
          <w:lang w:val="es-ES"/>
        </w:rPr>
        <w:t>13</w:t>
      </w:r>
      <w:proofErr w:type="gramStart"/>
      <w:r w:rsidR="00A54341" w:rsidRPr="00AA6CBA">
        <w:rPr>
          <w:rFonts w:ascii="Times New Roman" w:hAnsi="Times New Roman" w:cs="Times New Roman"/>
          <w:vertAlign w:val="superscript"/>
          <w:lang w:val="es-ES"/>
        </w:rPr>
        <w:t>,</w:t>
      </w:r>
      <w:r w:rsidR="00D41603" w:rsidRPr="00AA6CBA">
        <w:rPr>
          <w:rFonts w:ascii="Times New Roman" w:hAnsi="Times New Roman" w:cs="Times New Roman"/>
          <w:vertAlign w:val="superscript"/>
          <w:lang w:val="es-ES"/>
        </w:rPr>
        <w:t>1</w:t>
      </w:r>
      <w:r w:rsidR="00E9424F" w:rsidRPr="00AA6CBA">
        <w:rPr>
          <w:rFonts w:ascii="Times New Roman" w:hAnsi="Times New Roman" w:cs="Times New Roman"/>
          <w:vertAlign w:val="superscript"/>
          <w:lang w:val="es-ES"/>
        </w:rPr>
        <w:t>5</w:t>
      </w:r>
      <w:proofErr w:type="gramEnd"/>
      <w:r w:rsidR="00D41603" w:rsidRPr="00AA6CBA">
        <w:rPr>
          <w:rFonts w:ascii="Times New Roman" w:hAnsi="Times New Roman" w:cs="Times New Roman"/>
          <w:vertAlign w:val="superscript"/>
          <w:lang w:val="es-MX"/>
        </w:rPr>
        <w:t>-</w:t>
      </w:r>
      <w:r w:rsidR="00E9424F" w:rsidRPr="00AA6CBA">
        <w:rPr>
          <w:rFonts w:ascii="Times New Roman" w:hAnsi="Times New Roman" w:cs="Times New Roman"/>
          <w:vertAlign w:val="superscript"/>
          <w:lang w:val="es-MX"/>
        </w:rPr>
        <w:t>1</w:t>
      </w:r>
      <w:r w:rsidR="00A54341" w:rsidRPr="00AA6CBA">
        <w:rPr>
          <w:rFonts w:ascii="Times New Roman" w:hAnsi="Times New Roman" w:cs="Times New Roman"/>
          <w:vertAlign w:val="superscript"/>
          <w:lang w:val="es-MX"/>
        </w:rPr>
        <w:t>7</w:t>
      </w:r>
      <w:r w:rsidR="00F050CC" w:rsidRPr="00AA6CBA">
        <w:rPr>
          <w:rFonts w:ascii="Times New Roman" w:hAnsi="Times New Roman" w:cs="Times New Roman"/>
          <w:lang w:val="es-MX"/>
        </w:rPr>
        <w:t xml:space="preserve"> </w:t>
      </w:r>
    </w:p>
    <w:p w:rsidR="00CC4818" w:rsidRPr="00AA6CBA" w:rsidRDefault="00E63AF1" w:rsidP="00AA6CBA">
      <w:pPr>
        <w:spacing w:after="200" w:line="360" w:lineRule="auto"/>
        <w:jc w:val="both"/>
        <w:rPr>
          <w:rFonts w:ascii="Times New Roman" w:hAnsi="Times New Roman" w:cs="Times New Roman"/>
          <w:vertAlign w:val="superscript"/>
          <w:lang w:val="es-MX"/>
        </w:rPr>
      </w:pPr>
      <w:r w:rsidRPr="00AA6CBA">
        <w:rPr>
          <w:rFonts w:ascii="Times New Roman" w:eastAsia="Times New Roman" w:hAnsi="Times New Roman" w:cs="Times New Roman"/>
          <w:lang w:val="es-ES"/>
        </w:rPr>
        <w:t xml:space="preserve">En </w:t>
      </w:r>
      <w:r w:rsidR="002F09D0" w:rsidRPr="00AA6CBA">
        <w:rPr>
          <w:rFonts w:ascii="Times New Roman" w:eastAsia="Times New Roman" w:hAnsi="Times New Roman" w:cs="Times New Roman"/>
          <w:lang w:val="es-ES"/>
        </w:rPr>
        <w:t>1992</w:t>
      </w:r>
      <w:r w:rsidR="00D121A6" w:rsidRPr="00AA6CBA">
        <w:rPr>
          <w:rFonts w:ascii="Times New Roman" w:eastAsia="Times New Roman" w:hAnsi="Times New Roman" w:cs="Times New Roman"/>
          <w:lang w:val="es-ES"/>
        </w:rPr>
        <w:t>,</w:t>
      </w:r>
      <w:r w:rsidR="002F09D0" w:rsidRPr="00AA6CBA">
        <w:rPr>
          <w:rFonts w:ascii="Times New Roman" w:eastAsia="Times New Roman" w:hAnsi="Times New Roman" w:cs="Times New Roman"/>
          <w:lang w:val="es-ES"/>
        </w:rPr>
        <w:t xml:space="preserve"> en </w:t>
      </w:r>
      <w:r w:rsidR="00A530FC" w:rsidRPr="00AA6CBA">
        <w:rPr>
          <w:rFonts w:ascii="Times New Roman" w:eastAsia="Times New Roman" w:hAnsi="Times New Roman" w:cs="Times New Roman"/>
          <w:lang w:val="es-ES"/>
        </w:rPr>
        <w:t xml:space="preserve">el norte de </w:t>
      </w:r>
      <w:r w:rsidR="008A6CAC" w:rsidRPr="00AA6CBA">
        <w:rPr>
          <w:rFonts w:ascii="Times New Roman" w:eastAsia="Times New Roman" w:hAnsi="Times New Roman" w:cs="Times New Roman"/>
          <w:lang w:val="es-ES"/>
        </w:rPr>
        <w:t>México</w:t>
      </w:r>
      <w:r w:rsidR="0040415D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8A6CAC" w:rsidRPr="00AA6CBA">
        <w:rPr>
          <w:rFonts w:ascii="Times New Roman" w:eastAsia="Times New Roman" w:hAnsi="Times New Roman" w:cs="Times New Roman"/>
          <w:lang w:val="es-ES"/>
        </w:rPr>
        <w:t>se reportó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13.5</w:t>
      </w:r>
      <w:r w:rsidR="002F09D0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% </w:t>
      </w:r>
      <w:r w:rsidR="00E9424F" w:rsidRPr="00AA6CBA">
        <w:rPr>
          <w:rFonts w:ascii="Times New Roman" w:eastAsia="Times New Roman" w:hAnsi="Times New Roman" w:cs="Times New Roman"/>
          <w:lang w:val="es-ES"/>
        </w:rPr>
        <w:t>de seroprevalencia</w:t>
      </w:r>
      <w:r w:rsidR="00A530FC" w:rsidRPr="00AA6CBA">
        <w:rPr>
          <w:rFonts w:ascii="Times New Roman" w:eastAsia="Times New Roman" w:hAnsi="Times New Roman" w:cs="Times New Roman"/>
          <w:lang w:val="es-ES"/>
        </w:rPr>
        <w:t xml:space="preserve"> para toxoplasmosis en población abierta</w:t>
      </w:r>
      <w:r w:rsidR="00034A53" w:rsidRPr="00AA6CBA">
        <w:rPr>
          <w:rFonts w:ascii="Times New Roman" w:eastAsia="Times New Roman" w:hAnsi="Times New Roman" w:cs="Times New Roman"/>
          <w:lang w:val="es-ES"/>
        </w:rPr>
        <w:t>.</w:t>
      </w:r>
      <w:r w:rsidR="00CF4A04" w:rsidRPr="00AA6CBA">
        <w:rPr>
          <w:rFonts w:ascii="Times New Roman" w:hAnsi="Times New Roman" w:cs="Times New Roman"/>
          <w:vertAlign w:val="superscript"/>
          <w:lang w:val="es-MX"/>
        </w:rPr>
        <w:t>1</w:t>
      </w:r>
      <w:r w:rsidR="00A54341" w:rsidRPr="00AA6CBA">
        <w:rPr>
          <w:rFonts w:ascii="Times New Roman" w:hAnsi="Times New Roman" w:cs="Times New Roman"/>
          <w:vertAlign w:val="superscript"/>
          <w:lang w:val="es-MX"/>
        </w:rPr>
        <w:t>8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En 1998</w:t>
      </w:r>
      <w:r w:rsidR="00D121A6" w:rsidRPr="00AA6CBA">
        <w:rPr>
          <w:rFonts w:ascii="Times New Roman" w:eastAsia="Times New Roman" w:hAnsi="Times New Roman" w:cs="Times New Roman"/>
          <w:lang w:val="es-ES"/>
        </w:rPr>
        <w:t>,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en Yucatán</w:t>
      </w:r>
      <w:r w:rsidR="00D4160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204968" w:rsidRPr="00AA6CBA">
        <w:rPr>
          <w:rFonts w:ascii="Times New Roman" w:eastAsia="Times New Roman" w:hAnsi="Times New Roman" w:cs="Times New Roman"/>
          <w:lang w:val="es-ES"/>
        </w:rPr>
        <w:t>r</w:t>
      </w:r>
      <w:r w:rsidRPr="00AA6CBA">
        <w:rPr>
          <w:rFonts w:ascii="Times New Roman" w:eastAsia="Times New Roman" w:hAnsi="Times New Roman" w:cs="Times New Roman"/>
          <w:lang w:val="es-ES"/>
        </w:rPr>
        <w:t>eportaron</w:t>
      </w:r>
      <w:r w:rsidR="0040415D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eastAsia="Times New Roman" w:hAnsi="Times New Roman" w:cs="Times New Roman"/>
          <w:lang w:val="es-ES"/>
        </w:rPr>
        <w:t>en donadores hombres 69</w:t>
      </w:r>
      <w:r w:rsidR="002F09D0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eastAsia="Times New Roman" w:hAnsi="Times New Roman" w:cs="Times New Roman"/>
          <w:lang w:val="es-ES"/>
        </w:rPr>
        <w:t>%</w:t>
      </w:r>
      <w:r w:rsidR="002F281C" w:rsidRPr="00AA6CBA">
        <w:rPr>
          <w:rFonts w:ascii="Times New Roman" w:eastAsia="Times New Roman" w:hAnsi="Times New Roman" w:cs="Times New Roman"/>
          <w:lang w:val="es-ES"/>
        </w:rPr>
        <w:t xml:space="preserve"> de seropositividad a toxoplasmosis</w:t>
      </w:r>
      <w:r w:rsidR="00034A53" w:rsidRPr="00AA6CBA">
        <w:rPr>
          <w:rFonts w:ascii="Times New Roman" w:eastAsia="Times New Roman" w:hAnsi="Times New Roman" w:cs="Times New Roman"/>
          <w:lang w:val="es-ES"/>
        </w:rPr>
        <w:t>.</w:t>
      </w:r>
      <w:r w:rsidR="00A54341" w:rsidRPr="00AA6CBA">
        <w:rPr>
          <w:rFonts w:ascii="Times New Roman" w:hAnsi="Times New Roman" w:cs="Times New Roman"/>
          <w:vertAlign w:val="superscript"/>
          <w:lang w:val="es-ES"/>
        </w:rPr>
        <w:t>19</w:t>
      </w:r>
      <w:r w:rsidR="00034A53" w:rsidRPr="00AA6CBA">
        <w:rPr>
          <w:rFonts w:ascii="Times New Roman" w:eastAsia="Times New Roman" w:hAnsi="Times New Roman" w:cs="Times New Roman"/>
          <w:vertAlign w:val="superscript"/>
          <w:lang w:val="es-ES"/>
        </w:rPr>
        <w:t xml:space="preserve"> </w:t>
      </w:r>
      <w:r w:rsidR="0040415D" w:rsidRPr="00AA6CBA">
        <w:rPr>
          <w:rFonts w:ascii="Times New Roman" w:eastAsia="Times New Roman" w:hAnsi="Times New Roman" w:cs="Times New Roman"/>
          <w:lang w:val="es-ES"/>
        </w:rPr>
        <w:t>En el 2000</w:t>
      </w:r>
      <w:r w:rsidR="00D121A6" w:rsidRPr="00AA6CBA">
        <w:rPr>
          <w:rFonts w:ascii="Times New Roman" w:eastAsia="Times New Roman" w:hAnsi="Times New Roman" w:cs="Times New Roman"/>
          <w:lang w:val="es-ES"/>
        </w:rPr>
        <w:t>,</w:t>
      </w:r>
      <w:r w:rsidR="0040415D" w:rsidRPr="00AA6CBA">
        <w:rPr>
          <w:rFonts w:ascii="Times New Roman" w:eastAsia="Times New Roman" w:hAnsi="Times New Roman" w:cs="Times New Roman"/>
          <w:lang w:val="es-ES"/>
        </w:rPr>
        <w:t xml:space="preserve"> e</w:t>
      </w:r>
      <w:r w:rsidR="00D121A6" w:rsidRPr="00AA6CBA">
        <w:rPr>
          <w:rFonts w:ascii="Times New Roman" w:eastAsia="Times New Roman" w:hAnsi="Times New Roman" w:cs="Times New Roman"/>
          <w:lang w:val="es-ES"/>
        </w:rPr>
        <w:t>l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Banco d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e Sangre </w:t>
      </w:r>
      <w:r w:rsidR="0040415D" w:rsidRPr="00AA6CBA">
        <w:rPr>
          <w:rFonts w:ascii="Times New Roman" w:eastAsia="Times New Roman" w:hAnsi="Times New Roman" w:cs="Times New Roman"/>
          <w:lang w:val="es-ES"/>
        </w:rPr>
        <w:t>en</w:t>
      </w:r>
      <w:r w:rsidR="006E7DE9" w:rsidRPr="00AA6CBA">
        <w:rPr>
          <w:rFonts w:ascii="Times New Roman" w:eastAsia="Times New Roman" w:hAnsi="Times New Roman" w:cs="Times New Roman"/>
          <w:lang w:val="es-ES"/>
        </w:rPr>
        <w:t xml:space="preserve"> Monterrey</w:t>
      </w:r>
      <w:r w:rsidR="0040415D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D41603" w:rsidRPr="00AA6CBA">
        <w:rPr>
          <w:rFonts w:ascii="Times New Roman" w:eastAsia="Times New Roman" w:hAnsi="Times New Roman" w:cs="Times New Roman"/>
          <w:lang w:val="es-ES"/>
        </w:rPr>
        <w:t>report</w:t>
      </w:r>
      <w:r w:rsidR="00D121A6" w:rsidRPr="00AA6CBA">
        <w:rPr>
          <w:rFonts w:ascii="Times New Roman" w:eastAsia="Times New Roman" w:hAnsi="Times New Roman" w:cs="Times New Roman"/>
          <w:lang w:val="es-ES"/>
        </w:rPr>
        <w:t>ó</w:t>
      </w:r>
      <w:r w:rsidR="002F281C" w:rsidRPr="00AA6CBA">
        <w:rPr>
          <w:rFonts w:ascii="Times New Roman" w:eastAsia="Times New Roman" w:hAnsi="Times New Roman" w:cs="Times New Roman"/>
          <w:lang w:val="es-ES"/>
        </w:rPr>
        <w:t xml:space="preserve"> solamente 20</w:t>
      </w:r>
      <w:r w:rsidR="002F09D0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2F281C" w:rsidRPr="00AA6CBA">
        <w:rPr>
          <w:rFonts w:ascii="Times New Roman" w:eastAsia="Times New Roman" w:hAnsi="Times New Roman" w:cs="Times New Roman"/>
          <w:lang w:val="es-ES"/>
        </w:rPr>
        <w:t>% de posit</w:t>
      </w:r>
      <w:r w:rsidR="0040415D" w:rsidRPr="00AA6CBA">
        <w:rPr>
          <w:rFonts w:ascii="Times New Roman" w:eastAsia="Times New Roman" w:hAnsi="Times New Roman" w:cs="Times New Roman"/>
          <w:lang w:val="es-ES"/>
        </w:rPr>
        <w:t>i</w:t>
      </w:r>
      <w:r w:rsidR="002F281C" w:rsidRPr="00AA6CBA">
        <w:rPr>
          <w:rFonts w:ascii="Times New Roman" w:eastAsia="Times New Roman" w:hAnsi="Times New Roman" w:cs="Times New Roman"/>
          <w:lang w:val="es-ES"/>
        </w:rPr>
        <w:t>vi</w:t>
      </w:r>
      <w:r w:rsidR="0040415D" w:rsidRPr="00AA6CBA">
        <w:rPr>
          <w:rFonts w:ascii="Times New Roman" w:eastAsia="Times New Roman" w:hAnsi="Times New Roman" w:cs="Times New Roman"/>
          <w:lang w:val="es-ES"/>
        </w:rPr>
        <w:t>dad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a</w:t>
      </w:r>
      <w:r w:rsidR="002F281C" w:rsidRPr="00AA6CBA">
        <w:rPr>
          <w:rFonts w:ascii="Times New Roman" w:eastAsia="Times New Roman" w:hAnsi="Times New Roman" w:cs="Times New Roman"/>
          <w:lang w:val="es-ES"/>
        </w:rPr>
        <w:t xml:space="preserve">l anticuerpo </w:t>
      </w:r>
      <w:r w:rsidR="00F050CC" w:rsidRPr="00AA6CBA">
        <w:rPr>
          <w:rFonts w:ascii="Times New Roman" w:eastAsia="Times New Roman" w:hAnsi="Times New Roman" w:cs="Times New Roman"/>
          <w:lang w:val="es-ES"/>
        </w:rPr>
        <w:t>IgG</w:t>
      </w:r>
      <w:r w:rsidR="00034A53" w:rsidRPr="00AA6CBA">
        <w:rPr>
          <w:rFonts w:ascii="Times New Roman" w:eastAsia="Times New Roman" w:hAnsi="Times New Roman" w:cs="Times New Roman"/>
          <w:lang w:val="es-ES"/>
        </w:rPr>
        <w:t>.</w:t>
      </w:r>
      <w:r w:rsidR="00A54341" w:rsidRPr="00AA6CBA">
        <w:rPr>
          <w:rFonts w:ascii="Times New Roman" w:hAnsi="Times New Roman" w:cs="Times New Roman"/>
          <w:vertAlign w:val="superscript"/>
          <w:lang w:val="es-MX"/>
        </w:rPr>
        <w:t>20</w:t>
      </w:r>
    </w:p>
    <w:p w:rsidR="00CC4818" w:rsidRPr="00AA6CBA" w:rsidRDefault="00CC4818" w:rsidP="00AA6CBA">
      <w:pPr>
        <w:spacing w:after="200" w:line="360" w:lineRule="auto"/>
        <w:jc w:val="both"/>
        <w:rPr>
          <w:rFonts w:ascii="Times New Roman" w:hAnsi="Times New Roman" w:cs="Times New Roman"/>
          <w:vertAlign w:val="superscript"/>
          <w:lang w:val="es-MX"/>
        </w:rPr>
      </w:pPr>
      <w:r w:rsidRPr="00AA6CBA">
        <w:rPr>
          <w:rFonts w:ascii="Times New Roman" w:hAnsi="Times New Roman" w:cs="Times New Roman"/>
          <w:vertAlign w:val="superscript"/>
          <w:lang w:val="es-MX"/>
        </w:rPr>
        <w:br w:type="page"/>
      </w:r>
    </w:p>
    <w:p w:rsidR="00FE3732" w:rsidRPr="00AA6CBA" w:rsidRDefault="00E63AF1" w:rsidP="00AA6CBA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val="es-ES"/>
        </w:rPr>
      </w:pPr>
      <w:r w:rsidRPr="00AA6CBA">
        <w:rPr>
          <w:rFonts w:ascii="Times New Roman" w:eastAsia="Times New Roman" w:hAnsi="Times New Roman" w:cs="Times New Roman"/>
          <w:lang w:val="es-ES"/>
        </w:rPr>
        <w:lastRenderedPageBreak/>
        <w:t>En</w:t>
      </w:r>
      <w:r w:rsidR="002F281C" w:rsidRPr="00AA6CBA">
        <w:rPr>
          <w:rFonts w:ascii="Times New Roman" w:eastAsia="Times New Roman" w:hAnsi="Times New Roman" w:cs="Times New Roman"/>
          <w:lang w:val="es-ES"/>
        </w:rPr>
        <w:t xml:space="preserve"> 2007</w:t>
      </w:r>
      <w:r w:rsidR="001A27A2" w:rsidRPr="00AA6CBA">
        <w:rPr>
          <w:rFonts w:ascii="Times New Roman" w:eastAsia="Times New Roman" w:hAnsi="Times New Roman" w:cs="Times New Roman"/>
          <w:lang w:val="es-ES"/>
        </w:rPr>
        <w:t>, en</w:t>
      </w:r>
      <w:r w:rsidR="00204968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2F281C" w:rsidRPr="00AA6CBA">
        <w:rPr>
          <w:rFonts w:ascii="Times New Roman" w:eastAsia="Times New Roman" w:hAnsi="Times New Roman" w:cs="Times New Roman"/>
          <w:lang w:val="es-ES"/>
        </w:rPr>
        <w:t xml:space="preserve">otro estudio en </w:t>
      </w:r>
      <w:r w:rsidR="00034A53" w:rsidRPr="00AA6CBA">
        <w:rPr>
          <w:rFonts w:ascii="Times New Roman" w:eastAsia="Times New Roman" w:hAnsi="Times New Roman" w:cs="Times New Roman"/>
          <w:lang w:val="es-ES"/>
        </w:rPr>
        <w:t>Duran</w:t>
      </w:r>
      <w:r w:rsidR="0040415D" w:rsidRPr="00AA6CBA">
        <w:rPr>
          <w:rFonts w:ascii="Times New Roman" w:eastAsia="Times New Roman" w:hAnsi="Times New Roman" w:cs="Times New Roman"/>
          <w:lang w:val="es-ES"/>
        </w:rPr>
        <w:t>go</w:t>
      </w:r>
      <w:r w:rsidR="002F281C" w:rsidRPr="00AA6CBA">
        <w:rPr>
          <w:rFonts w:ascii="Times New Roman" w:eastAsia="Times New Roman" w:hAnsi="Times New Roman" w:cs="Times New Roman"/>
          <w:lang w:val="es-ES"/>
        </w:rPr>
        <w:t xml:space="preserve"> en </w:t>
      </w:r>
      <w:r w:rsidRPr="00AA6CBA">
        <w:rPr>
          <w:rFonts w:ascii="Times New Roman" w:eastAsia="Times New Roman" w:hAnsi="Times New Roman" w:cs="Times New Roman"/>
          <w:lang w:val="es-ES"/>
        </w:rPr>
        <w:t>banco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de 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sangre </w:t>
      </w:r>
      <w:r w:rsidR="002F09D0" w:rsidRPr="00AA6CBA">
        <w:rPr>
          <w:rFonts w:ascii="Times New Roman" w:eastAsia="Times New Roman" w:hAnsi="Times New Roman" w:cs="Times New Roman"/>
          <w:lang w:val="es-ES"/>
        </w:rPr>
        <w:t>se hallaron</w:t>
      </w:r>
      <w:r w:rsidR="000B6B44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Pr="00AA6CBA">
        <w:rPr>
          <w:rFonts w:ascii="Times New Roman" w:eastAsia="Times New Roman" w:hAnsi="Times New Roman" w:cs="Times New Roman"/>
          <w:lang w:val="es-ES"/>
        </w:rPr>
        <w:t>anticuerpos anti-toxoplasm</w:t>
      </w:r>
      <w:r w:rsidR="000B6B44" w:rsidRPr="00AA6CBA">
        <w:rPr>
          <w:rFonts w:ascii="Times New Roman" w:eastAsia="Times New Roman" w:hAnsi="Times New Roman" w:cs="Times New Roman"/>
          <w:lang w:val="es-ES"/>
        </w:rPr>
        <w:t>a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2F281C" w:rsidRPr="00AA6CBA">
        <w:rPr>
          <w:rFonts w:ascii="Times New Roman" w:eastAsia="Times New Roman" w:hAnsi="Times New Roman" w:cs="Times New Roman"/>
          <w:lang w:val="es-ES"/>
        </w:rPr>
        <w:t xml:space="preserve">IgG </w:t>
      </w:r>
      <w:r w:rsidR="002F09D0" w:rsidRPr="00AA6CBA">
        <w:rPr>
          <w:rFonts w:ascii="Times New Roman" w:eastAsia="Times New Roman" w:hAnsi="Times New Roman" w:cs="Times New Roman"/>
          <w:lang w:val="es-ES"/>
        </w:rPr>
        <w:t>en</w:t>
      </w:r>
      <w:r w:rsidR="00204968" w:rsidRPr="00AA6CBA">
        <w:rPr>
          <w:rFonts w:ascii="Times New Roman" w:eastAsia="Times New Roman" w:hAnsi="Times New Roman" w:cs="Times New Roman"/>
          <w:lang w:val="es-ES"/>
        </w:rPr>
        <w:t xml:space="preserve"> 7.5</w:t>
      </w:r>
      <w:r w:rsidR="002F09D0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204968" w:rsidRPr="00AA6CBA">
        <w:rPr>
          <w:rFonts w:ascii="Times New Roman" w:eastAsia="Times New Roman" w:hAnsi="Times New Roman" w:cs="Times New Roman"/>
          <w:lang w:val="es-ES"/>
        </w:rPr>
        <w:t xml:space="preserve">% </w:t>
      </w:r>
      <w:r w:rsidR="002F281C" w:rsidRPr="00AA6CBA">
        <w:rPr>
          <w:rFonts w:ascii="Times New Roman" w:eastAsia="Times New Roman" w:hAnsi="Times New Roman" w:cs="Times New Roman"/>
          <w:lang w:val="es-ES"/>
        </w:rPr>
        <w:t>con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d</w:t>
      </w:r>
      <w:r w:rsidR="002F281C" w:rsidRPr="00AA6CBA">
        <w:rPr>
          <w:rFonts w:ascii="Times New Roman" w:eastAsia="Times New Roman" w:hAnsi="Times New Roman" w:cs="Times New Roman"/>
          <w:lang w:val="es-ES"/>
        </w:rPr>
        <w:t>onadores posi</w:t>
      </w:r>
      <w:r w:rsidR="0040415D" w:rsidRPr="00AA6CBA">
        <w:rPr>
          <w:rFonts w:ascii="Times New Roman" w:eastAsia="Times New Roman" w:hAnsi="Times New Roman" w:cs="Times New Roman"/>
          <w:lang w:val="es-ES"/>
        </w:rPr>
        <w:t>tivos</w:t>
      </w:r>
      <w:r w:rsidR="002F281C" w:rsidRPr="00AA6CBA">
        <w:rPr>
          <w:rFonts w:ascii="Times New Roman" w:eastAsia="Times New Roman" w:hAnsi="Times New Roman" w:cs="Times New Roman"/>
          <w:lang w:val="es-ES"/>
        </w:rPr>
        <w:t xml:space="preserve"> a</w:t>
      </w:r>
      <w:r w:rsidR="000B6B44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eastAsia="Times New Roman" w:hAnsi="Times New Roman" w:cs="Times New Roman"/>
          <w:lang w:val="es-ES"/>
        </w:rPr>
        <w:t>IgM e Ig</w:t>
      </w:r>
      <w:r w:rsidR="0040415D" w:rsidRPr="00AA6CBA">
        <w:rPr>
          <w:rFonts w:ascii="Times New Roman" w:eastAsia="Times New Roman" w:hAnsi="Times New Roman" w:cs="Times New Roman"/>
          <w:lang w:val="es-ES"/>
        </w:rPr>
        <w:t>G con</w:t>
      </w:r>
      <w:r w:rsidR="006E7DE9" w:rsidRPr="00AA6CBA">
        <w:rPr>
          <w:rFonts w:ascii="Times New Roman" w:eastAsia="Times New Roman" w:hAnsi="Times New Roman" w:cs="Times New Roman"/>
          <w:lang w:val="es-ES"/>
        </w:rPr>
        <w:t xml:space="preserve"> 1.9</w:t>
      </w:r>
      <w:r w:rsidR="002F09D0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6E7DE9" w:rsidRPr="00AA6CBA">
        <w:rPr>
          <w:rFonts w:ascii="Times New Roman" w:eastAsia="Times New Roman" w:hAnsi="Times New Roman" w:cs="Times New Roman"/>
          <w:lang w:val="es-ES"/>
        </w:rPr>
        <w:t>%</w:t>
      </w:r>
      <w:r w:rsidR="00034A53" w:rsidRPr="00AA6CBA">
        <w:rPr>
          <w:rFonts w:ascii="Times New Roman" w:eastAsia="Times New Roman" w:hAnsi="Times New Roman" w:cs="Times New Roman"/>
          <w:lang w:val="es-ES"/>
        </w:rPr>
        <w:t>.</w:t>
      </w:r>
      <w:r w:rsidR="00A54341" w:rsidRPr="00AA6CBA">
        <w:rPr>
          <w:rFonts w:ascii="Times New Roman" w:hAnsi="Times New Roman" w:cs="Times New Roman"/>
          <w:vertAlign w:val="superscript"/>
          <w:lang w:val="es-ES"/>
        </w:rPr>
        <w:t>21</w:t>
      </w:r>
      <w:r w:rsidR="00034A53" w:rsidRPr="00AA6CBA">
        <w:rPr>
          <w:rFonts w:ascii="Times New Roman" w:eastAsia="Times New Roman" w:hAnsi="Times New Roman" w:cs="Times New Roman"/>
          <w:vertAlign w:val="superscript"/>
          <w:lang w:val="es-ES"/>
        </w:rPr>
        <w:t xml:space="preserve"> </w:t>
      </w:r>
      <w:r w:rsidR="00440574" w:rsidRPr="00AA6CBA">
        <w:rPr>
          <w:rFonts w:ascii="Times New Roman" w:eastAsia="Times New Roman" w:hAnsi="Times New Roman" w:cs="Times New Roman"/>
          <w:color w:val="000000"/>
          <w:lang w:val="es-ES"/>
        </w:rPr>
        <w:t>La seroprevalencia y epidemiología a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la infección por </w:t>
      </w:r>
      <w:r w:rsidR="00034A53" w:rsidRPr="00AA6CBA">
        <w:rPr>
          <w:rFonts w:ascii="Times New Roman" w:eastAsia="Times New Roman" w:hAnsi="Times New Roman" w:cs="Times New Roman"/>
          <w:i/>
          <w:color w:val="000000"/>
          <w:lang w:val="es-ES"/>
        </w:rPr>
        <w:t>Toxoplasma gondii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en </w:t>
      </w:r>
      <w:r w:rsidR="00440574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población 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general y en </w:t>
      </w:r>
      <w:r w:rsidR="0040415D" w:rsidRPr="00AA6CBA">
        <w:rPr>
          <w:rFonts w:ascii="Times New Roman" w:eastAsia="Times New Roman" w:hAnsi="Times New Roman" w:cs="Times New Roman"/>
          <w:color w:val="000000"/>
          <w:lang w:val="es-ES"/>
        </w:rPr>
        <w:t>donantes de sangre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ha sido poco estudiada en México.</w:t>
      </w:r>
      <w:r w:rsidR="00CF4A04" w:rsidRPr="00AA6CBA">
        <w:rPr>
          <w:rFonts w:ascii="Times New Roman" w:hAnsi="Times New Roman" w:cs="Times New Roman"/>
          <w:vertAlign w:val="superscript"/>
          <w:lang w:val="es-ES"/>
        </w:rPr>
        <w:t>2</w:t>
      </w:r>
      <w:r w:rsidR="006F5B52" w:rsidRPr="00AA6CBA">
        <w:rPr>
          <w:rFonts w:ascii="Times New Roman" w:hAnsi="Times New Roman" w:cs="Times New Roman"/>
          <w:vertAlign w:val="superscript"/>
          <w:lang w:val="es-ES"/>
        </w:rPr>
        <w:t>1</w:t>
      </w:r>
      <w:r w:rsidR="00034A53" w:rsidRPr="00AA6CBA">
        <w:rPr>
          <w:rFonts w:ascii="Times New Roman" w:eastAsia="Times New Roman" w:hAnsi="Times New Roman" w:cs="Times New Roman"/>
          <w:color w:val="000000"/>
          <w:vertAlign w:val="superscript"/>
          <w:lang w:val="es-ES"/>
        </w:rPr>
        <w:t xml:space="preserve">  </w:t>
      </w:r>
    </w:p>
    <w:p w:rsidR="00034A53" w:rsidRPr="00AA6CBA" w:rsidRDefault="000B6B44" w:rsidP="00AA6CBA">
      <w:pPr>
        <w:spacing w:after="200" w:line="360" w:lineRule="auto"/>
        <w:jc w:val="both"/>
        <w:rPr>
          <w:rFonts w:ascii="Times New Roman" w:hAnsi="Times New Roman" w:cs="Times New Roman"/>
          <w:lang w:val="es-MX"/>
        </w:rPr>
      </w:pPr>
      <w:r w:rsidRPr="00AA6CBA">
        <w:rPr>
          <w:rFonts w:ascii="Times New Roman" w:eastAsia="Times New Roman" w:hAnsi="Times New Roman" w:cs="Times New Roman"/>
          <w:color w:val="000000"/>
          <w:lang w:val="es-ES"/>
        </w:rPr>
        <w:t>No se encontraron investigaciones realizadas en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vigilancia o programa de cribado en la donación de sangre en México</w:t>
      </w:r>
      <w:r w:rsidR="001A27A2" w:rsidRPr="00AA6CBA">
        <w:rPr>
          <w:rFonts w:ascii="Times New Roman" w:eastAsia="Times New Roman" w:hAnsi="Times New Roman" w:cs="Times New Roman"/>
          <w:color w:val="000000"/>
          <w:lang w:val="es-ES"/>
        </w:rPr>
        <w:t>,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40415D" w:rsidRPr="00AA6CBA">
        <w:rPr>
          <w:rFonts w:ascii="Times New Roman" w:eastAsia="Times New Roman" w:hAnsi="Times New Roman" w:cs="Times New Roman"/>
          <w:color w:val="000000"/>
          <w:lang w:val="es-ES"/>
        </w:rPr>
        <w:t>por lo que hay que</w:t>
      </w:r>
      <w:r w:rsidR="002F281C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document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>ar estudios que muestren la prevalencia del parásit</w:t>
      </w:r>
      <w:r w:rsidR="00204968" w:rsidRPr="00AA6CBA">
        <w:rPr>
          <w:rFonts w:ascii="Times New Roman" w:eastAsia="Times New Roman" w:hAnsi="Times New Roman" w:cs="Times New Roman"/>
          <w:color w:val="000000"/>
          <w:lang w:val="es-ES"/>
        </w:rPr>
        <w:t>o en donantes de sangre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>.</w:t>
      </w:r>
      <w:r w:rsidR="00CF4A04" w:rsidRPr="00AA6CBA">
        <w:rPr>
          <w:rFonts w:ascii="Times New Roman" w:eastAsia="Times New Roman" w:hAnsi="Times New Roman" w:cs="Times New Roman"/>
          <w:color w:val="000000"/>
          <w:vertAlign w:val="superscript"/>
          <w:lang w:val="es-ES"/>
        </w:rPr>
        <w:t>2</w:t>
      </w:r>
      <w:r w:rsidR="006F5B52" w:rsidRPr="00AA6CBA">
        <w:rPr>
          <w:rFonts w:ascii="Times New Roman" w:eastAsia="Times New Roman" w:hAnsi="Times New Roman" w:cs="Times New Roman"/>
          <w:color w:val="000000"/>
          <w:vertAlign w:val="superscript"/>
          <w:lang w:val="es-ES"/>
        </w:rPr>
        <w:t>2</w:t>
      </w:r>
    </w:p>
    <w:p w:rsidR="00CC4818" w:rsidRPr="00AA6CBA" w:rsidRDefault="00AD47D1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AA6CBA">
        <w:rPr>
          <w:rFonts w:ascii="Times New Roman" w:eastAsia="Times New Roman" w:hAnsi="Times New Roman" w:cs="Times New Roman"/>
          <w:color w:val="000000"/>
          <w:lang w:val="es-ES"/>
        </w:rPr>
        <w:t>L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a importancia de esta zoonosis </w:t>
      </w:r>
      <w:r w:rsidR="002F281C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y </w:t>
      </w:r>
      <w:r w:rsidRPr="00AA6CBA">
        <w:rPr>
          <w:rFonts w:ascii="Times New Roman" w:eastAsia="Times New Roman" w:hAnsi="Times New Roman" w:cs="Times New Roman"/>
          <w:color w:val="000000"/>
          <w:lang w:val="es-ES"/>
        </w:rPr>
        <w:t>su transmisión</w:t>
      </w:r>
      <w:r w:rsidR="00155FEF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al ser humano a través de una variedad de rutas</w:t>
      </w:r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>,</w:t>
      </w:r>
      <w:r w:rsidR="00155FEF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incluyendo la transfusión sanguínea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, </w:t>
      </w:r>
      <w:r w:rsidRPr="00AA6CBA">
        <w:rPr>
          <w:rFonts w:ascii="Times New Roman" w:eastAsia="Times New Roman" w:hAnsi="Times New Roman" w:cs="Times New Roman"/>
          <w:color w:val="000000"/>
          <w:lang w:val="es-ES"/>
        </w:rPr>
        <w:t>obligan a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tratar de determinar con precisión la detección de anticuerpos</w:t>
      </w:r>
      <w:r w:rsidR="002F281C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proofErr w:type="spellStart"/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>IgG</w:t>
      </w:r>
      <w:proofErr w:type="spellEnd"/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, </w:t>
      </w:r>
      <w:proofErr w:type="spellStart"/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>IgM</w:t>
      </w:r>
      <w:proofErr w:type="spellEnd"/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e </w:t>
      </w:r>
      <w:proofErr w:type="spellStart"/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>IgA</w:t>
      </w:r>
      <w:proofErr w:type="spellEnd"/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2F281C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para </w:t>
      </w:r>
      <w:r w:rsidRPr="00AA6CBA">
        <w:rPr>
          <w:rFonts w:ascii="Times New Roman" w:eastAsia="Times New Roman" w:hAnsi="Times New Roman" w:cs="Times New Roman"/>
          <w:color w:val="000000"/>
          <w:lang w:val="es-ES"/>
        </w:rPr>
        <w:t>conocer</w:t>
      </w:r>
      <w:r w:rsidR="002F281C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mejor 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>el papel de los factores de riesgo</w:t>
      </w:r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de este parásito</w:t>
      </w:r>
      <w:r w:rsidRPr="00AA6CBA">
        <w:rPr>
          <w:rFonts w:ascii="Times New Roman" w:eastAsia="Times New Roman" w:hAnsi="Times New Roman" w:cs="Times New Roman"/>
          <w:color w:val="000000"/>
          <w:lang w:val="es-ES"/>
        </w:rPr>
        <w:t>,</w:t>
      </w:r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que </w:t>
      </w:r>
      <w:r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actualmente </w:t>
      </w:r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>no son del todo bien conocidos</w:t>
      </w:r>
      <w:r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, así como 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las influencias ambientales </w:t>
      </w:r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>que promueven el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contagio</w:t>
      </w:r>
      <w:r w:rsidR="002F281C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>con la intención de buscar medidas de prevención y</w:t>
      </w:r>
      <w:r w:rsidR="002F281C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control de esta enfermedad</w:t>
      </w:r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>, que la</w:t>
      </w:r>
      <w:r w:rsidR="002F281C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mayoría </w:t>
      </w:r>
      <w:r w:rsidR="003F081D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de las veces </w:t>
      </w:r>
      <w:r w:rsidR="002F281C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pasa desapercibida </w:t>
      </w:r>
      <w:r w:rsidRPr="00AA6CBA">
        <w:rPr>
          <w:rFonts w:ascii="Times New Roman" w:eastAsia="Times New Roman" w:hAnsi="Times New Roman" w:cs="Times New Roman"/>
          <w:color w:val="000000"/>
          <w:lang w:val="es-ES"/>
        </w:rPr>
        <w:t>debido a</w:t>
      </w:r>
      <w:r w:rsidR="002F281C" w:rsidRPr="00AA6CBA">
        <w:rPr>
          <w:rFonts w:ascii="Times New Roman" w:eastAsia="Times New Roman" w:hAnsi="Times New Roman" w:cs="Times New Roman"/>
          <w:color w:val="000000"/>
          <w:lang w:val="es-ES"/>
        </w:rPr>
        <w:t xml:space="preserve"> su presentación subcl</w:t>
      </w:r>
      <w:r w:rsidRPr="00AA6CBA">
        <w:rPr>
          <w:rFonts w:ascii="Times New Roman" w:eastAsia="Times New Roman" w:hAnsi="Times New Roman" w:cs="Times New Roman"/>
          <w:color w:val="000000"/>
          <w:lang w:val="es-ES"/>
        </w:rPr>
        <w:t>í</w:t>
      </w:r>
      <w:r w:rsidR="002F281C" w:rsidRPr="00AA6CBA">
        <w:rPr>
          <w:rFonts w:ascii="Times New Roman" w:eastAsia="Times New Roman" w:hAnsi="Times New Roman" w:cs="Times New Roman"/>
          <w:color w:val="000000"/>
          <w:lang w:val="es-ES"/>
        </w:rPr>
        <w:t>nica</w:t>
      </w:r>
      <w:r w:rsidR="00034A53" w:rsidRPr="00AA6CBA">
        <w:rPr>
          <w:rFonts w:ascii="Times New Roman" w:eastAsia="Times New Roman" w:hAnsi="Times New Roman" w:cs="Times New Roman"/>
          <w:color w:val="000000"/>
          <w:lang w:val="es-ES"/>
        </w:rPr>
        <w:t>.</w:t>
      </w:r>
      <w:r w:rsidR="00CF4A04" w:rsidRPr="00AA6CBA">
        <w:rPr>
          <w:rFonts w:ascii="Times New Roman" w:hAnsi="Times New Roman" w:cs="Times New Roman"/>
          <w:vertAlign w:val="superscript"/>
          <w:lang w:val="es-ES"/>
        </w:rPr>
        <w:t>2</w:t>
      </w:r>
      <w:r w:rsidR="006F5B52" w:rsidRPr="00AA6CBA">
        <w:rPr>
          <w:rFonts w:ascii="Times New Roman" w:hAnsi="Times New Roman" w:cs="Times New Roman"/>
          <w:vertAlign w:val="superscript"/>
          <w:lang w:val="es-ES"/>
        </w:rPr>
        <w:t>3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</w:t>
      </w:r>
    </w:p>
    <w:p w:rsidR="00034A53" w:rsidRPr="00AA6CBA" w:rsidRDefault="00BB58BB" w:rsidP="00AA6CBA">
      <w:pPr>
        <w:spacing w:after="200"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AA6CBA">
        <w:rPr>
          <w:rFonts w:ascii="Times New Roman" w:hAnsi="Times New Roman" w:cs="Times New Roman"/>
          <w:lang w:val="es-ES"/>
        </w:rPr>
        <w:t>Este trabajo pretende d</w:t>
      </w:r>
      <w:r w:rsidR="00034A53" w:rsidRPr="00AA6CBA">
        <w:rPr>
          <w:rFonts w:ascii="Times New Roman" w:hAnsi="Times New Roman" w:cs="Times New Roman"/>
          <w:lang w:val="es-ES"/>
        </w:rPr>
        <w:t>etect</w:t>
      </w:r>
      <w:r w:rsidR="00155FEF" w:rsidRPr="00AA6CBA">
        <w:rPr>
          <w:rFonts w:ascii="Times New Roman" w:hAnsi="Times New Roman" w:cs="Times New Roman"/>
          <w:lang w:val="es-ES"/>
        </w:rPr>
        <w:t>ar</w:t>
      </w:r>
      <w:r w:rsidR="009D536A" w:rsidRPr="00AA6CBA">
        <w:rPr>
          <w:rFonts w:ascii="Times New Roman" w:hAnsi="Times New Roman" w:cs="Times New Roman"/>
          <w:lang w:val="es-ES"/>
        </w:rPr>
        <w:t xml:space="preserve"> y cuantificar</w:t>
      </w:r>
      <w:r w:rsidR="00155FEF" w:rsidRPr="00AA6CBA">
        <w:rPr>
          <w:rFonts w:ascii="Times New Roman" w:hAnsi="Times New Roman" w:cs="Times New Roman"/>
          <w:lang w:val="es-ES"/>
        </w:rPr>
        <w:t xml:space="preserve"> anticuerpos Anti Toxoplasma </w:t>
      </w:r>
      <w:r w:rsidR="00034A53" w:rsidRPr="00AA6CBA">
        <w:rPr>
          <w:rFonts w:ascii="Times New Roman" w:hAnsi="Times New Roman" w:cs="Times New Roman"/>
          <w:lang w:val="es-ES"/>
        </w:rPr>
        <w:t xml:space="preserve">en </w:t>
      </w:r>
      <w:r w:rsidR="00AD47D1" w:rsidRPr="00AA6CBA">
        <w:rPr>
          <w:rFonts w:ascii="Times New Roman" w:hAnsi="Times New Roman" w:cs="Times New Roman"/>
          <w:lang w:val="es-ES"/>
        </w:rPr>
        <w:t>d</w:t>
      </w:r>
      <w:r w:rsidR="00034A53" w:rsidRPr="00AA6CBA">
        <w:rPr>
          <w:rFonts w:ascii="Times New Roman" w:hAnsi="Times New Roman" w:cs="Times New Roman"/>
          <w:lang w:val="es-ES"/>
        </w:rPr>
        <w:t xml:space="preserve">onadores sanos </w:t>
      </w:r>
      <w:r w:rsidR="007F73F0" w:rsidRPr="00AA6CBA">
        <w:rPr>
          <w:rFonts w:ascii="Times New Roman" w:hAnsi="Times New Roman" w:cs="Times New Roman"/>
          <w:lang w:val="es-ES"/>
        </w:rPr>
        <w:t xml:space="preserve">que acuden al </w:t>
      </w:r>
      <w:r w:rsidR="00034A53" w:rsidRPr="00AA6CBA">
        <w:rPr>
          <w:rFonts w:ascii="Times New Roman" w:hAnsi="Times New Roman" w:cs="Times New Roman"/>
          <w:lang w:val="es-ES"/>
        </w:rPr>
        <w:t xml:space="preserve">Banco de Sangre del Hospital </w:t>
      </w:r>
      <w:r w:rsidR="007F73F0" w:rsidRPr="00AA6CBA">
        <w:rPr>
          <w:rFonts w:ascii="Times New Roman" w:hAnsi="Times New Roman" w:cs="Times New Roman"/>
          <w:lang w:val="es-ES"/>
        </w:rPr>
        <w:t>Gener</w:t>
      </w:r>
      <w:r w:rsidR="003F6F1A" w:rsidRPr="00AA6CBA">
        <w:rPr>
          <w:rFonts w:ascii="Times New Roman" w:hAnsi="Times New Roman" w:cs="Times New Roman"/>
          <w:lang w:val="es-ES"/>
        </w:rPr>
        <w:t xml:space="preserve">al </w:t>
      </w:r>
      <w:r w:rsidR="007F73F0" w:rsidRPr="00AA6CBA">
        <w:rPr>
          <w:rFonts w:ascii="Times New Roman" w:hAnsi="Times New Roman" w:cs="Times New Roman"/>
          <w:lang w:val="es-ES"/>
        </w:rPr>
        <w:t xml:space="preserve">de </w:t>
      </w:r>
      <w:r w:rsidR="00034A53" w:rsidRPr="00AA6CBA">
        <w:rPr>
          <w:rFonts w:ascii="Times New Roman" w:hAnsi="Times New Roman" w:cs="Times New Roman"/>
          <w:lang w:val="es-ES"/>
        </w:rPr>
        <w:t>Tijuana.</w:t>
      </w:r>
    </w:p>
    <w:p w:rsidR="00D03710" w:rsidRPr="00AA6CBA" w:rsidRDefault="00D03710" w:rsidP="00AA6CBA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:rsidR="00AD47D1" w:rsidRPr="00AA6CBA" w:rsidRDefault="00034A53" w:rsidP="00AA6CBA">
      <w:pPr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  <w:r w:rsidRPr="00AA6CBA">
        <w:rPr>
          <w:rFonts w:ascii="Times New Roman" w:hAnsi="Times New Roman" w:cs="Times New Roman"/>
          <w:b/>
          <w:lang w:val="es-ES"/>
        </w:rPr>
        <w:t>Material y método</w:t>
      </w:r>
    </w:p>
    <w:p w:rsidR="003F081D" w:rsidRPr="00AA6CBA" w:rsidRDefault="00AD47D1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 w:eastAsia="es-MX"/>
        </w:rPr>
      </w:pPr>
      <w:r w:rsidRPr="00AA6CBA">
        <w:rPr>
          <w:rFonts w:ascii="Times New Roman" w:hAnsi="Times New Roman" w:cs="Times New Roman"/>
          <w:lang w:val="es-ES"/>
        </w:rPr>
        <w:t>El e</w:t>
      </w:r>
      <w:r w:rsidR="00034A53" w:rsidRPr="00AA6CBA">
        <w:rPr>
          <w:rFonts w:ascii="Times New Roman" w:hAnsi="Times New Roman" w:cs="Times New Roman"/>
          <w:lang w:val="es-ES"/>
        </w:rPr>
        <w:t xml:space="preserve">studio </w:t>
      </w:r>
      <w:r w:rsidRPr="00AA6CBA">
        <w:rPr>
          <w:rFonts w:ascii="Times New Roman" w:hAnsi="Times New Roman" w:cs="Times New Roman"/>
          <w:lang w:val="es-ES"/>
        </w:rPr>
        <w:t xml:space="preserve">fue de tipo </w:t>
      </w:r>
      <w:r w:rsidR="00034A53" w:rsidRPr="00AA6CBA">
        <w:rPr>
          <w:rFonts w:ascii="Times New Roman" w:hAnsi="Times New Roman" w:cs="Times New Roman"/>
          <w:lang w:val="es-ES"/>
        </w:rPr>
        <w:t>prospectivo observacional</w:t>
      </w:r>
      <w:r w:rsidR="009D536A" w:rsidRPr="00AA6CBA">
        <w:rPr>
          <w:rFonts w:ascii="Times New Roman" w:hAnsi="Times New Roman" w:cs="Times New Roman"/>
          <w:lang w:val="es-ES"/>
        </w:rPr>
        <w:t xml:space="preserve">, </w:t>
      </w:r>
      <w:r w:rsidRPr="00AA6CBA">
        <w:rPr>
          <w:rFonts w:ascii="Times New Roman" w:hAnsi="Times New Roman" w:cs="Times New Roman"/>
          <w:lang w:val="es-ES"/>
        </w:rPr>
        <w:t xml:space="preserve">donde </w:t>
      </w:r>
      <w:r w:rsidR="009D536A" w:rsidRPr="00AA6CBA">
        <w:rPr>
          <w:rFonts w:ascii="Times New Roman" w:hAnsi="Times New Roman" w:cs="Times New Roman"/>
          <w:lang w:val="es-ES"/>
        </w:rPr>
        <w:t>se determinó el tamaño de la muestra considerando el tot</w:t>
      </w:r>
      <w:r w:rsidR="00CF4A04" w:rsidRPr="00AA6CBA">
        <w:rPr>
          <w:rFonts w:ascii="Times New Roman" w:hAnsi="Times New Roman" w:cs="Times New Roman"/>
          <w:lang w:val="es-ES"/>
        </w:rPr>
        <w:t>al de donadores del año 2014</w:t>
      </w:r>
      <w:r w:rsidRPr="00AA6CBA">
        <w:rPr>
          <w:rFonts w:ascii="Times New Roman" w:hAnsi="Times New Roman" w:cs="Times New Roman"/>
          <w:lang w:val="es-ES"/>
        </w:rPr>
        <w:t>. P</w:t>
      </w:r>
      <w:r w:rsidR="009D536A" w:rsidRPr="00AA6CBA">
        <w:rPr>
          <w:rFonts w:ascii="Times New Roman" w:hAnsi="Times New Roman" w:cs="Times New Roman"/>
          <w:lang w:val="es-ES"/>
        </w:rPr>
        <w:t>ara la realización se requirió</w:t>
      </w:r>
      <w:r w:rsidR="00034A53" w:rsidRPr="00AA6CBA">
        <w:rPr>
          <w:rFonts w:ascii="Times New Roman" w:hAnsi="Times New Roman" w:cs="Times New Roman"/>
          <w:lang w:val="es-ES"/>
        </w:rPr>
        <w:t xml:space="preserve"> </w:t>
      </w:r>
      <w:r w:rsidR="009D536A" w:rsidRPr="00AA6CBA">
        <w:rPr>
          <w:rFonts w:ascii="Times New Roman" w:hAnsi="Times New Roman" w:cs="Times New Roman"/>
          <w:lang w:val="es-ES"/>
        </w:rPr>
        <w:t xml:space="preserve">de la </w:t>
      </w:r>
      <w:r w:rsidR="00155FEF" w:rsidRPr="00AA6CBA">
        <w:rPr>
          <w:rFonts w:ascii="Times New Roman" w:hAnsi="Times New Roman" w:cs="Times New Roman"/>
          <w:lang w:val="es-ES"/>
        </w:rPr>
        <w:t>participación de</w:t>
      </w:r>
      <w:r w:rsidR="00034A53" w:rsidRPr="00AA6CBA">
        <w:rPr>
          <w:rFonts w:ascii="Times New Roman" w:hAnsi="Times New Roman" w:cs="Times New Roman"/>
          <w:lang w:val="es-ES"/>
        </w:rPr>
        <w:t xml:space="preserve"> donadores </w:t>
      </w:r>
      <w:r w:rsidR="003F6F1A" w:rsidRPr="00AA6CBA">
        <w:rPr>
          <w:rFonts w:ascii="Times New Roman" w:hAnsi="Times New Roman" w:cs="Times New Roman"/>
          <w:lang w:val="es-ES"/>
        </w:rPr>
        <w:t>sanos</w:t>
      </w:r>
      <w:r w:rsidR="00CF4A04" w:rsidRPr="00AA6CBA">
        <w:rPr>
          <w:rFonts w:ascii="Times New Roman" w:hAnsi="Times New Roman" w:cs="Times New Roman"/>
          <w:lang w:val="es-ES"/>
        </w:rPr>
        <w:t xml:space="preserve"> del Hospital General Tijuana</w:t>
      </w:r>
      <w:r w:rsidRPr="00AA6CBA">
        <w:rPr>
          <w:rFonts w:ascii="Times New Roman" w:hAnsi="Times New Roman" w:cs="Times New Roman"/>
          <w:lang w:val="es-ES"/>
        </w:rPr>
        <w:t>. L</w:t>
      </w:r>
      <w:r w:rsidR="003F081D" w:rsidRPr="00AA6CBA">
        <w:rPr>
          <w:rFonts w:ascii="Times New Roman" w:eastAsia="Times New Roman" w:hAnsi="Times New Roman" w:cs="Times New Roman"/>
          <w:color w:val="000000"/>
          <w:lang w:val="es-ES" w:eastAsia="es-MX"/>
        </w:rPr>
        <w:t xml:space="preserve">os criterios de inclusión para los sujetos de estudio son: 1) donantes de sangre voluntarios, 2) mayores de 18 años y menores de 65 años, y 3) los que aceptaron participar en el estudio. </w:t>
      </w:r>
    </w:p>
    <w:p w:rsidR="003F081D" w:rsidRPr="00AA6CBA" w:rsidRDefault="003F081D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 w:eastAsia="es-MX"/>
        </w:rPr>
      </w:pPr>
    </w:p>
    <w:p w:rsidR="003506F7" w:rsidRPr="00AA6CBA" w:rsidRDefault="003506F7" w:rsidP="00AA6CBA">
      <w:pPr>
        <w:spacing w:after="200" w:line="360" w:lineRule="auto"/>
        <w:jc w:val="both"/>
        <w:rPr>
          <w:rFonts w:ascii="Times New Roman" w:hAnsi="Times New Roman" w:cs="Times New Roman"/>
          <w:lang w:val="es-ES"/>
        </w:rPr>
      </w:pPr>
      <w:r w:rsidRPr="00AA6CBA">
        <w:rPr>
          <w:rFonts w:ascii="Times New Roman" w:hAnsi="Times New Roman" w:cs="Times New Roman"/>
          <w:lang w:val="es-ES"/>
        </w:rPr>
        <w:t>S</w:t>
      </w:r>
      <w:r w:rsidR="00CF4A04" w:rsidRPr="00AA6CBA">
        <w:rPr>
          <w:rFonts w:ascii="Times New Roman" w:hAnsi="Times New Roman" w:cs="Times New Roman"/>
          <w:lang w:val="es-ES"/>
        </w:rPr>
        <w:t xml:space="preserve">e solicitó el </w:t>
      </w:r>
      <w:r w:rsidR="009D536A" w:rsidRPr="00AA6CBA">
        <w:rPr>
          <w:rFonts w:ascii="Times New Roman" w:hAnsi="Times New Roman" w:cs="Times New Roman"/>
          <w:lang w:val="es-ES"/>
        </w:rPr>
        <w:t xml:space="preserve">llenado de </w:t>
      </w:r>
      <w:r w:rsidR="00CF4A04" w:rsidRPr="00AA6CBA">
        <w:rPr>
          <w:rFonts w:ascii="Times New Roman" w:hAnsi="Times New Roman" w:cs="Times New Roman"/>
          <w:lang w:val="es-ES"/>
        </w:rPr>
        <w:t xml:space="preserve">un </w:t>
      </w:r>
      <w:r w:rsidRPr="00AA6CBA">
        <w:rPr>
          <w:rFonts w:ascii="Times New Roman" w:hAnsi="Times New Roman" w:cs="Times New Roman"/>
          <w:lang w:val="es-ES"/>
        </w:rPr>
        <w:t xml:space="preserve">formulario donde se registraran datos </w:t>
      </w:r>
      <w:r w:rsidR="00AD47D1" w:rsidRPr="00AA6CBA">
        <w:rPr>
          <w:rFonts w:ascii="Times New Roman" w:hAnsi="Times New Roman" w:cs="Times New Roman"/>
          <w:lang w:val="es-ES"/>
        </w:rPr>
        <w:t xml:space="preserve">como </w:t>
      </w:r>
      <w:r w:rsidRPr="00AA6CBA">
        <w:rPr>
          <w:rFonts w:ascii="Times New Roman" w:hAnsi="Times New Roman" w:cs="Times New Roman"/>
          <w:lang w:val="es-ES"/>
        </w:rPr>
        <w:t xml:space="preserve">edad, sexo, lugar de residencia </w:t>
      </w:r>
      <w:r w:rsidR="00FE3732" w:rsidRPr="00AA6CBA">
        <w:rPr>
          <w:rFonts w:ascii="Times New Roman" w:hAnsi="Times New Roman" w:cs="Times New Roman"/>
          <w:lang w:val="es-ES"/>
        </w:rPr>
        <w:t>(</w:t>
      </w:r>
      <w:r w:rsidR="00AD47D1" w:rsidRPr="00AA6CBA">
        <w:rPr>
          <w:rFonts w:ascii="Times New Roman" w:hAnsi="Times New Roman" w:cs="Times New Roman"/>
          <w:lang w:val="es-ES"/>
        </w:rPr>
        <w:t>u</w:t>
      </w:r>
      <w:r w:rsidR="00FE3732" w:rsidRPr="00AA6CBA">
        <w:rPr>
          <w:rFonts w:ascii="Times New Roman" w:hAnsi="Times New Roman" w:cs="Times New Roman"/>
          <w:lang w:val="es-ES"/>
        </w:rPr>
        <w:t>rbana</w:t>
      </w:r>
      <w:r w:rsidR="00AD47D1" w:rsidRPr="00AA6CBA">
        <w:rPr>
          <w:rFonts w:ascii="Times New Roman" w:hAnsi="Times New Roman" w:cs="Times New Roman"/>
          <w:lang w:val="es-ES"/>
        </w:rPr>
        <w:t>,</w:t>
      </w:r>
      <w:r w:rsidRPr="00AA6CBA">
        <w:rPr>
          <w:rFonts w:ascii="Times New Roman" w:hAnsi="Times New Roman" w:cs="Times New Roman"/>
          <w:lang w:val="es-ES"/>
        </w:rPr>
        <w:t xml:space="preserve"> </w:t>
      </w:r>
      <w:r w:rsidR="00AD47D1" w:rsidRPr="00AA6CBA">
        <w:rPr>
          <w:rFonts w:ascii="Times New Roman" w:hAnsi="Times New Roman" w:cs="Times New Roman"/>
          <w:lang w:val="es-ES"/>
        </w:rPr>
        <w:t>r</w:t>
      </w:r>
      <w:r w:rsidRPr="00AA6CBA">
        <w:rPr>
          <w:rFonts w:ascii="Times New Roman" w:hAnsi="Times New Roman" w:cs="Times New Roman"/>
          <w:lang w:val="es-ES"/>
        </w:rPr>
        <w:t>ural</w:t>
      </w:r>
      <w:r w:rsidR="00AD47D1" w:rsidRPr="00AA6CBA">
        <w:rPr>
          <w:rFonts w:ascii="Times New Roman" w:hAnsi="Times New Roman" w:cs="Times New Roman"/>
          <w:lang w:val="es-ES"/>
        </w:rPr>
        <w:t>),</w:t>
      </w:r>
      <w:r w:rsidR="006976CC" w:rsidRPr="00AA6CBA">
        <w:rPr>
          <w:rFonts w:ascii="Times New Roman" w:hAnsi="Times New Roman" w:cs="Times New Roman"/>
          <w:lang w:val="es-ES"/>
        </w:rPr>
        <w:t xml:space="preserve"> </w:t>
      </w:r>
      <w:r w:rsidR="00CF4A04" w:rsidRPr="00AA6CBA">
        <w:rPr>
          <w:rFonts w:ascii="Times New Roman" w:hAnsi="Times New Roman" w:cs="Times New Roman"/>
          <w:lang w:val="es-ES"/>
        </w:rPr>
        <w:t xml:space="preserve">si </w:t>
      </w:r>
      <w:r w:rsidR="00AD47D1" w:rsidRPr="00AA6CBA">
        <w:rPr>
          <w:rFonts w:ascii="Times New Roman" w:hAnsi="Times New Roman" w:cs="Times New Roman"/>
          <w:lang w:val="es-ES"/>
        </w:rPr>
        <w:t>se tienen</w:t>
      </w:r>
      <w:r w:rsidR="006976CC" w:rsidRPr="00AA6CBA">
        <w:rPr>
          <w:rFonts w:ascii="Times New Roman" w:hAnsi="Times New Roman" w:cs="Times New Roman"/>
          <w:lang w:val="es-ES"/>
        </w:rPr>
        <w:t xml:space="preserve"> mascotas</w:t>
      </w:r>
      <w:r w:rsidR="00CF4A04" w:rsidRPr="00AA6CBA">
        <w:rPr>
          <w:rFonts w:ascii="Times New Roman" w:hAnsi="Times New Roman" w:cs="Times New Roman"/>
          <w:lang w:val="es-ES"/>
        </w:rPr>
        <w:t xml:space="preserve"> en casa</w:t>
      </w:r>
      <w:r w:rsidR="00AD47D1" w:rsidRPr="00AA6CBA">
        <w:rPr>
          <w:rFonts w:ascii="Times New Roman" w:hAnsi="Times New Roman" w:cs="Times New Roman"/>
          <w:lang w:val="es-ES"/>
        </w:rPr>
        <w:t xml:space="preserve">, </w:t>
      </w:r>
      <w:r w:rsidR="00CF4A04" w:rsidRPr="00AA6CBA">
        <w:rPr>
          <w:rFonts w:ascii="Times New Roman" w:hAnsi="Times New Roman" w:cs="Times New Roman"/>
          <w:lang w:val="es-ES"/>
        </w:rPr>
        <w:t>además del</w:t>
      </w:r>
      <w:r w:rsidR="006976CC" w:rsidRPr="00AA6CBA">
        <w:rPr>
          <w:rFonts w:ascii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hAnsi="Times New Roman" w:cs="Times New Roman"/>
          <w:lang w:val="es-ES"/>
        </w:rPr>
        <w:t>consentimiento informado</w:t>
      </w:r>
      <w:r w:rsidR="003F6F1A" w:rsidRPr="00AA6CBA">
        <w:rPr>
          <w:rFonts w:ascii="Times New Roman" w:hAnsi="Times New Roman" w:cs="Times New Roman"/>
          <w:lang w:val="es-ES"/>
        </w:rPr>
        <w:t xml:space="preserve"> </w:t>
      </w:r>
      <w:r w:rsidR="006976CC" w:rsidRPr="00AA6CBA">
        <w:rPr>
          <w:rFonts w:ascii="Times New Roman" w:hAnsi="Times New Roman" w:cs="Times New Roman"/>
          <w:lang w:val="es-ES"/>
        </w:rPr>
        <w:t xml:space="preserve">y </w:t>
      </w:r>
      <w:r w:rsidRPr="00AA6CBA">
        <w:rPr>
          <w:rFonts w:ascii="Times New Roman" w:hAnsi="Times New Roman" w:cs="Times New Roman"/>
          <w:lang w:val="es-ES"/>
        </w:rPr>
        <w:t>su aprobación.</w:t>
      </w:r>
    </w:p>
    <w:p w:rsidR="00D41603" w:rsidRPr="00AA6CBA" w:rsidRDefault="003506F7" w:rsidP="00AA6CBA">
      <w:pPr>
        <w:spacing w:after="200" w:line="360" w:lineRule="auto"/>
        <w:jc w:val="both"/>
        <w:rPr>
          <w:rFonts w:ascii="Times New Roman" w:hAnsi="Times New Roman" w:cs="Times New Roman"/>
          <w:b/>
          <w:lang w:val="es-ES"/>
        </w:rPr>
      </w:pPr>
      <w:r w:rsidRPr="00AA6CBA">
        <w:rPr>
          <w:rFonts w:ascii="Times New Roman" w:hAnsi="Times New Roman" w:cs="Times New Roman"/>
          <w:lang w:val="es-ES"/>
        </w:rPr>
        <w:t xml:space="preserve">Para la detección de los anticuerpos se colectaron 3 mL de suero de </w:t>
      </w:r>
      <w:r w:rsidR="00FE3732" w:rsidRPr="00AA6CBA">
        <w:rPr>
          <w:rFonts w:ascii="Times New Roman" w:hAnsi="Times New Roman" w:cs="Times New Roman"/>
          <w:lang w:val="es-ES"/>
        </w:rPr>
        <w:t>l</w:t>
      </w:r>
      <w:r w:rsidRPr="00AA6CBA">
        <w:rPr>
          <w:rFonts w:ascii="Times New Roman" w:hAnsi="Times New Roman" w:cs="Times New Roman"/>
          <w:lang w:val="es-ES"/>
        </w:rPr>
        <w:t>os donadores</w:t>
      </w:r>
      <w:r w:rsidR="00AD47D1" w:rsidRPr="00AA6CBA">
        <w:rPr>
          <w:rFonts w:ascii="Times New Roman" w:hAnsi="Times New Roman" w:cs="Times New Roman"/>
          <w:lang w:val="es-ES"/>
        </w:rPr>
        <w:t>,</w:t>
      </w:r>
      <w:r w:rsidRPr="00AA6CBA">
        <w:rPr>
          <w:rFonts w:ascii="Times New Roman" w:hAnsi="Times New Roman" w:cs="Times New Roman"/>
          <w:lang w:val="es-ES"/>
        </w:rPr>
        <w:t xml:space="preserve"> los cuales</w:t>
      </w:r>
      <w:r w:rsidR="00CF4A04" w:rsidRPr="00AA6CBA">
        <w:rPr>
          <w:rFonts w:ascii="Times New Roman" w:hAnsi="Times New Roman" w:cs="Times New Roman"/>
          <w:lang w:val="es-ES"/>
        </w:rPr>
        <w:t xml:space="preserve"> </w:t>
      </w:r>
      <w:r w:rsidRPr="00AA6CBA">
        <w:rPr>
          <w:rFonts w:ascii="Times New Roman" w:hAnsi="Times New Roman" w:cs="Times New Roman"/>
          <w:lang w:val="es-ES"/>
        </w:rPr>
        <w:t xml:space="preserve">se usaron para </w:t>
      </w:r>
      <w:r w:rsidR="00CF4A04" w:rsidRPr="00AA6CBA">
        <w:rPr>
          <w:rFonts w:ascii="Times New Roman" w:hAnsi="Times New Roman" w:cs="Times New Roman"/>
          <w:lang w:val="es-ES"/>
        </w:rPr>
        <w:t>la</w:t>
      </w:r>
      <w:r w:rsidRPr="00AA6CBA">
        <w:rPr>
          <w:rFonts w:ascii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hAnsi="Times New Roman" w:cs="Times New Roman"/>
          <w:lang w:val="es-ES"/>
        </w:rPr>
        <w:t>detección de anticuerpos anti-</w:t>
      </w:r>
      <w:r w:rsidR="00155FEF" w:rsidRPr="00AA6CBA">
        <w:rPr>
          <w:rFonts w:ascii="Times New Roman" w:hAnsi="Times New Roman" w:cs="Times New Roman"/>
          <w:i/>
          <w:lang w:val="es-ES"/>
        </w:rPr>
        <w:t>T</w:t>
      </w:r>
      <w:r w:rsidR="00034A53" w:rsidRPr="00AA6CBA">
        <w:rPr>
          <w:rFonts w:ascii="Times New Roman" w:hAnsi="Times New Roman" w:cs="Times New Roman"/>
          <w:i/>
          <w:lang w:val="es-ES"/>
        </w:rPr>
        <w:t>oxoplasma</w:t>
      </w:r>
      <w:r w:rsidRPr="00AA6CBA">
        <w:rPr>
          <w:rFonts w:ascii="Times New Roman" w:hAnsi="Times New Roman" w:cs="Times New Roman"/>
          <w:lang w:val="es-ES"/>
        </w:rPr>
        <w:t xml:space="preserve"> IgG e IgM</w:t>
      </w:r>
      <w:r w:rsidR="00AD47D1" w:rsidRPr="00AA6CBA">
        <w:rPr>
          <w:rFonts w:ascii="Times New Roman" w:hAnsi="Times New Roman" w:cs="Times New Roman"/>
          <w:lang w:val="es-ES"/>
        </w:rPr>
        <w:t xml:space="preserve"> que</w:t>
      </w:r>
      <w:r w:rsidR="00CF4A04" w:rsidRPr="00AA6CBA">
        <w:rPr>
          <w:rFonts w:ascii="Times New Roman" w:hAnsi="Times New Roman" w:cs="Times New Roman"/>
          <w:lang w:val="es-ES"/>
        </w:rPr>
        <w:t xml:space="preserve"> </w:t>
      </w:r>
      <w:r w:rsidRPr="00AA6CBA">
        <w:rPr>
          <w:rFonts w:ascii="Times New Roman" w:hAnsi="Times New Roman" w:cs="Times New Roman"/>
          <w:lang w:val="es-ES"/>
        </w:rPr>
        <w:t>fueron procesados en equipo Access II:</w:t>
      </w:r>
      <w:r w:rsidR="00CF4A04" w:rsidRPr="00AA6CBA">
        <w:rPr>
          <w:rFonts w:ascii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hAnsi="Times New Roman" w:cs="Times New Roman"/>
          <w:lang w:val="es-ES"/>
        </w:rPr>
        <w:t xml:space="preserve">por método de </w:t>
      </w:r>
      <w:r w:rsidR="00D41603" w:rsidRPr="00AA6CBA">
        <w:rPr>
          <w:rFonts w:ascii="Times New Roman" w:hAnsi="Times New Roman" w:cs="Times New Roman"/>
          <w:lang w:val="es-ES"/>
        </w:rPr>
        <w:t>quimioluminiscencia</w:t>
      </w:r>
      <w:r w:rsidR="00CF4A04" w:rsidRPr="00AA6CBA">
        <w:rPr>
          <w:rFonts w:ascii="Times New Roman" w:hAnsi="Times New Roman" w:cs="Times New Roman"/>
          <w:lang w:val="es-ES"/>
        </w:rPr>
        <w:t>, Beckman Coulter</w:t>
      </w:r>
      <w:r w:rsidRPr="00AA6CBA">
        <w:rPr>
          <w:rFonts w:ascii="Times New Roman" w:hAnsi="Times New Roman" w:cs="Times New Roman"/>
          <w:lang w:val="es-ES"/>
        </w:rPr>
        <w:t xml:space="preserve"> los equipos presentan 99.77</w:t>
      </w:r>
      <w:r w:rsidR="00AD47D1" w:rsidRPr="00AA6CBA">
        <w:rPr>
          <w:rFonts w:ascii="Times New Roman" w:hAnsi="Times New Roman" w:cs="Times New Roman"/>
          <w:lang w:val="es-ES"/>
        </w:rPr>
        <w:t xml:space="preserve"> </w:t>
      </w:r>
      <w:r w:rsidRPr="00AA6CBA">
        <w:rPr>
          <w:rFonts w:ascii="Times New Roman" w:hAnsi="Times New Roman" w:cs="Times New Roman"/>
          <w:lang w:val="es-ES"/>
        </w:rPr>
        <w:t>% de sensibilidad y 100</w:t>
      </w:r>
      <w:r w:rsidR="00AD47D1" w:rsidRPr="00AA6CBA">
        <w:rPr>
          <w:rFonts w:ascii="Times New Roman" w:hAnsi="Times New Roman" w:cs="Times New Roman"/>
          <w:lang w:val="es-ES"/>
        </w:rPr>
        <w:t xml:space="preserve"> </w:t>
      </w:r>
      <w:r w:rsidRPr="00AA6CBA">
        <w:rPr>
          <w:rFonts w:ascii="Times New Roman" w:hAnsi="Times New Roman" w:cs="Times New Roman"/>
          <w:lang w:val="es-ES"/>
        </w:rPr>
        <w:t>% de especificidad, se usaron 5 niveles de calibración 0,10.5,50,120,</w:t>
      </w:r>
      <w:r w:rsidR="00FE3732" w:rsidRPr="00AA6CBA">
        <w:rPr>
          <w:rFonts w:ascii="Times New Roman" w:hAnsi="Times New Roman" w:cs="Times New Roman"/>
          <w:lang w:val="es-ES"/>
        </w:rPr>
        <w:t>240 y 450</w:t>
      </w:r>
      <w:r w:rsidR="006976CC" w:rsidRPr="00AA6CBA">
        <w:rPr>
          <w:rFonts w:ascii="Times New Roman" w:hAnsi="Times New Roman" w:cs="Times New Roman"/>
          <w:lang w:val="es-ES"/>
        </w:rPr>
        <w:t xml:space="preserve"> </w:t>
      </w:r>
      <w:r w:rsidR="00FE3732" w:rsidRPr="00AA6CBA">
        <w:rPr>
          <w:rFonts w:ascii="Times New Roman" w:eastAsia="Times New Roman" w:hAnsi="Times New Roman" w:cs="Times New Roman"/>
          <w:lang w:val="es-ES"/>
        </w:rPr>
        <w:t>UI/mL</w:t>
      </w:r>
      <w:r w:rsidR="009D536A" w:rsidRPr="00AA6CBA">
        <w:rPr>
          <w:rFonts w:ascii="Times New Roman" w:hAnsi="Times New Roman" w:cs="Times New Roman"/>
          <w:lang w:val="es-ES"/>
        </w:rPr>
        <w:t>,</w:t>
      </w:r>
      <w:r w:rsidR="009D536A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BB58BB" w:rsidRPr="00AA6CBA">
        <w:rPr>
          <w:rFonts w:ascii="Times New Roman" w:eastAsia="Times New Roman" w:hAnsi="Times New Roman" w:cs="Times New Roman"/>
          <w:lang w:val="es-ES"/>
        </w:rPr>
        <w:t>e</w:t>
      </w:r>
      <w:r w:rsidR="009D536A" w:rsidRPr="00AA6CBA">
        <w:rPr>
          <w:rFonts w:ascii="Times New Roman" w:eastAsia="Times New Roman" w:hAnsi="Times New Roman" w:cs="Times New Roman"/>
          <w:lang w:val="es-ES"/>
        </w:rPr>
        <w:t>l punto de corte</w:t>
      </w:r>
      <w:r w:rsidR="00FE3732" w:rsidRPr="00AA6CBA">
        <w:rPr>
          <w:rFonts w:ascii="Times New Roman" w:eastAsia="Times New Roman" w:hAnsi="Times New Roman" w:cs="Times New Roman"/>
          <w:lang w:val="es-ES"/>
        </w:rPr>
        <w:t xml:space="preserve"> para positividad</w:t>
      </w:r>
      <w:r w:rsidR="009D536A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FE3732" w:rsidRPr="00AA6CBA">
        <w:rPr>
          <w:rFonts w:ascii="Times New Roman" w:eastAsia="Times New Roman" w:hAnsi="Times New Roman" w:cs="Times New Roman"/>
          <w:lang w:val="es-ES"/>
        </w:rPr>
        <w:t>con 6 UI/</w:t>
      </w:r>
      <w:r w:rsidR="009D536A" w:rsidRPr="00AA6CBA">
        <w:rPr>
          <w:rFonts w:ascii="Times New Roman" w:eastAsia="Times New Roman" w:hAnsi="Times New Roman" w:cs="Times New Roman"/>
          <w:lang w:val="es-ES"/>
        </w:rPr>
        <w:t xml:space="preserve">mL </w:t>
      </w:r>
      <w:r w:rsidR="009D536A" w:rsidRPr="00AA6CBA">
        <w:rPr>
          <w:rFonts w:ascii="Times New Roman" w:eastAsia="Times New Roman" w:hAnsi="Times New Roman" w:cs="Times New Roman"/>
          <w:lang w:val="es-ES"/>
        </w:rPr>
        <w:lastRenderedPageBreak/>
        <w:t>para IgG y No Reactivo</w:t>
      </w:r>
      <w:r w:rsidR="00CF4A04" w:rsidRPr="00AA6CBA">
        <w:rPr>
          <w:rFonts w:ascii="Times New Roman" w:eastAsia="Times New Roman" w:hAnsi="Times New Roman" w:cs="Times New Roman"/>
          <w:lang w:val="es-ES"/>
        </w:rPr>
        <w:t xml:space="preserve"> o</w:t>
      </w:r>
      <w:r w:rsidR="00FE3732" w:rsidRPr="00AA6CBA">
        <w:rPr>
          <w:rFonts w:ascii="Times New Roman" w:eastAsia="Times New Roman" w:hAnsi="Times New Roman" w:cs="Times New Roman"/>
          <w:lang w:val="es-ES"/>
        </w:rPr>
        <w:t xml:space="preserve"> valor mayor a 1UI/mL </w:t>
      </w:r>
      <w:r w:rsidR="00CF4A04" w:rsidRPr="00AA6CBA">
        <w:rPr>
          <w:rFonts w:ascii="Times New Roman" w:eastAsia="Times New Roman" w:hAnsi="Times New Roman" w:cs="Times New Roman"/>
          <w:lang w:val="es-ES"/>
        </w:rPr>
        <w:t>para considerar</w:t>
      </w:r>
      <w:r w:rsidR="00FE3732" w:rsidRPr="00AA6CBA">
        <w:rPr>
          <w:rFonts w:ascii="Times New Roman" w:eastAsia="Times New Roman" w:hAnsi="Times New Roman" w:cs="Times New Roman"/>
          <w:lang w:val="es-ES"/>
        </w:rPr>
        <w:t xml:space="preserve"> posi</w:t>
      </w:r>
      <w:r w:rsidR="00A768A1" w:rsidRPr="00AA6CBA">
        <w:rPr>
          <w:rFonts w:ascii="Times New Roman" w:eastAsia="Times New Roman" w:hAnsi="Times New Roman" w:cs="Times New Roman"/>
          <w:lang w:val="es-ES"/>
        </w:rPr>
        <w:t>tivo</w:t>
      </w:r>
      <w:r w:rsidR="009D536A" w:rsidRPr="00AA6CBA">
        <w:rPr>
          <w:rFonts w:ascii="Times New Roman" w:eastAsia="Times New Roman" w:hAnsi="Times New Roman" w:cs="Times New Roman"/>
          <w:lang w:val="es-ES"/>
        </w:rPr>
        <w:t xml:space="preserve"> IgM</w:t>
      </w:r>
      <w:r w:rsidR="00CF4A04" w:rsidRPr="00AA6CBA">
        <w:rPr>
          <w:rFonts w:ascii="Times New Roman" w:eastAsia="Times New Roman" w:hAnsi="Times New Roman" w:cs="Times New Roman"/>
          <w:lang w:val="es-ES"/>
        </w:rPr>
        <w:t>,</w:t>
      </w:r>
      <w:r w:rsidR="00A768A1" w:rsidRPr="00AA6CBA">
        <w:rPr>
          <w:rFonts w:ascii="Times New Roman" w:eastAsia="Times New Roman" w:hAnsi="Times New Roman" w:cs="Times New Roman"/>
          <w:lang w:val="es-ES"/>
        </w:rPr>
        <w:t xml:space="preserve"> según instrucción de fabricante</w:t>
      </w:r>
      <w:r w:rsidR="009D536A" w:rsidRPr="00AA6CBA">
        <w:rPr>
          <w:rFonts w:ascii="Times New Roman" w:eastAsia="Times New Roman" w:hAnsi="Times New Roman" w:cs="Times New Roman"/>
          <w:lang w:val="es-ES"/>
        </w:rPr>
        <w:t xml:space="preserve">, la calibración </w:t>
      </w:r>
      <w:r w:rsidR="00CF4A04" w:rsidRPr="00AA6CBA">
        <w:rPr>
          <w:rFonts w:ascii="Times New Roman" w:eastAsia="Times New Roman" w:hAnsi="Times New Roman" w:cs="Times New Roman"/>
          <w:lang w:val="es-ES"/>
        </w:rPr>
        <w:t xml:space="preserve">se </w:t>
      </w:r>
      <w:r w:rsidR="00AD47D1" w:rsidRPr="00AA6CBA">
        <w:rPr>
          <w:rFonts w:ascii="Times New Roman" w:eastAsia="Times New Roman" w:hAnsi="Times New Roman" w:cs="Times New Roman"/>
          <w:lang w:val="es-ES"/>
        </w:rPr>
        <w:t xml:space="preserve">realizó </w:t>
      </w:r>
      <w:r w:rsidR="009D536A" w:rsidRPr="00AA6CBA">
        <w:rPr>
          <w:rFonts w:ascii="Times New Roman" w:eastAsia="Times New Roman" w:hAnsi="Times New Roman" w:cs="Times New Roman"/>
          <w:lang w:val="es-ES"/>
        </w:rPr>
        <w:t>con el Patrón Internacional de Referencia de la OMS TOXS 60</w:t>
      </w:r>
      <w:r w:rsidR="00FE3732" w:rsidRPr="00AA6CBA">
        <w:rPr>
          <w:rFonts w:ascii="Times New Roman" w:eastAsia="Times New Roman" w:hAnsi="Times New Roman" w:cs="Times New Roman"/>
          <w:lang w:val="es-ES"/>
        </w:rPr>
        <w:t>,</w:t>
      </w:r>
      <w:r w:rsidR="009D536A" w:rsidRPr="00AA6CBA">
        <w:rPr>
          <w:rFonts w:ascii="Times New Roman" w:hAnsi="Times New Roman" w:cs="Times New Roman"/>
          <w:lang w:val="es-ES"/>
        </w:rPr>
        <w:t xml:space="preserve"> </w:t>
      </w:r>
      <w:r w:rsidR="00AD47D1" w:rsidRPr="00AA6CBA">
        <w:rPr>
          <w:rFonts w:ascii="Times New Roman" w:hAnsi="Times New Roman" w:cs="Times New Roman"/>
          <w:lang w:val="es-ES"/>
        </w:rPr>
        <w:t xml:space="preserve">y </w:t>
      </w:r>
      <w:r w:rsidR="009D536A" w:rsidRPr="00AA6CBA">
        <w:rPr>
          <w:rFonts w:ascii="Times New Roman" w:hAnsi="Times New Roman" w:cs="Times New Roman"/>
          <w:lang w:val="es-ES"/>
        </w:rPr>
        <w:t xml:space="preserve">los datos fueron analizados con software </w:t>
      </w:r>
      <w:r w:rsidR="00FE3732" w:rsidRPr="00AA6CBA">
        <w:rPr>
          <w:rFonts w:ascii="Times New Roman" w:hAnsi="Times New Roman" w:cs="Times New Roman"/>
          <w:lang w:val="es-ES"/>
        </w:rPr>
        <w:t xml:space="preserve">compatible con Windows </w:t>
      </w:r>
      <w:r w:rsidR="009D536A" w:rsidRPr="00AA6CBA">
        <w:rPr>
          <w:rFonts w:ascii="Times New Roman" w:hAnsi="Times New Roman" w:cs="Times New Roman"/>
          <w:lang w:val="es-ES"/>
        </w:rPr>
        <w:t>SSPS</w:t>
      </w:r>
      <w:r w:rsidR="00FE3732" w:rsidRPr="00AA6CBA">
        <w:rPr>
          <w:rFonts w:ascii="Times New Roman" w:hAnsi="Times New Roman" w:cs="Times New Roman"/>
          <w:lang w:val="es-ES"/>
        </w:rPr>
        <w:t xml:space="preserve"> </w:t>
      </w:r>
      <w:r w:rsidR="009D536A" w:rsidRPr="00AA6CBA">
        <w:rPr>
          <w:rFonts w:ascii="Times New Roman" w:hAnsi="Times New Roman" w:cs="Times New Roman"/>
          <w:lang w:val="es-ES"/>
        </w:rPr>
        <w:t>20V</w:t>
      </w:r>
      <w:r w:rsidR="00CF4A04" w:rsidRPr="00AA6CBA">
        <w:rPr>
          <w:rFonts w:ascii="Times New Roman" w:hAnsi="Times New Roman" w:cs="Times New Roman"/>
          <w:lang w:val="es-ES"/>
        </w:rPr>
        <w:t>.</w:t>
      </w:r>
    </w:p>
    <w:p w:rsidR="00CF4A04" w:rsidRPr="00AA6CBA" w:rsidRDefault="00CF4A04" w:rsidP="00AA6CBA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:rsidR="00AD47D1" w:rsidRPr="00AA6CBA" w:rsidRDefault="00D41603" w:rsidP="00AA6CBA">
      <w:pPr>
        <w:spacing w:line="360" w:lineRule="auto"/>
        <w:jc w:val="both"/>
        <w:rPr>
          <w:rFonts w:ascii="Times New Roman" w:eastAsia="Times New Roman" w:hAnsi="Times New Roman" w:cs="Times New Roman"/>
          <w:b/>
          <w:lang w:val="es-ES"/>
        </w:rPr>
      </w:pPr>
      <w:r w:rsidRPr="00AA6CBA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="00A54341" w:rsidRPr="00AA6CBA">
        <w:rPr>
          <w:rFonts w:ascii="Times New Roman" w:eastAsia="Times New Roman" w:hAnsi="Times New Roman" w:cs="Times New Roman"/>
          <w:b/>
          <w:lang w:val="es-ES"/>
        </w:rPr>
        <w:t>Resultados</w:t>
      </w:r>
    </w:p>
    <w:p w:rsidR="00747CBC" w:rsidRPr="00AA6CBA" w:rsidRDefault="00FE3732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AA6CBA">
        <w:rPr>
          <w:rFonts w:ascii="Times New Roman" w:eastAsia="Times New Roman" w:hAnsi="Times New Roman" w:cs="Times New Roman"/>
          <w:lang w:val="es-ES"/>
        </w:rPr>
        <w:t>Se registraron 525 personas</w:t>
      </w:r>
      <w:r w:rsidR="00747CBC" w:rsidRPr="00AA6CBA">
        <w:rPr>
          <w:rFonts w:ascii="Times New Roman" w:eastAsia="Times New Roman" w:hAnsi="Times New Roman" w:cs="Times New Roman"/>
          <w:lang w:val="es-ES"/>
        </w:rPr>
        <w:t xml:space="preserve">, 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pero </w:t>
      </w:r>
      <w:r w:rsidR="00747CBC" w:rsidRPr="00AA6CBA">
        <w:rPr>
          <w:rFonts w:ascii="Times New Roman" w:eastAsia="Times New Roman" w:hAnsi="Times New Roman" w:cs="Times New Roman"/>
          <w:lang w:val="es-ES"/>
        </w:rPr>
        <w:t>se descartaron 40 porque no concluyeron los formularios y no cubrieron los requisitos de la donación.</w:t>
      </w:r>
    </w:p>
    <w:p w:rsidR="00FE3732" w:rsidRPr="00AA6CBA" w:rsidRDefault="00937A63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AA6CBA">
        <w:rPr>
          <w:rFonts w:ascii="Times New Roman" w:eastAsia="Times New Roman" w:hAnsi="Times New Roman" w:cs="Times New Roman"/>
          <w:lang w:val="es-ES"/>
        </w:rPr>
        <w:t xml:space="preserve">Así </w:t>
      </w:r>
      <w:r w:rsidR="00747CBC" w:rsidRPr="00AA6CBA">
        <w:rPr>
          <w:rFonts w:ascii="Times New Roman" w:eastAsia="Times New Roman" w:hAnsi="Times New Roman" w:cs="Times New Roman"/>
          <w:lang w:val="es-ES"/>
        </w:rPr>
        <w:t>que</w:t>
      </w:r>
      <w:r w:rsidR="00FE3732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747CBC" w:rsidRPr="00AA6CBA">
        <w:rPr>
          <w:rFonts w:ascii="Times New Roman" w:eastAsia="Times New Roman" w:hAnsi="Times New Roman" w:cs="Times New Roman"/>
          <w:lang w:val="es-ES"/>
        </w:rPr>
        <w:t xml:space="preserve">solamente se </w:t>
      </w:r>
      <w:r w:rsidR="008C2904" w:rsidRPr="00AA6CBA">
        <w:rPr>
          <w:rFonts w:ascii="Times New Roman" w:eastAsia="Times New Roman" w:hAnsi="Times New Roman" w:cs="Times New Roman"/>
          <w:lang w:val="es-ES"/>
        </w:rPr>
        <w:t>procesaron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485 </w:t>
      </w:r>
      <w:r w:rsidR="008C2904" w:rsidRPr="00AA6CBA">
        <w:rPr>
          <w:rFonts w:ascii="Times New Roman" w:eastAsia="Times New Roman" w:hAnsi="Times New Roman" w:cs="Times New Roman"/>
          <w:lang w:val="es-ES"/>
        </w:rPr>
        <w:t>sueros</w:t>
      </w:r>
      <w:r w:rsidR="00E77118" w:rsidRPr="00AA6CBA">
        <w:rPr>
          <w:rFonts w:ascii="Times New Roman" w:eastAsia="Times New Roman" w:hAnsi="Times New Roman" w:cs="Times New Roman"/>
          <w:lang w:val="es-ES"/>
        </w:rPr>
        <w:t>,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CF4A04" w:rsidRPr="00AA6CBA">
        <w:rPr>
          <w:rFonts w:ascii="Times New Roman" w:eastAsia="Times New Roman" w:hAnsi="Times New Roman" w:cs="Times New Roman"/>
          <w:lang w:val="es-ES"/>
        </w:rPr>
        <w:t xml:space="preserve">de los cuales </w:t>
      </w:r>
      <w:r w:rsidR="008C2904" w:rsidRPr="00AA6CBA">
        <w:rPr>
          <w:rFonts w:ascii="Times New Roman" w:eastAsia="Times New Roman" w:hAnsi="Times New Roman" w:cs="Times New Roman"/>
          <w:lang w:val="es-ES"/>
        </w:rPr>
        <w:t xml:space="preserve">se </w:t>
      </w:r>
      <w:r w:rsidR="009F0113" w:rsidRPr="00AA6CBA">
        <w:rPr>
          <w:rFonts w:ascii="Times New Roman" w:eastAsia="Times New Roman" w:hAnsi="Times New Roman" w:cs="Times New Roman"/>
          <w:lang w:val="es-ES"/>
        </w:rPr>
        <w:t>manifestaron</w:t>
      </w:r>
      <w:r w:rsidR="00747CBC" w:rsidRPr="00AA6CBA">
        <w:rPr>
          <w:rFonts w:ascii="Times New Roman" w:eastAsia="Times New Roman" w:hAnsi="Times New Roman" w:cs="Times New Roman"/>
          <w:lang w:val="es-ES"/>
        </w:rPr>
        <w:t xml:space="preserve"> 85 seropositivos</w:t>
      </w:r>
      <w:r w:rsidR="008C2904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747CBC" w:rsidRPr="00AA6CBA">
        <w:rPr>
          <w:rFonts w:ascii="Times New Roman" w:eastAsia="Times New Roman" w:hAnsi="Times New Roman" w:cs="Times New Roman"/>
          <w:lang w:val="es-ES"/>
        </w:rPr>
        <w:t xml:space="preserve">para </w:t>
      </w:r>
      <w:r w:rsidR="008C2904" w:rsidRPr="00AA6CBA">
        <w:rPr>
          <w:rFonts w:ascii="Times New Roman" w:eastAsia="Times New Roman" w:hAnsi="Times New Roman" w:cs="Times New Roman"/>
          <w:lang w:val="es-ES"/>
        </w:rPr>
        <w:t>anti-</w:t>
      </w:r>
      <w:r w:rsidR="00654D02" w:rsidRPr="00AA6CBA">
        <w:rPr>
          <w:rFonts w:ascii="Times New Roman" w:eastAsia="Times New Roman" w:hAnsi="Times New Roman" w:cs="Times New Roman"/>
          <w:lang w:val="es-ES"/>
        </w:rPr>
        <w:t>toxoplasma</w:t>
      </w:r>
      <w:r w:rsidR="00747CBC" w:rsidRPr="00AA6CBA">
        <w:rPr>
          <w:rFonts w:ascii="Times New Roman" w:eastAsia="Times New Roman" w:hAnsi="Times New Roman" w:cs="Times New Roman"/>
          <w:lang w:val="es-ES"/>
        </w:rPr>
        <w:t xml:space="preserve"> IgG, 4 de ellos de igual forma </w:t>
      </w:r>
      <w:r w:rsidR="00FA14F6" w:rsidRPr="00AA6CBA">
        <w:rPr>
          <w:rFonts w:ascii="Times New Roman" w:eastAsia="Times New Roman" w:hAnsi="Times New Roman" w:cs="Times New Roman"/>
          <w:lang w:val="es-ES"/>
        </w:rPr>
        <w:t xml:space="preserve">IgM </w:t>
      </w:r>
      <w:r w:rsidR="00747CBC" w:rsidRPr="00AA6CBA">
        <w:rPr>
          <w:rFonts w:ascii="Times New Roman" w:eastAsia="Times New Roman" w:hAnsi="Times New Roman" w:cs="Times New Roman"/>
          <w:lang w:val="es-ES"/>
        </w:rPr>
        <w:t xml:space="preserve">con seropositividad para ambos anticuerpos y </w:t>
      </w:r>
      <w:r w:rsidR="00FA14F6" w:rsidRPr="00AA6CBA">
        <w:rPr>
          <w:rFonts w:ascii="Times New Roman" w:eastAsia="Times New Roman" w:hAnsi="Times New Roman" w:cs="Times New Roman"/>
          <w:lang w:val="es-ES"/>
        </w:rPr>
        <w:t xml:space="preserve">solamente </w:t>
      </w:r>
      <w:r w:rsidR="00747CBC" w:rsidRPr="00AA6CBA">
        <w:rPr>
          <w:rFonts w:ascii="Times New Roman" w:eastAsia="Times New Roman" w:hAnsi="Times New Roman" w:cs="Times New Roman"/>
          <w:lang w:val="es-ES"/>
        </w:rPr>
        <w:t xml:space="preserve">1 donador con </w:t>
      </w:r>
      <w:r w:rsidR="00FA14F6" w:rsidRPr="00AA6CBA">
        <w:rPr>
          <w:rFonts w:ascii="Times New Roman" w:eastAsia="Times New Roman" w:hAnsi="Times New Roman" w:cs="Times New Roman"/>
          <w:lang w:val="es-ES"/>
        </w:rPr>
        <w:t>IgM,</w:t>
      </w:r>
      <w:r w:rsidR="00B43B92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747CBC" w:rsidRPr="00AA6CBA">
        <w:rPr>
          <w:rFonts w:ascii="Times New Roman" w:eastAsia="Times New Roman" w:hAnsi="Times New Roman" w:cs="Times New Roman"/>
          <w:lang w:val="es-ES"/>
        </w:rPr>
        <w:t>encontr</w:t>
      </w:r>
      <w:r w:rsidR="00D121A6" w:rsidRPr="00AA6CBA">
        <w:rPr>
          <w:rFonts w:ascii="Times New Roman" w:eastAsia="Times New Roman" w:hAnsi="Times New Roman" w:cs="Times New Roman"/>
          <w:lang w:val="es-ES"/>
        </w:rPr>
        <w:t>ando</w:t>
      </w:r>
      <w:r w:rsidR="00B43B92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FA14F6" w:rsidRPr="00AA6CBA">
        <w:rPr>
          <w:rFonts w:ascii="Times New Roman" w:eastAsia="Times New Roman" w:hAnsi="Times New Roman" w:cs="Times New Roman"/>
          <w:lang w:val="es-ES"/>
        </w:rPr>
        <w:t xml:space="preserve">una </w:t>
      </w:r>
      <w:r w:rsidR="00747CBC" w:rsidRPr="00AA6CBA">
        <w:rPr>
          <w:rFonts w:ascii="Times New Roman" w:eastAsia="Times New Roman" w:hAnsi="Times New Roman" w:cs="Times New Roman"/>
          <w:lang w:val="es-ES"/>
        </w:rPr>
        <w:t xml:space="preserve">seroprevalencia </w:t>
      </w:r>
      <w:r w:rsidR="00FA14F6" w:rsidRPr="00AA6CBA">
        <w:rPr>
          <w:rFonts w:ascii="Times New Roman" w:eastAsia="Times New Roman" w:hAnsi="Times New Roman" w:cs="Times New Roman"/>
          <w:lang w:val="es-ES"/>
        </w:rPr>
        <w:t>de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E77118" w:rsidRPr="00AA6CBA">
        <w:rPr>
          <w:rFonts w:ascii="Times New Roman" w:eastAsia="Times New Roman" w:hAnsi="Times New Roman" w:cs="Times New Roman"/>
          <w:lang w:val="es-ES"/>
        </w:rPr>
        <w:t>17.5</w:t>
      </w:r>
      <w:r w:rsidR="003C0075" w:rsidRPr="00AA6CBA">
        <w:rPr>
          <w:rFonts w:ascii="Times New Roman" w:eastAsia="Times New Roman" w:hAnsi="Times New Roman" w:cs="Times New Roman"/>
          <w:lang w:val="es-ES"/>
        </w:rPr>
        <w:t>2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E77118" w:rsidRPr="00AA6CBA">
        <w:rPr>
          <w:rFonts w:ascii="Times New Roman" w:eastAsia="Times New Roman" w:hAnsi="Times New Roman" w:cs="Times New Roman"/>
          <w:lang w:val="es-ES"/>
        </w:rPr>
        <w:t>%</w:t>
      </w:r>
      <w:r w:rsidR="008C2904" w:rsidRPr="00AA6CBA">
        <w:rPr>
          <w:rFonts w:ascii="Times New Roman" w:eastAsia="Times New Roman" w:hAnsi="Times New Roman" w:cs="Times New Roman"/>
          <w:lang w:val="es-ES"/>
        </w:rPr>
        <w:t xml:space="preserve"> en</w:t>
      </w:r>
      <w:r w:rsidR="003C0075" w:rsidRPr="00AA6CBA">
        <w:rPr>
          <w:rFonts w:ascii="Times New Roman" w:eastAsia="Times New Roman" w:hAnsi="Times New Roman" w:cs="Times New Roman"/>
          <w:lang w:val="es-ES"/>
        </w:rPr>
        <w:t xml:space="preserve"> la po</w:t>
      </w:r>
      <w:r w:rsidR="008C2904" w:rsidRPr="00AA6CBA">
        <w:rPr>
          <w:rFonts w:ascii="Times New Roman" w:eastAsia="Times New Roman" w:hAnsi="Times New Roman" w:cs="Times New Roman"/>
          <w:lang w:val="es-ES"/>
        </w:rPr>
        <w:t xml:space="preserve">blación </w:t>
      </w:r>
      <w:r w:rsidR="00747CBC" w:rsidRPr="00AA6CBA">
        <w:rPr>
          <w:rFonts w:ascii="Times New Roman" w:eastAsia="Times New Roman" w:hAnsi="Times New Roman" w:cs="Times New Roman"/>
          <w:lang w:val="es-ES"/>
        </w:rPr>
        <w:t>de donadores voluntarios</w:t>
      </w:r>
      <w:r w:rsidR="008C2904" w:rsidRPr="00AA6CBA">
        <w:rPr>
          <w:rFonts w:ascii="Times New Roman" w:eastAsia="Times New Roman" w:hAnsi="Times New Roman" w:cs="Times New Roman"/>
          <w:lang w:val="es-ES"/>
        </w:rPr>
        <w:t>.</w:t>
      </w:r>
    </w:p>
    <w:p w:rsidR="009F3F26" w:rsidRDefault="008C2904" w:rsidP="009F3F26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AA6CBA">
        <w:rPr>
          <w:rFonts w:ascii="Times New Roman" w:eastAsia="Times New Roman" w:hAnsi="Times New Roman" w:cs="Times New Roman"/>
          <w:lang w:val="es-ES"/>
        </w:rPr>
        <w:t>Las muestras</w:t>
      </w:r>
      <w:r w:rsidR="00FA14F6" w:rsidRPr="00AA6CBA">
        <w:rPr>
          <w:rFonts w:ascii="Times New Roman" w:eastAsia="Times New Roman" w:hAnsi="Times New Roman" w:cs="Times New Roman"/>
          <w:lang w:val="es-ES"/>
        </w:rPr>
        <w:t xml:space="preserve"> positivas a</w:t>
      </w:r>
      <w:r w:rsidR="00E77118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IgG </w:t>
      </w:r>
      <w:r w:rsidRPr="00AA6CBA">
        <w:rPr>
          <w:rFonts w:ascii="Times New Roman" w:eastAsia="Times New Roman" w:hAnsi="Times New Roman" w:cs="Times New Roman"/>
          <w:lang w:val="es-ES"/>
        </w:rPr>
        <w:t>presentan</w:t>
      </w:r>
      <w:r w:rsidR="00FE3732" w:rsidRPr="00AA6CBA">
        <w:rPr>
          <w:rFonts w:ascii="Times New Roman" w:eastAsia="Times New Roman" w:hAnsi="Times New Roman" w:cs="Times New Roman"/>
          <w:lang w:val="es-ES"/>
        </w:rPr>
        <w:t xml:space="preserve"> resultados con concentraciones serológicas con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un rango </w:t>
      </w:r>
      <w:r w:rsidR="003C0075" w:rsidRPr="00AA6CBA">
        <w:rPr>
          <w:rFonts w:ascii="Times New Roman" w:eastAsia="Times New Roman" w:hAnsi="Times New Roman" w:cs="Times New Roman"/>
          <w:lang w:val="es-ES"/>
        </w:rPr>
        <w:t>entre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12-</w:t>
      </w:r>
      <w:r w:rsidR="00FE3732" w:rsidRPr="00AA6CBA">
        <w:rPr>
          <w:rFonts w:ascii="Times New Roman" w:eastAsia="Times New Roman" w:hAnsi="Times New Roman" w:cs="Times New Roman"/>
          <w:lang w:val="es-ES"/>
        </w:rPr>
        <w:t>499 UI/mL</w:t>
      </w:r>
      <w:r w:rsidR="00163B9E" w:rsidRPr="00AA6CBA">
        <w:rPr>
          <w:rFonts w:ascii="Times New Roman" w:eastAsia="Times New Roman" w:hAnsi="Times New Roman" w:cs="Times New Roman"/>
          <w:lang w:val="es-ES"/>
        </w:rPr>
        <w:t>; 50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eastAsia="Times New Roman" w:hAnsi="Times New Roman" w:cs="Times New Roman"/>
          <w:lang w:val="es-ES"/>
        </w:rPr>
        <w:t>% present</w:t>
      </w:r>
      <w:r w:rsidR="009150BB" w:rsidRPr="00AA6CBA">
        <w:rPr>
          <w:rFonts w:ascii="Times New Roman" w:eastAsia="Times New Roman" w:hAnsi="Times New Roman" w:cs="Times New Roman"/>
          <w:lang w:val="es-ES"/>
        </w:rPr>
        <w:t>ó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conce</w:t>
      </w:r>
      <w:r w:rsidR="00FA14F6" w:rsidRPr="00AA6CBA">
        <w:rPr>
          <w:rFonts w:ascii="Times New Roman" w:eastAsia="Times New Roman" w:hAnsi="Times New Roman" w:cs="Times New Roman"/>
          <w:lang w:val="es-ES"/>
        </w:rPr>
        <w:t>ntraciones de 6.1</w:t>
      </w:r>
      <w:r w:rsidR="00163B9E" w:rsidRPr="00AA6CBA">
        <w:rPr>
          <w:rFonts w:ascii="Times New Roman" w:eastAsia="Times New Roman" w:hAnsi="Times New Roman" w:cs="Times New Roman"/>
          <w:lang w:val="es-ES"/>
        </w:rPr>
        <w:t>-49 UI/mL, 20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163B9E" w:rsidRPr="00AA6CBA">
        <w:rPr>
          <w:rFonts w:ascii="Times New Roman" w:eastAsia="Times New Roman" w:hAnsi="Times New Roman" w:cs="Times New Roman"/>
          <w:lang w:val="es-ES"/>
        </w:rPr>
        <w:t>% de 50-100 UI/mL, 16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eastAsia="Times New Roman" w:hAnsi="Times New Roman" w:cs="Times New Roman"/>
          <w:lang w:val="es-ES"/>
        </w:rPr>
        <w:t>%</w:t>
      </w:r>
      <w:r w:rsidR="003C007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eastAsia="Times New Roman" w:hAnsi="Times New Roman" w:cs="Times New Roman"/>
          <w:lang w:val="es-ES"/>
        </w:rPr>
        <w:t>de 101-200 UI</w:t>
      </w:r>
      <w:r w:rsidR="00FA14F6" w:rsidRPr="00AA6CBA">
        <w:rPr>
          <w:rFonts w:ascii="Times New Roman" w:eastAsia="Times New Roman" w:hAnsi="Times New Roman" w:cs="Times New Roman"/>
          <w:lang w:val="es-ES"/>
        </w:rPr>
        <w:t>/mL, 6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FA14F6" w:rsidRPr="00AA6CBA">
        <w:rPr>
          <w:rFonts w:ascii="Times New Roman" w:eastAsia="Times New Roman" w:hAnsi="Times New Roman" w:cs="Times New Roman"/>
          <w:lang w:val="es-ES"/>
        </w:rPr>
        <w:t>% de 201-300 UI/mL, y 6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eastAsia="Times New Roman" w:hAnsi="Times New Roman" w:cs="Times New Roman"/>
          <w:lang w:val="es-ES"/>
        </w:rPr>
        <w:t>% con concentraciones mayores a 400 UI/mL</w:t>
      </w:r>
      <w:r w:rsidR="00163B9E" w:rsidRPr="00AA6CBA">
        <w:rPr>
          <w:rFonts w:ascii="Times New Roman" w:eastAsia="Times New Roman" w:hAnsi="Times New Roman" w:cs="Times New Roman"/>
          <w:lang w:val="es-ES"/>
        </w:rPr>
        <w:t xml:space="preserve"> (</w:t>
      </w:r>
      <w:r w:rsidR="00937A63" w:rsidRPr="00AA6CBA">
        <w:rPr>
          <w:rFonts w:ascii="Times New Roman" w:eastAsia="Times New Roman" w:hAnsi="Times New Roman" w:cs="Times New Roman"/>
          <w:lang w:val="es-ES"/>
        </w:rPr>
        <w:t>t</w:t>
      </w:r>
      <w:r w:rsidR="00496364" w:rsidRPr="00AA6CBA">
        <w:rPr>
          <w:rFonts w:ascii="Times New Roman" w:eastAsia="Times New Roman" w:hAnsi="Times New Roman" w:cs="Times New Roman"/>
          <w:lang w:val="es-ES"/>
        </w:rPr>
        <w:t>abla I</w:t>
      </w:r>
      <w:r w:rsidR="00163B9E" w:rsidRPr="00AA6CBA">
        <w:rPr>
          <w:rFonts w:ascii="Times New Roman" w:eastAsia="Times New Roman" w:hAnsi="Times New Roman" w:cs="Times New Roman"/>
          <w:lang w:val="es-ES"/>
        </w:rPr>
        <w:t>)</w:t>
      </w:r>
      <w:r w:rsidR="003C0075" w:rsidRPr="00AA6CBA">
        <w:rPr>
          <w:rFonts w:ascii="Times New Roman" w:eastAsia="Times New Roman" w:hAnsi="Times New Roman" w:cs="Times New Roman"/>
          <w:lang w:val="es-ES"/>
        </w:rPr>
        <w:t>,</w:t>
      </w:r>
      <w:r w:rsidR="00FE3732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eastAsia="Times New Roman" w:hAnsi="Times New Roman" w:cs="Times New Roman"/>
          <w:lang w:val="es-ES"/>
        </w:rPr>
        <w:t>encontrando una media de 98</w:t>
      </w:r>
      <w:r w:rsidR="003C007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UI/mL ± 112 UI/mL. </w:t>
      </w:r>
    </w:p>
    <w:p w:rsidR="009F3F26" w:rsidRPr="009F3F26" w:rsidRDefault="009F3F26" w:rsidP="009F3F26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9F3F26" w:rsidRDefault="009F3F26" w:rsidP="009F3F26">
      <w:pPr>
        <w:spacing w:after="200" w:line="276" w:lineRule="auto"/>
        <w:jc w:val="center"/>
        <w:rPr>
          <w:b/>
          <w:lang w:val="es-ES"/>
        </w:rPr>
      </w:pPr>
      <w:r w:rsidRPr="00AD459B">
        <w:rPr>
          <w:b/>
          <w:lang w:val="es-ES"/>
        </w:rPr>
        <w:t>Tabla I. Concentración IgG por género y su porcentaje total</w:t>
      </w:r>
    </w:p>
    <w:tbl>
      <w:tblPr>
        <w:tblStyle w:val="Sombreadomedio1-nfasis5"/>
        <w:tblpPr w:leftFromText="180" w:rightFromText="180" w:vertAnchor="text" w:horzAnchor="margin" w:tblpXSpec="center" w:tblpY="32"/>
        <w:tblW w:w="3393" w:type="pct"/>
        <w:tblLook w:val="0620" w:firstRow="1" w:lastRow="0" w:firstColumn="0" w:lastColumn="0" w:noHBand="1" w:noVBand="1"/>
      </w:tblPr>
      <w:tblGrid>
        <w:gridCol w:w="1200"/>
        <w:gridCol w:w="1268"/>
        <w:gridCol w:w="1195"/>
        <w:gridCol w:w="35"/>
        <w:gridCol w:w="202"/>
        <w:gridCol w:w="35"/>
        <w:gridCol w:w="689"/>
        <w:gridCol w:w="35"/>
        <w:gridCol w:w="202"/>
        <w:gridCol w:w="35"/>
        <w:gridCol w:w="1376"/>
      </w:tblGrid>
      <w:tr w:rsidR="00320FC5" w:rsidRPr="00AD459B" w:rsidTr="00320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</w:trPr>
        <w:tc>
          <w:tcPr>
            <w:tcW w:w="956" w:type="pct"/>
            <w:tcBorders>
              <w:right w:val="single" w:sz="6" w:space="0" w:color="4BACC6" w:themeColor="accent5"/>
            </w:tcBorders>
            <w:vAlign w:val="center"/>
          </w:tcPr>
          <w:p w:rsidR="003C36CA" w:rsidRPr="003C36CA" w:rsidRDefault="003C36CA" w:rsidP="003C36CA">
            <w:pPr>
              <w:jc w:val="center"/>
              <w:rPr>
                <w:lang w:val="es-ES"/>
              </w:rPr>
            </w:pPr>
            <w:r w:rsidRPr="003C36CA">
              <w:rPr>
                <w:lang w:val="es-ES"/>
              </w:rPr>
              <w:t>IgG</w:t>
            </w:r>
          </w:p>
          <w:p w:rsidR="003C36CA" w:rsidRPr="003C36CA" w:rsidRDefault="003C36CA" w:rsidP="003C36CA">
            <w:pPr>
              <w:jc w:val="center"/>
              <w:rPr>
                <w:szCs w:val="20"/>
                <w:lang w:val="es-ES"/>
              </w:rPr>
            </w:pPr>
            <w:r w:rsidRPr="003C36C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UI/mL</w:t>
            </w:r>
          </w:p>
        </w:tc>
        <w:tc>
          <w:tcPr>
            <w:tcW w:w="1011" w:type="pct"/>
            <w:tcBorders>
              <w:left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3C36CA" w:rsidRPr="003C36CA" w:rsidRDefault="003C36CA" w:rsidP="003C36CA">
            <w:pPr>
              <w:jc w:val="center"/>
              <w:rPr>
                <w:lang w:val="es-ES"/>
              </w:rPr>
            </w:pPr>
            <w:r w:rsidRPr="003C36CA">
              <w:rPr>
                <w:lang w:val="es-ES"/>
              </w:rPr>
              <w:t>Masculino</w:t>
            </w:r>
          </w:p>
        </w:tc>
        <w:tc>
          <w:tcPr>
            <w:tcW w:w="953" w:type="pct"/>
            <w:tcBorders>
              <w:left w:val="single" w:sz="6" w:space="0" w:color="4BACC6" w:themeColor="accent5"/>
            </w:tcBorders>
            <w:vAlign w:val="center"/>
          </w:tcPr>
          <w:p w:rsidR="003C36CA" w:rsidRPr="003C36CA" w:rsidRDefault="003C36CA" w:rsidP="003C36CA">
            <w:pPr>
              <w:jc w:val="center"/>
              <w:rPr>
                <w:lang w:val="es-ES"/>
              </w:rPr>
            </w:pPr>
            <w:r w:rsidRPr="003C36CA">
              <w:rPr>
                <w:lang w:val="es-ES"/>
              </w:rPr>
              <w:t>Femenino</w:t>
            </w:r>
          </w:p>
        </w:tc>
        <w:tc>
          <w:tcPr>
            <w:tcW w:w="189" w:type="pct"/>
            <w:gridSpan w:val="2"/>
            <w:tcBorders>
              <w:left w:val="single" w:sz="6" w:space="0" w:color="4BACC6" w:themeColor="accent5"/>
            </w:tcBorders>
            <w:vAlign w:val="center"/>
          </w:tcPr>
          <w:p w:rsidR="003C36CA" w:rsidRPr="003C36CA" w:rsidRDefault="003C36CA" w:rsidP="003C36CA">
            <w:pPr>
              <w:jc w:val="center"/>
              <w:rPr>
                <w:b w:val="0"/>
                <w:bCs w:val="0"/>
                <w:lang w:val="es-ES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3C36CA" w:rsidRPr="003C36CA" w:rsidRDefault="003C36CA" w:rsidP="003C36CA">
            <w:pPr>
              <w:jc w:val="center"/>
              <w:rPr>
                <w:lang w:val="es-ES"/>
              </w:rPr>
            </w:pPr>
            <w:r w:rsidRPr="003C36CA">
              <w:rPr>
                <w:lang w:val="es-ES"/>
              </w:rPr>
              <w:t>Total</w:t>
            </w:r>
          </w:p>
        </w:tc>
        <w:tc>
          <w:tcPr>
            <w:tcW w:w="189" w:type="pct"/>
            <w:gridSpan w:val="2"/>
            <w:tcBorders>
              <w:right w:val="single" w:sz="6" w:space="0" w:color="4BACC6" w:themeColor="accent5"/>
            </w:tcBorders>
            <w:vAlign w:val="center"/>
          </w:tcPr>
          <w:p w:rsidR="003C36CA" w:rsidRPr="003C36CA" w:rsidRDefault="003C36CA" w:rsidP="003C36CA">
            <w:pPr>
              <w:jc w:val="center"/>
              <w:rPr>
                <w:lang w:val="es-ES"/>
              </w:rPr>
            </w:pPr>
          </w:p>
        </w:tc>
        <w:tc>
          <w:tcPr>
            <w:tcW w:w="1125" w:type="pct"/>
            <w:gridSpan w:val="2"/>
            <w:tcBorders>
              <w:left w:val="single" w:sz="6" w:space="0" w:color="4BACC6" w:themeColor="accent5"/>
            </w:tcBorders>
            <w:vAlign w:val="center"/>
          </w:tcPr>
          <w:p w:rsidR="003C36CA" w:rsidRPr="003C36CA" w:rsidRDefault="003C36CA" w:rsidP="003C36CA">
            <w:pPr>
              <w:jc w:val="center"/>
              <w:rPr>
                <w:b w:val="0"/>
                <w:bCs w:val="0"/>
                <w:lang w:val="es-ES"/>
              </w:rPr>
            </w:pPr>
            <w:r w:rsidRPr="003C36CA">
              <w:rPr>
                <w:lang w:val="es-ES"/>
              </w:rPr>
              <w:t>Porcentaje</w:t>
            </w:r>
          </w:p>
        </w:tc>
      </w:tr>
      <w:tr w:rsidR="003C36CA" w:rsidTr="00320FC5">
        <w:trPr>
          <w:trHeight w:val="285"/>
        </w:trPr>
        <w:tc>
          <w:tcPr>
            <w:tcW w:w="956" w:type="pct"/>
            <w:tcBorders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3C36CA">
              <w:rPr>
                <w:rFonts w:ascii="Times New Roman" w:hAnsi="Times New Roman" w:cs="Times New Roman"/>
                <w:szCs w:val="24"/>
                <w:lang w:val="es-ES"/>
              </w:rPr>
              <w:t>6</w:t>
            </w: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.1</w:t>
            </w:r>
            <w:r>
              <w:rPr>
                <w:rFonts w:ascii="Times New Roman" w:hAnsi="Times New Roman" w:cs="Times New Roman"/>
                <w:szCs w:val="24"/>
                <w:lang w:val="es-MX"/>
              </w:rPr>
              <w:t xml:space="preserve"> </w:t>
            </w: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s-MX"/>
              </w:rPr>
              <w:t xml:space="preserve"> </w:t>
            </w: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49</w:t>
            </w:r>
          </w:p>
        </w:tc>
        <w:tc>
          <w:tcPr>
            <w:tcW w:w="1011" w:type="pct"/>
            <w:tcBorders>
              <w:left w:val="single" w:sz="6" w:space="0" w:color="4BACC6" w:themeColor="accent5"/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26</w:t>
            </w:r>
          </w:p>
        </w:tc>
        <w:tc>
          <w:tcPr>
            <w:tcW w:w="981" w:type="pct"/>
            <w:gridSpan w:val="2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15</w:t>
            </w:r>
          </w:p>
        </w:tc>
        <w:tc>
          <w:tcPr>
            <w:tcW w:w="189" w:type="pct"/>
            <w:gridSpan w:val="2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577" w:type="pct"/>
            <w:gridSpan w:val="2"/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41</w:t>
            </w:r>
          </w:p>
        </w:tc>
        <w:tc>
          <w:tcPr>
            <w:tcW w:w="189" w:type="pct"/>
            <w:gridSpan w:val="2"/>
            <w:tcBorders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  <w:lang w:val="es-MX"/>
              </w:rPr>
            </w:pPr>
          </w:p>
        </w:tc>
        <w:tc>
          <w:tcPr>
            <w:tcW w:w="1097" w:type="pct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50 %</w:t>
            </w:r>
          </w:p>
        </w:tc>
      </w:tr>
      <w:tr w:rsidR="003C36CA" w:rsidTr="00320FC5">
        <w:trPr>
          <w:trHeight w:val="285"/>
        </w:trPr>
        <w:tc>
          <w:tcPr>
            <w:tcW w:w="956" w:type="pct"/>
            <w:tcBorders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51</w:t>
            </w:r>
            <w:r>
              <w:rPr>
                <w:rFonts w:ascii="Times New Roman" w:hAnsi="Times New Roman" w:cs="Times New Roman"/>
                <w:szCs w:val="24"/>
                <w:lang w:val="es-MX"/>
              </w:rPr>
              <w:t xml:space="preserve"> </w:t>
            </w: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es-MX"/>
              </w:rPr>
              <w:t xml:space="preserve"> </w:t>
            </w: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99</w:t>
            </w:r>
          </w:p>
        </w:tc>
        <w:tc>
          <w:tcPr>
            <w:tcW w:w="1011" w:type="pct"/>
            <w:tcBorders>
              <w:left w:val="single" w:sz="6" w:space="0" w:color="4BACC6" w:themeColor="accent5"/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11</w:t>
            </w:r>
          </w:p>
        </w:tc>
        <w:tc>
          <w:tcPr>
            <w:tcW w:w="981" w:type="pct"/>
            <w:gridSpan w:val="2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5</w:t>
            </w:r>
          </w:p>
        </w:tc>
        <w:tc>
          <w:tcPr>
            <w:tcW w:w="189" w:type="pct"/>
            <w:gridSpan w:val="2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577" w:type="pct"/>
            <w:gridSpan w:val="2"/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  <w:lang w:val="es-MX"/>
              </w:rPr>
            </w:pP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16</w:t>
            </w:r>
          </w:p>
        </w:tc>
        <w:tc>
          <w:tcPr>
            <w:tcW w:w="189" w:type="pct"/>
            <w:gridSpan w:val="2"/>
            <w:tcBorders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  <w:lang w:val="es-MX"/>
              </w:rPr>
            </w:pPr>
          </w:p>
        </w:tc>
        <w:tc>
          <w:tcPr>
            <w:tcW w:w="1097" w:type="pct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lang w:val="es-MX"/>
              </w:rPr>
            </w:pPr>
            <w:r w:rsidRPr="003C36CA">
              <w:rPr>
                <w:rFonts w:ascii="Times New Roman" w:hAnsi="Times New Roman" w:cs="Times New Roman"/>
                <w:szCs w:val="24"/>
                <w:lang w:val="es-MX"/>
              </w:rPr>
              <w:t>20 %</w:t>
            </w:r>
          </w:p>
        </w:tc>
      </w:tr>
      <w:tr w:rsidR="003C36CA" w:rsidTr="00320FC5">
        <w:trPr>
          <w:trHeight w:val="285"/>
        </w:trPr>
        <w:tc>
          <w:tcPr>
            <w:tcW w:w="956" w:type="pct"/>
            <w:tcBorders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100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36CA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36CA">
              <w:rPr>
                <w:rFonts w:ascii="Times New Roman" w:hAnsi="Times New Roman" w:cs="Times New Roman"/>
                <w:szCs w:val="24"/>
              </w:rPr>
              <w:t>199</w:t>
            </w:r>
          </w:p>
        </w:tc>
        <w:tc>
          <w:tcPr>
            <w:tcW w:w="1011" w:type="pct"/>
            <w:tcBorders>
              <w:left w:val="single" w:sz="6" w:space="0" w:color="4BACC6" w:themeColor="accent5"/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981" w:type="pct"/>
            <w:gridSpan w:val="2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9" w:type="pct"/>
            <w:gridSpan w:val="2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gridSpan w:val="2"/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89" w:type="pct"/>
            <w:gridSpan w:val="2"/>
            <w:tcBorders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7" w:type="pct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16 %</w:t>
            </w:r>
          </w:p>
        </w:tc>
      </w:tr>
      <w:tr w:rsidR="003C36CA" w:rsidTr="00320FC5">
        <w:trPr>
          <w:trHeight w:val="285"/>
        </w:trPr>
        <w:tc>
          <w:tcPr>
            <w:tcW w:w="956" w:type="pct"/>
            <w:tcBorders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200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36CA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36CA">
              <w:rPr>
                <w:rFonts w:ascii="Times New Roman" w:hAnsi="Times New Roman" w:cs="Times New Roman"/>
                <w:szCs w:val="24"/>
              </w:rPr>
              <w:t>299</w:t>
            </w:r>
          </w:p>
        </w:tc>
        <w:tc>
          <w:tcPr>
            <w:tcW w:w="1011" w:type="pct"/>
            <w:tcBorders>
              <w:left w:val="single" w:sz="6" w:space="0" w:color="4BACC6" w:themeColor="accent5"/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81" w:type="pct"/>
            <w:gridSpan w:val="2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" w:type="pct"/>
            <w:gridSpan w:val="2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gridSpan w:val="2"/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9" w:type="pct"/>
            <w:gridSpan w:val="2"/>
            <w:tcBorders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7" w:type="pct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6 %</w:t>
            </w:r>
          </w:p>
        </w:tc>
      </w:tr>
      <w:tr w:rsidR="003C36CA" w:rsidTr="00320FC5">
        <w:trPr>
          <w:trHeight w:val="272"/>
        </w:trPr>
        <w:tc>
          <w:tcPr>
            <w:tcW w:w="956" w:type="pct"/>
            <w:tcBorders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400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36CA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36CA">
              <w:rPr>
                <w:rFonts w:ascii="Times New Roman" w:hAnsi="Times New Roman" w:cs="Times New Roman"/>
                <w:szCs w:val="24"/>
              </w:rPr>
              <w:t>499</w:t>
            </w:r>
          </w:p>
        </w:tc>
        <w:tc>
          <w:tcPr>
            <w:tcW w:w="1011" w:type="pct"/>
            <w:tcBorders>
              <w:left w:val="single" w:sz="6" w:space="0" w:color="4BACC6" w:themeColor="accent5"/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81" w:type="pct"/>
            <w:gridSpan w:val="2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9" w:type="pct"/>
            <w:gridSpan w:val="2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gridSpan w:val="2"/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9" w:type="pct"/>
            <w:gridSpan w:val="2"/>
            <w:tcBorders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7" w:type="pct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6 %</w:t>
            </w:r>
          </w:p>
        </w:tc>
      </w:tr>
      <w:tr w:rsidR="003C36CA" w:rsidTr="00320FC5">
        <w:trPr>
          <w:trHeight w:val="285"/>
        </w:trPr>
        <w:tc>
          <w:tcPr>
            <w:tcW w:w="956" w:type="pct"/>
            <w:tcBorders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C36CA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1011" w:type="pct"/>
            <w:tcBorders>
              <w:left w:val="single" w:sz="6" w:space="0" w:color="4BACC6" w:themeColor="accent5"/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981" w:type="pct"/>
            <w:gridSpan w:val="2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89" w:type="pct"/>
            <w:gridSpan w:val="2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gridSpan w:val="2"/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36CA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89" w:type="pct"/>
            <w:gridSpan w:val="2"/>
            <w:tcBorders>
              <w:righ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7" w:type="pct"/>
            <w:tcBorders>
              <w:left w:val="single" w:sz="6" w:space="0" w:color="4BACC6" w:themeColor="accent5"/>
            </w:tcBorders>
          </w:tcPr>
          <w:p w:rsidR="003C36CA" w:rsidRPr="003C36CA" w:rsidRDefault="003C36CA" w:rsidP="003C36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3F26" w:rsidRDefault="009F3F26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9F3F26" w:rsidRDefault="009F3F26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9F3F26" w:rsidRDefault="009F3F26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9F3F26" w:rsidRPr="00AA6CBA" w:rsidRDefault="009F3F26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9F3F26" w:rsidRDefault="009F3F26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9316B0" w:rsidRDefault="009316B0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9F3F26" w:rsidRPr="009316B0" w:rsidRDefault="009316B0" w:rsidP="00C82EA5">
      <w:pPr>
        <w:spacing w:line="36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es-ES"/>
        </w:rPr>
      </w:pPr>
      <w:r w:rsidRPr="00C82EA5">
        <w:rPr>
          <w:rFonts w:ascii="Times New Roman" w:eastAsia="Times New Roman" w:hAnsi="Times New Roman" w:cs="Times New Roman"/>
          <w:szCs w:val="12"/>
          <w:lang w:val="es-ES"/>
        </w:rPr>
        <w:t>Fuente: Base de datos estudio Toxoplasmosis, UABC</w:t>
      </w:r>
      <w:r w:rsidRPr="009316B0">
        <w:rPr>
          <w:rFonts w:ascii="Times New Roman" w:eastAsia="Times New Roman" w:hAnsi="Times New Roman" w:cs="Times New Roman"/>
          <w:sz w:val="12"/>
          <w:szCs w:val="12"/>
          <w:lang w:val="es-ES"/>
        </w:rPr>
        <w:t>.</w:t>
      </w:r>
    </w:p>
    <w:p w:rsidR="009F3F26" w:rsidRDefault="009316B0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ab/>
      </w:r>
      <w:r>
        <w:rPr>
          <w:rFonts w:ascii="Times New Roman" w:eastAsia="Times New Roman" w:hAnsi="Times New Roman" w:cs="Times New Roman"/>
          <w:lang w:val="es-ES"/>
        </w:rPr>
        <w:tab/>
      </w:r>
    </w:p>
    <w:p w:rsidR="00761B71" w:rsidRDefault="00FA14F6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AA6CBA">
        <w:rPr>
          <w:rFonts w:ascii="Times New Roman" w:eastAsia="Times New Roman" w:hAnsi="Times New Roman" w:cs="Times New Roman"/>
          <w:lang w:val="es-ES"/>
        </w:rPr>
        <w:t>La posi</w:t>
      </w:r>
      <w:r w:rsidR="003C0075" w:rsidRPr="00AA6CBA">
        <w:rPr>
          <w:rFonts w:ascii="Times New Roman" w:eastAsia="Times New Roman" w:hAnsi="Times New Roman" w:cs="Times New Roman"/>
          <w:lang w:val="es-ES"/>
        </w:rPr>
        <w:t>tividad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para ambos anticuerpos IgG e IgM </w:t>
      </w:r>
      <w:r w:rsidR="003C0075" w:rsidRPr="00AA6CBA">
        <w:rPr>
          <w:rFonts w:ascii="Times New Roman" w:eastAsia="Times New Roman" w:hAnsi="Times New Roman" w:cs="Times New Roman"/>
          <w:lang w:val="es-ES"/>
        </w:rPr>
        <w:t>solo se presentó en</w:t>
      </w:r>
      <w:r w:rsidR="00DC5FD7" w:rsidRPr="00AA6CBA">
        <w:rPr>
          <w:rFonts w:ascii="Times New Roman" w:eastAsia="Times New Roman" w:hAnsi="Times New Roman" w:cs="Times New Roman"/>
          <w:lang w:val="es-ES"/>
        </w:rPr>
        <w:t xml:space="preserve"> 4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3C0075" w:rsidRPr="00AA6CBA">
        <w:rPr>
          <w:rFonts w:ascii="Times New Roman" w:eastAsia="Times New Roman" w:hAnsi="Times New Roman" w:cs="Times New Roman"/>
          <w:lang w:val="es-ES"/>
        </w:rPr>
        <w:t>muestras,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y una solo para Ig</w:t>
      </w:r>
      <w:r w:rsidR="00DC5FD7" w:rsidRPr="00AA6CBA">
        <w:rPr>
          <w:rFonts w:ascii="Times New Roman" w:eastAsia="Times New Roman" w:hAnsi="Times New Roman" w:cs="Times New Roman"/>
          <w:lang w:val="es-ES"/>
        </w:rPr>
        <w:t>M</w:t>
      </w:r>
      <w:r w:rsidR="00021D7C" w:rsidRPr="00AA6CBA">
        <w:rPr>
          <w:rFonts w:ascii="Times New Roman" w:eastAsia="Times New Roman" w:hAnsi="Times New Roman" w:cs="Times New Roman"/>
          <w:lang w:val="es-ES"/>
        </w:rPr>
        <w:t>,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lo que representa 1.03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eastAsia="Times New Roman" w:hAnsi="Times New Roman" w:cs="Times New Roman"/>
          <w:lang w:val="es-ES"/>
        </w:rPr>
        <w:t>%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Pr="00AA6CBA">
        <w:rPr>
          <w:rFonts w:ascii="Times New Roman" w:eastAsia="Times New Roman" w:hAnsi="Times New Roman" w:cs="Times New Roman"/>
          <w:lang w:val="es-ES"/>
        </w:rPr>
        <w:t>(</w:t>
      </w:r>
      <w:r w:rsidR="00937A63" w:rsidRPr="00AA6CBA">
        <w:rPr>
          <w:rFonts w:ascii="Times New Roman" w:eastAsia="Times New Roman" w:hAnsi="Times New Roman" w:cs="Times New Roman"/>
          <w:lang w:val="es-ES"/>
        </w:rPr>
        <w:t>t</w:t>
      </w:r>
      <w:r w:rsidRPr="00AA6CBA">
        <w:rPr>
          <w:rFonts w:ascii="Times New Roman" w:eastAsia="Times New Roman" w:hAnsi="Times New Roman" w:cs="Times New Roman"/>
          <w:lang w:val="es-ES"/>
        </w:rPr>
        <w:t>abla II)</w:t>
      </w:r>
      <w:r w:rsidR="000747CA" w:rsidRPr="00AA6CBA">
        <w:rPr>
          <w:rFonts w:ascii="Times New Roman" w:eastAsia="Times New Roman" w:hAnsi="Times New Roman" w:cs="Times New Roman"/>
          <w:lang w:val="es-ES"/>
        </w:rPr>
        <w:t xml:space="preserve">. Del </w:t>
      </w:r>
      <w:r w:rsidR="00937A63" w:rsidRPr="00AA6CBA">
        <w:rPr>
          <w:rFonts w:ascii="Times New Roman" w:eastAsia="Times New Roman" w:hAnsi="Times New Roman" w:cs="Times New Roman"/>
          <w:lang w:val="es-ES"/>
        </w:rPr>
        <w:t>t</w:t>
      </w:r>
      <w:r w:rsidR="000747CA" w:rsidRPr="00AA6CBA">
        <w:rPr>
          <w:rFonts w:ascii="Times New Roman" w:eastAsia="Times New Roman" w:hAnsi="Times New Roman" w:cs="Times New Roman"/>
          <w:lang w:val="es-ES"/>
        </w:rPr>
        <w:t>otal de personas posi</w:t>
      </w:r>
      <w:r w:rsidR="00034A53" w:rsidRPr="00AA6CBA">
        <w:rPr>
          <w:rFonts w:ascii="Times New Roman" w:eastAsia="Times New Roman" w:hAnsi="Times New Roman" w:cs="Times New Roman"/>
          <w:lang w:val="es-ES"/>
        </w:rPr>
        <w:t>tivas a los anticuerpos</w:t>
      </w:r>
      <w:r w:rsidR="00937A63" w:rsidRPr="00AA6CBA">
        <w:rPr>
          <w:rFonts w:ascii="Times New Roman" w:eastAsia="Times New Roman" w:hAnsi="Times New Roman" w:cs="Times New Roman"/>
          <w:lang w:val="es-ES"/>
        </w:rPr>
        <w:t>,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68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% corresponde al sexo masculino </w:t>
      </w:r>
      <w:r w:rsidR="00937A63" w:rsidRPr="00AA6CBA">
        <w:rPr>
          <w:rFonts w:ascii="Times New Roman" w:eastAsia="Times New Roman" w:hAnsi="Times New Roman" w:cs="Times New Roman"/>
          <w:lang w:val="es-ES"/>
        </w:rPr>
        <w:t>en un</w:t>
      </w:r>
      <w:r w:rsidR="00DC5FD7" w:rsidRPr="00AA6CBA">
        <w:rPr>
          <w:rFonts w:ascii="Times New Roman" w:eastAsia="Times New Roman" w:hAnsi="Times New Roman" w:cs="Times New Roman"/>
          <w:lang w:val="es-ES"/>
        </w:rPr>
        <w:t xml:space="preserve"> rango de edad 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de </w:t>
      </w:r>
      <w:r w:rsidR="00DC5FD7" w:rsidRPr="00AA6CBA">
        <w:rPr>
          <w:rFonts w:ascii="Times New Roman" w:eastAsia="Times New Roman" w:hAnsi="Times New Roman" w:cs="Times New Roman"/>
          <w:lang w:val="es-ES"/>
        </w:rPr>
        <w:t>25-55 años</w:t>
      </w:r>
      <w:r w:rsidR="00AC4714" w:rsidRPr="00AA6CBA">
        <w:rPr>
          <w:rFonts w:ascii="Times New Roman" w:eastAsia="Times New Roman" w:hAnsi="Times New Roman" w:cs="Times New Roman"/>
          <w:lang w:val="es-ES"/>
        </w:rPr>
        <w:t xml:space="preserve"> con una media de 45 años</w:t>
      </w:r>
      <w:r w:rsidR="00DC5FD7" w:rsidRPr="00AA6CBA">
        <w:rPr>
          <w:rFonts w:ascii="Times New Roman" w:eastAsia="Times New Roman" w:hAnsi="Times New Roman" w:cs="Times New Roman"/>
          <w:lang w:val="es-ES"/>
        </w:rPr>
        <w:t>, e</w:t>
      </w:r>
      <w:r w:rsidR="00034A53" w:rsidRPr="00AA6CBA">
        <w:rPr>
          <w:rFonts w:ascii="Times New Roman" w:eastAsia="Times New Roman" w:hAnsi="Times New Roman" w:cs="Times New Roman"/>
          <w:lang w:val="es-ES"/>
        </w:rPr>
        <w:t>l sexo femenino</w:t>
      </w:r>
      <w:r w:rsidR="00DC5FD7" w:rsidRPr="00AA6CBA">
        <w:rPr>
          <w:rFonts w:ascii="Times New Roman" w:eastAsia="Times New Roman" w:hAnsi="Times New Roman" w:cs="Times New Roman"/>
          <w:lang w:val="es-ES"/>
        </w:rPr>
        <w:t xml:space="preserve"> 32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DC5FD7" w:rsidRPr="00AA6CBA">
        <w:rPr>
          <w:rFonts w:ascii="Times New Roman" w:eastAsia="Times New Roman" w:hAnsi="Times New Roman" w:cs="Times New Roman"/>
          <w:lang w:val="es-ES"/>
        </w:rPr>
        <w:t>% con rango de edad 25-56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DC5FD7" w:rsidRPr="00AA6CBA">
        <w:rPr>
          <w:rFonts w:ascii="Times New Roman" w:eastAsia="Times New Roman" w:hAnsi="Times New Roman" w:cs="Times New Roman"/>
          <w:lang w:val="es-ES"/>
        </w:rPr>
        <w:t>años con una media de 41</w:t>
      </w:r>
      <w:r w:rsidR="00937A6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DC5FD7" w:rsidRPr="00761B71">
        <w:rPr>
          <w:rFonts w:ascii="Times New Roman" w:eastAsia="Times New Roman" w:hAnsi="Times New Roman" w:cs="Times New Roman"/>
          <w:lang w:val="es-ES"/>
        </w:rPr>
        <w:t>años</w:t>
      </w:r>
      <w:r w:rsidR="00AC4714" w:rsidRPr="00761B71">
        <w:rPr>
          <w:rFonts w:ascii="Times New Roman" w:eastAsia="Times New Roman" w:hAnsi="Times New Roman" w:cs="Times New Roman"/>
          <w:lang w:val="es-ES"/>
        </w:rPr>
        <w:t>.</w:t>
      </w:r>
    </w:p>
    <w:p w:rsidR="00761B71" w:rsidRDefault="00761B71" w:rsidP="00761B71">
      <w:pPr>
        <w:spacing w:after="200" w:line="276" w:lineRule="auto"/>
        <w:jc w:val="center"/>
        <w:rPr>
          <w:b/>
          <w:lang w:val="es-ES"/>
        </w:rPr>
      </w:pPr>
    </w:p>
    <w:p w:rsidR="00761B71" w:rsidRPr="003428E7" w:rsidRDefault="00761B71" w:rsidP="00761B71">
      <w:pPr>
        <w:jc w:val="center"/>
        <w:rPr>
          <w:b/>
          <w:lang w:val="es-MX"/>
        </w:rPr>
      </w:pPr>
      <w:r w:rsidRPr="003428E7">
        <w:rPr>
          <w:b/>
          <w:lang w:val="es-MX"/>
        </w:rPr>
        <w:lastRenderedPageBreak/>
        <w:t>Tabla II. Niveles de Anticuerpo IgG e IgM</w:t>
      </w:r>
    </w:p>
    <w:tbl>
      <w:tblPr>
        <w:tblStyle w:val="Sombreadomedio2-nfasis5"/>
        <w:tblpPr w:leftFromText="180" w:rightFromText="180" w:vertAnchor="page" w:horzAnchor="margin" w:tblpXSpec="center" w:tblpY="1876"/>
        <w:tblW w:w="2201" w:type="pct"/>
        <w:tblLayout w:type="fixed"/>
        <w:tblLook w:val="0660" w:firstRow="1" w:lastRow="1" w:firstColumn="0" w:lastColumn="0" w:noHBand="1" w:noVBand="1"/>
      </w:tblPr>
      <w:tblGrid>
        <w:gridCol w:w="776"/>
        <w:gridCol w:w="236"/>
        <w:gridCol w:w="854"/>
        <w:gridCol w:w="236"/>
        <w:gridCol w:w="952"/>
        <w:gridCol w:w="236"/>
        <w:gridCol w:w="778"/>
      </w:tblGrid>
      <w:tr w:rsidR="00C82EA5" w:rsidTr="00C82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"/>
        </w:trPr>
        <w:tc>
          <w:tcPr>
            <w:tcW w:w="954" w:type="pct"/>
            <w:tcBorders>
              <w:left w:val="single" w:sz="12" w:space="0" w:color="auto"/>
            </w:tcBorders>
            <w:noWrap/>
          </w:tcPr>
          <w:p w:rsidR="00C82EA5" w:rsidRPr="00FD2945" w:rsidRDefault="00C82EA5" w:rsidP="00C82EA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  </w:t>
            </w:r>
            <w:r w:rsidRPr="00FD2945">
              <w:rPr>
                <w:lang w:val="es-MX"/>
              </w:rPr>
              <w:t>IgG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rPr>
                <w:lang w:val="es-MX"/>
              </w:rPr>
            </w:pPr>
          </w:p>
        </w:tc>
        <w:tc>
          <w:tcPr>
            <w:tcW w:w="134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82EA5" w:rsidRPr="00FD2945" w:rsidRDefault="00C82EA5" w:rsidP="00C82EA5">
            <w:pPr>
              <w:rPr>
                <w:lang w:val="es-MX"/>
              </w:rPr>
            </w:pPr>
            <w:r w:rsidRPr="00FD2945">
              <w:rPr>
                <w:lang w:val="es-MX"/>
              </w:rPr>
              <w:t xml:space="preserve">     IgM</w:t>
            </w:r>
            <w:r>
              <w:rPr>
                <w:lang w:val="es-MX"/>
              </w:rPr>
              <w:t xml:space="preserve">      </w:t>
            </w:r>
          </w:p>
        </w:tc>
        <w:tc>
          <w:tcPr>
            <w:tcW w:w="1170" w:type="pct"/>
            <w:tcBorders>
              <w:left w:val="single" w:sz="12" w:space="0" w:color="auto"/>
              <w:right w:val="single" w:sz="12" w:space="0" w:color="auto"/>
            </w:tcBorders>
          </w:tcPr>
          <w:p w:rsidR="00C82EA5" w:rsidRPr="00FD2945" w:rsidRDefault="00C82EA5" w:rsidP="00C82EA5">
            <w:pPr>
              <w:rPr>
                <w:lang w:val="es-MX"/>
              </w:rPr>
            </w:pPr>
            <w:r w:rsidRPr="00FD2945">
              <w:rPr>
                <w:lang w:val="es-MX"/>
              </w:rPr>
              <w:t xml:space="preserve">Género        </w:t>
            </w:r>
          </w:p>
        </w:tc>
        <w:tc>
          <w:tcPr>
            <w:tcW w:w="1246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82EA5" w:rsidRPr="00FD2945" w:rsidRDefault="00C82EA5" w:rsidP="00C82EA5">
            <w:pPr>
              <w:jc w:val="center"/>
              <w:rPr>
                <w:lang w:val="es-MX"/>
              </w:rPr>
            </w:pPr>
            <w:r w:rsidRPr="00FD2945">
              <w:rPr>
                <w:lang w:val="es-MX"/>
              </w:rPr>
              <w:t>Edad</w:t>
            </w:r>
          </w:p>
        </w:tc>
      </w:tr>
      <w:tr w:rsidR="00C82EA5" w:rsidTr="00C82EA5">
        <w:trPr>
          <w:trHeight w:val="107"/>
        </w:trPr>
        <w:tc>
          <w:tcPr>
            <w:tcW w:w="954" w:type="pct"/>
            <w:tcBorders>
              <w:left w:val="single" w:sz="12" w:space="0" w:color="auto"/>
            </w:tcBorders>
            <w:noWrap/>
          </w:tcPr>
          <w:p w:rsidR="00C82EA5" w:rsidRPr="00FD2945" w:rsidRDefault="00C82EA5" w:rsidP="00C82EA5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FD2945">
              <w:rPr>
                <w:b/>
                <w:i/>
                <w:sz w:val="20"/>
                <w:szCs w:val="20"/>
                <w:lang w:val="es-MX"/>
              </w:rPr>
              <w:t>UI/m</w:t>
            </w:r>
            <w:r w:rsidRPr="00FD2945">
              <w:rPr>
                <w:b/>
                <w:sz w:val="20"/>
                <w:szCs w:val="20"/>
                <w:lang w:val="es-MX"/>
              </w:rPr>
              <w:t>L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jc w:val="center"/>
              <w:rPr>
                <w:rStyle w:val="nfasissutil"/>
                <w:b/>
                <w:i w:val="0"/>
                <w:sz w:val="20"/>
                <w:szCs w:val="20"/>
                <w:lang w:val="es-MX"/>
              </w:rPr>
            </w:pPr>
          </w:p>
        </w:tc>
        <w:tc>
          <w:tcPr>
            <w:tcW w:w="1050" w:type="pct"/>
            <w:tcBorders>
              <w:left w:val="single" w:sz="12" w:space="0" w:color="auto"/>
            </w:tcBorders>
          </w:tcPr>
          <w:p w:rsidR="00C82EA5" w:rsidRPr="00320DB9" w:rsidRDefault="00C82EA5" w:rsidP="00C82EA5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sz w:val="20"/>
                <w:szCs w:val="20"/>
                <w:lang w:val="es-MX"/>
              </w:rPr>
              <w:t xml:space="preserve"> </w:t>
            </w:r>
            <w:r w:rsidRPr="00320DB9">
              <w:rPr>
                <w:b/>
                <w:i/>
                <w:sz w:val="20"/>
                <w:szCs w:val="20"/>
                <w:lang w:val="es-MX"/>
              </w:rPr>
              <w:t>UI /mL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jc w:val="center"/>
              <w:rPr>
                <w:lang w:val="es-MX"/>
              </w:rPr>
            </w:pPr>
          </w:p>
        </w:tc>
        <w:tc>
          <w:tcPr>
            <w:tcW w:w="1170" w:type="pct"/>
            <w:tcBorders>
              <w:left w:val="single" w:sz="12" w:space="0" w:color="auto"/>
            </w:tcBorders>
          </w:tcPr>
          <w:p w:rsidR="00C82EA5" w:rsidRPr="00FD2945" w:rsidRDefault="00C82EA5" w:rsidP="00C82EA5">
            <w:pPr>
              <w:jc w:val="center"/>
              <w:rPr>
                <w:lang w:val="es-MX"/>
              </w:rPr>
            </w:pPr>
          </w:p>
        </w:tc>
        <w:tc>
          <w:tcPr>
            <w:tcW w:w="290" w:type="pct"/>
            <w:tcBorders>
              <w:left w:val="single" w:sz="12" w:space="0" w:color="auto"/>
            </w:tcBorders>
          </w:tcPr>
          <w:p w:rsidR="00C82EA5" w:rsidRPr="00FD2945" w:rsidRDefault="00C82EA5" w:rsidP="00C82EA5">
            <w:pPr>
              <w:ind w:left="126"/>
              <w:rPr>
                <w:lang w:val="es-MX"/>
              </w:rPr>
            </w:pPr>
          </w:p>
        </w:tc>
        <w:tc>
          <w:tcPr>
            <w:tcW w:w="956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rPr>
                <w:b/>
                <w:i/>
                <w:lang w:val="es-MX"/>
              </w:rPr>
            </w:pPr>
            <w:r w:rsidRPr="00FD2945">
              <w:rPr>
                <w:b/>
                <w:i/>
                <w:lang w:val="es-MX"/>
              </w:rPr>
              <w:t>años</w:t>
            </w:r>
          </w:p>
        </w:tc>
      </w:tr>
      <w:tr w:rsidR="00C82EA5" w:rsidTr="00C82EA5">
        <w:trPr>
          <w:trHeight w:val="107"/>
        </w:trPr>
        <w:tc>
          <w:tcPr>
            <w:tcW w:w="954" w:type="pct"/>
            <w:tcBorders>
              <w:left w:val="single" w:sz="12" w:space="0" w:color="auto"/>
            </w:tcBorders>
            <w:noWrap/>
          </w:tcPr>
          <w:p w:rsidR="00C82EA5" w:rsidRPr="00FD2945" w:rsidRDefault="00C82EA5" w:rsidP="00C82EA5">
            <w:pPr>
              <w:rPr>
                <w:b/>
                <w:u w:val="single"/>
                <w:lang w:val="es-MX"/>
              </w:rPr>
            </w:pP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rPr>
                <w:b/>
                <w:i/>
                <w:lang w:val="es-MX"/>
              </w:rPr>
            </w:pPr>
          </w:p>
        </w:tc>
        <w:tc>
          <w:tcPr>
            <w:tcW w:w="1050" w:type="pct"/>
            <w:tcBorders>
              <w:left w:val="single" w:sz="12" w:space="0" w:color="auto"/>
            </w:tcBorders>
          </w:tcPr>
          <w:p w:rsidR="00C82EA5" w:rsidRPr="00FD2945" w:rsidRDefault="00C82EA5" w:rsidP="00C82EA5">
            <w:pPr>
              <w:rPr>
                <w:b/>
                <w:i/>
                <w:lang w:val="es-MX"/>
              </w:rPr>
            </w:pP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rPr>
                <w:lang w:val="es-MX"/>
              </w:rPr>
            </w:pPr>
          </w:p>
        </w:tc>
        <w:tc>
          <w:tcPr>
            <w:tcW w:w="1170" w:type="pct"/>
            <w:tcBorders>
              <w:left w:val="single" w:sz="12" w:space="0" w:color="auto"/>
            </w:tcBorders>
          </w:tcPr>
          <w:p w:rsidR="00C82EA5" w:rsidRPr="00FD2945" w:rsidRDefault="00C82EA5" w:rsidP="00C82EA5">
            <w:pPr>
              <w:rPr>
                <w:lang w:val="es-MX"/>
              </w:rPr>
            </w:pPr>
          </w:p>
        </w:tc>
        <w:tc>
          <w:tcPr>
            <w:tcW w:w="290" w:type="pct"/>
            <w:tcBorders>
              <w:left w:val="single" w:sz="12" w:space="0" w:color="auto"/>
            </w:tcBorders>
          </w:tcPr>
          <w:p w:rsidR="00C82EA5" w:rsidRPr="00FD2945" w:rsidRDefault="00C82EA5" w:rsidP="00C82EA5">
            <w:pPr>
              <w:rPr>
                <w:lang w:val="es-MX"/>
              </w:rPr>
            </w:pPr>
          </w:p>
        </w:tc>
        <w:tc>
          <w:tcPr>
            <w:tcW w:w="956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rPr>
                <w:b/>
                <w:i/>
                <w:lang w:val="es-MX"/>
              </w:rPr>
            </w:pPr>
          </w:p>
        </w:tc>
      </w:tr>
      <w:tr w:rsidR="00C82EA5" w:rsidTr="00C82EA5">
        <w:trPr>
          <w:trHeight w:val="206"/>
        </w:trPr>
        <w:tc>
          <w:tcPr>
            <w:tcW w:w="954" w:type="pct"/>
            <w:tcBorders>
              <w:left w:val="single" w:sz="12" w:space="0" w:color="auto"/>
            </w:tcBorders>
            <w:noWrap/>
          </w:tcPr>
          <w:p w:rsidR="00C82EA5" w:rsidRPr="00FD2945" w:rsidRDefault="00C82EA5" w:rsidP="00C82EA5">
            <w:pPr>
              <w:rPr>
                <w:lang w:val="es-MX"/>
              </w:rPr>
            </w:pPr>
            <w:r w:rsidRPr="00FD2945">
              <w:rPr>
                <w:lang w:val="es-MX"/>
              </w:rPr>
              <w:t xml:space="preserve">176.6 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pStyle w:val="DecimalAligned"/>
              <w:spacing w:line="240" w:lineRule="auto"/>
              <w:rPr>
                <w:lang w:val="es-MX"/>
              </w:rPr>
            </w:pPr>
          </w:p>
        </w:tc>
        <w:tc>
          <w:tcPr>
            <w:tcW w:w="1050" w:type="pct"/>
            <w:tcBorders>
              <w:left w:val="single" w:sz="12" w:space="0" w:color="auto"/>
            </w:tcBorders>
          </w:tcPr>
          <w:p w:rsidR="00C82EA5" w:rsidRPr="00FD2945" w:rsidRDefault="00C82EA5" w:rsidP="00C82EA5">
            <w:pPr>
              <w:pStyle w:val="DecimalAligned"/>
              <w:spacing w:line="240" w:lineRule="auto"/>
              <w:rPr>
                <w:lang w:val="es-MX"/>
              </w:rPr>
            </w:pPr>
            <w:r w:rsidRPr="00FD2945">
              <w:rPr>
                <w:lang w:val="es-MX"/>
              </w:rPr>
              <w:t xml:space="preserve">1.1 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pStyle w:val="DecimalAligned"/>
              <w:spacing w:line="240" w:lineRule="auto"/>
              <w:rPr>
                <w:lang w:val="es-MX"/>
              </w:rPr>
            </w:pPr>
          </w:p>
        </w:tc>
        <w:tc>
          <w:tcPr>
            <w:tcW w:w="1170" w:type="pct"/>
            <w:tcBorders>
              <w:left w:val="single" w:sz="12" w:space="0" w:color="auto"/>
            </w:tcBorders>
          </w:tcPr>
          <w:p w:rsidR="00C82EA5" w:rsidRPr="00FD2945" w:rsidRDefault="00C82EA5" w:rsidP="00C82EA5">
            <w:pPr>
              <w:pStyle w:val="DecimalAligned"/>
              <w:spacing w:line="240" w:lineRule="auto"/>
              <w:rPr>
                <w:lang w:val="es-MX"/>
              </w:rPr>
            </w:pPr>
            <w:r>
              <w:rPr>
                <w:lang w:val="es-MX"/>
              </w:rPr>
              <w:t xml:space="preserve">  </w:t>
            </w:r>
            <w:r w:rsidRPr="00FD2945">
              <w:rPr>
                <w:lang w:val="es-MX"/>
              </w:rPr>
              <w:t>M</w:t>
            </w:r>
          </w:p>
        </w:tc>
        <w:tc>
          <w:tcPr>
            <w:tcW w:w="290" w:type="pct"/>
            <w:tcBorders>
              <w:left w:val="single" w:sz="12" w:space="0" w:color="auto"/>
            </w:tcBorders>
          </w:tcPr>
          <w:p w:rsidR="00C82EA5" w:rsidRPr="00FD2945" w:rsidRDefault="00C82EA5" w:rsidP="00C82EA5">
            <w:pPr>
              <w:pStyle w:val="DecimalAligned"/>
              <w:spacing w:line="240" w:lineRule="auto"/>
              <w:rPr>
                <w:lang w:val="es-MX"/>
              </w:rPr>
            </w:pPr>
          </w:p>
        </w:tc>
        <w:tc>
          <w:tcPr>
            <w:tcW w:w="956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pStyle w:val="DecimalAligned"/>
              <w:spacing w:line="240" w:lineRule="auto"/>
              <w:rPr>
                <w:lang w:val="es-MX"/>
              </w:rPr>
            </w:pPr>
            <w:r w:rsidRPr="00FD2945">
              <w:rPr>
                <w:lang w:val="es-MX"/>
              </w:rPr>
              <w:t>45</w:t>
            </w:r>
          </w:p>
        </w:tc>
      </w:tr>
      <w:tr w:rsidR="00C82EA5" w:rsidTr="00C82EA5">
        <w:trPr>
          <w:trHeight w:val="206"/>
        </w:trPr>
        <w:tc>
          <w:tcPr>
            <w:tcW w:w="954" w:type="pct"/>
            <w:tcBorders>
              <w:left w:val="single" w:sz="12" w:space="0" w:color="auto"/>
            </w:tcBorders>
            <w:noWrap/>
          </w:tcPr>
          <w:p w:rsidR="00C82EA5" w:rsidRPr="00FD2945" w:rsidRDefault="00C82EA5" w:rsidP="00C82EA5">
            <w:pPr>
              <w:rPr>
                <w:lang w:val="es-MX"/>
              </w:rPr>
            </w:pPr>
            <w:r w:rsidRPr="00FD2945">
              <w:rPr>
                <w:lang w:val="es-MX"/>
              </w:rPr>
              <w:t xml:space="preserve">96.2 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pStyle w:val="DecimalAligned"/>
              <w:spacing w:line="240" w:lineRule="auto"/>
              <w:rPr>
                <w:lang w:val="es-MX"/>
              </w:rPr>
            </w:pPr>
          </w:p>
        </w:tc>
        <w:tc>
          <w:tcPr>
            <w:tcW w:w="1050" w:type="pct"/>
            <w:tcBorders>
              <w:left w:val="single" w:sz="12" w:space="0" w:color="auto"/>
            </w:tcBorders>
          </w:tcPr>
          <w:p w:rsidR="00C82EA5" w:rsidRPr="00FD2945" w:rsidRDefault="00C82EA5" w:rsidP="00C82EA5">
            <w:pPr>
              <w:pStyle w:val="DecimalAligned"/>
              <w:spacing w:line="240" w:lineRule="auto"/>
              <w:rPr>
                <w:lang w:val="es-MX"/>
              </w:rPr>
            </w:pPr>
            <w:r w:rsidRPr="00FD2945">
              <w:rPr>
                <w:lang w:val="es-MX"/>
              </w:rPr>
              <w:t xml:space="preserve">1.1 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pStyle w:val="DecimalAligned"/>
              <w:spacing w:line="240" w:lineRule="auto"/>
              <w:rPr>
                <w:lang w:val="es-MX"/>
              </w:rPr>
            </w:pPr>
          </w:p>
        </w:tc>
        <w:tc>
          <w:tcPr>
            <w:tcW w:w="1170" w:type="pct"/>
            <w:tcBorders>
              <w:left w:val="single" w:sz="12" w:space="0" w:color="auto"/>
            </w:tcBorders>
          </w:tcPr>
          <w:p w:rsidR="00C82EA5" w:rsidRPr="00FD2945" w:rsidRDefault="00C82EA5" w:rsidP="00C82EA5">
            <w:pPr>
              <w:pStyle w:val="DecimalAligned"/>
              <w:spacing w:line="240" w:lineRule="auto"/>
              <w:rPr>
                <w:lang w:val="es-MX"/>
              </w:rPr>
            </w:pPr>
            <w:r w:rsidRPr="00FD2945">
              <w:rPr>
                <w:lang w:val="es-MX"/>
              </w:rPr>
              <w:t>M</w:t>
            </w:r>
          </w:p>
        </w:tc>
        <w:tc>
          <w:tcPr>
            <w:tcW w:w="290" w:type="pct"/>
            <w:tcBorders>
              <w:left w:val="single" w:sz="12" w:space="0" w:color="auto"/>
            </w:tcBorders>
          </w:tcPr>
          <w:p w:rsidR="00C82EA5" w:rsidRPr="00FD2945" w:rsidRDefault="00C82EA5" w:rsidP="00C82EA5">
            <w:pPr>
              <w:pStyle w:val="DecimalAligned"/>
              <w:spacing w:line="240" w:lineRule="auto"/>
              <w:rPr>
                <w:lang w:val="es-MX"/>
              </w:rPr>
            </w:pPr>
          </w:p>
        </w:tc>
        <w:tc>
          <w:tcPr>
            <w:tcW w:w="956" w:type="pct"/>
            <w:tcBorders>
              <w:right w:val="single" w:sz="12" w:space="0" w:color="auto"/>
            </w:tcBorders>
          </w:tcPr>
          <w:p w:rsidR="00C82EA5" w:rsidRPr="00FD2945" w:rsidRDefault="00C82EA5" w:rsidP="00C82EA5">
            <w:pPr>
              <w:pStyle w:val="DecimalAligned"/>
              <w:spacing w:line="240" w:lineRule="auto"/>
              <w:rPr>
                <w:lang w:val="es-MX"/>
              </w:rPr>
            </w:pPr>
            <w:r w:rsidRPr="00FD2945">
              <w:rPr>
                <w:lang w:val="es-MX"/>
              </w:rPr>
              <w:t>33</w:t>
            </w:r>
          </w:p>
        </w:tc>
      </w:tr>
      <w:tr w:rsidR="00C82EA5" w:rsidTr="00C82EA5">
        <w:trPr>
          <w:trHeight w:val="206"/>
        </w:trPr>
        <w:tc>
          <w:tcPr>
            <w:tcW w:w="954" w:type="pct"/>
            <w:tcBorders>
              <w:left w:val="single" w:sz="12" w:space="0" w:color="auto"/>
            </w:tcBorders>
            <w:noWrap/>
          </w:tcPr>
          <w:p w:rsidR="00C82EA5" w:rsidRDefault="00C82EA5" w:rsidP="00C82EA5">
            <w:r>
              <w:t>------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</w:p>
        </w:tc>
        <w:tc>
          <w:tcPr>
            <w:tcW w:w="1050" w:type="pct"/>
            <w:tcBorders>
              <w:lef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  <w:r>
              <w:t xml:space="preserve">5.21 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</w:p>
        </w:tc>
        <w:tc>
          <w:tcPr>
            <w:tcW w:w="1170" w:type="pct"/>
            <w:tcBorders>
              <w:lef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  <w:r>
              <w:t xml:space="preserve">    </w:t>
            </w:r>
            <w:r w:rsidRPr="00320DB9">
              <w:rPr>
                <w:lang w:val="es-MX"/>
              </w:rPr>
              <w:t xml:space="preserve">M </w:t>
            </w:r>
          </w:p>
        </w:tc>
        <w:tc>
          <w:tcPr>
            <w:tcW w:w="290" w:type="pct"/>
            <w:tcBorders>
              <w:lef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</w:p>
        </w:tc>
        <w:tc>
          <w:tcPr>
            <w:tcW w:w="956" w:type="pct"/>
            <w:tcBorders>
              <w:righ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  <w:r>
              <w:t>59</w:t>
            </w:r>
          </w:p>
        </w:tc>
      </w:tr>
      <w:tr w:rsidR="00C82EA5" w:rsidTr="00C82EA5">
        <w:trPr>
          <w:trHeight w:val="200"/>
        </w:trPr>
        <w:tc>
          <w:tcPr>
            <w:tcW w:w="954" w:type="pct"/>
            <w:tcBorders>
              <w:left w:val="single" w:sz="12" w:space="0" w:color="auto"/>
            </w:tcBorders>
            <w:noWrap/>
          </w:tcPr>
          <w:p w:rsidR="00C82EA5" w:rsidRDefault="00C82EA5" w:rsidP="00C82EA5">
            <w:r>
              <w:t xml:space="preserve">459.3 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</w:p>
        </w:tc>
        <w:tc>
          <w:tcPr>
            <w:tcW w:w="1050" w:type="pct"/>
            <w:tcBorders>
              <w:lef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  <w:r>
              <w:t xml:space="preserve">1.07 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</w:p>
        </w:tc>
        <w:tc>
          <w:tcPr>
            <w:tcW w:w="1170" w:type="pct"/>
            <w:tcBorders>
              <w:lef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  <w:r>
              <w:t xml:space="preserve">F </w:t>
            </w:r>
          </w:p>
        </w:tc>
        <w:tc>
          <w:tcPr>
            <w:tcW w:w="290" w:type="pct"/>
            <w:tcBorders>
              <w:lef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</w:p>
        </w:tc>
        <w:tc>
          <w:tcPr>
            <w:tcW w:w="956" w:type="pct"/>
            <w:tcBorders>
              <w:righ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  <w:r>
              <w:t>29</w:t>
            </w:r>
          </w:p>
        </w:tc>
      </w:tr>
      <w:tr w:rsidR="00C82EA5" w:rsidTr="00C82E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tcW w:w="954" w:type="pct"/>
            <w:tcBorders>
              <w:left w:val="single" w:sz="12" w:space="0" w:color="auto"/>
            </w:tcBorders>
            <w:noWrap/>
          </w:tcPr>
          <w:p w:rsidR="00C82EA5" w:rsidRDefault="00C82EA5" w:rsidP="00C82EA5">
            <w:r>
              <w:t xml:space="preserve">99.1 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</w:p>
        </w:tc>
        <w:tc>
          <w:tcPr>
            <w:tcW w:w="1050" w:type="pct"/>
            <w:tcBorders>
              <w:lef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  <w:r>
              <w:t xml:space="preserve">1.07 </w:t>
            </w:r>
          </w:p>
        </w:tc>
        <w:tc>
          <w:tcPr>
            <w:tcW w:w="290" w:type="pct"/>
            <w:tcBorders>
              <w:righ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</w:p>
        </w:tc>
        <w:tc>
          <w:tcPr>
            <w:tcW w:w="1170" w:type="pct"/>
            <w:tcBorders>
              <w:lef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  <w:r>
              <w:t xml:space="preserve">F </w:t>
            </w:r>
          </w:p>
        </w:tc>
        <w:tc>
          <w:tcPr>
            <w:tcW w:w="290" w:type="pct"/>
            <w:tcBorders>
              <w:lef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</w:p>
        </w:tc>
        <w:tc>
          <w:tcPr>
            <w:tcW w:w="956" w:type="pct"/>
            <w:tcBorders>
              <w:right w:val="single" w:sz="12" w:space="0" w:color="auto"/>
            </w:tcBorders>
          </w:tcPr>
          <w:p w:rsidR="00C82EA5" w:rsidRDefault="00C82EA5" w:rsidP="00C82EA5">
            <w:pPr>
              <w:pStyle w:val="DecimalAligned"/>
              <w:spacing w:line="240" w:lineRule="auto"/>
            </w:pPr>
            <w:r>
              <w:t>44</w:t>
            </w:r>
          </w:p>
        </w:tc>
      </w:tr>
    </w:tbl>
    <w:p w:rsidR="00761B71" w:rsidRPr="00761B71" w:rsidRDefault="00761B71" w:rsidP="00761B71">
      <w:pPr>
        <w:spacing w:after="200" w:line="276" w:lineRule="auto"/>
        <w:jc w:val="center"/>
        <w:rPr>
          <w:b/>
          <w:lang w:val="es-MX"/>
        </w:rPr>
      </w:pPr>
    </w:p>
    <w:p w:rsidR="00761B71" w:rsidRDefault="00761B71" w:rsidP="00761B71">
      <w:pPr>
        <w:spacing w:after="200" w:line="276" w:lineRule="auto"/>
        <w:jc w:val="center"/>
        <w:rPr>
          <w:b/>
          <w:lang w:val="es-ES"/>
        </w:rPr>
      </w:pPr>
    </w:p>
    <w:p w:rsidR="00761B71" w:rsidRDefault="00761B71" w:rsidP="00761B71">
      <w:pPr>
        <w:spacing w:after="200" w:line="276" w:lineRule="auto"/>
        <w:jc w:val="center"/>
        <w:rPr>
          <w:b/>
          <w:lang w:val="es-ES"/>
        </w:rPr>
      </w:pPr>
    </w:p>
    <w:p w:rsidR="00761B71" w:rsidRPr="00CC4818" w:rsidRDefault="00761B71" w:rsidP="00761B71">
      <w:pPr>
        <w:spacing w:after="200" w:line="276" w:lineRule="auto"/>
        <w:jc w:val="center"/>
        <w:rPr>
          <w:rFonts w:ascii="Arial" w:hAnsi="Arial" w:cs="Arial"/>
          <w:lang w:val="es-ES"/>
        </w:rPr>
      </w:pPr>
    </w:p>
    <w:p w:rsidR="00761B71" w:rsidRDefault="00761B71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761B71" w:rsidRDefault="00761B71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761B71" w:rsidRDefault="00761B71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9316B0" w:rsidRDefault="009316B0" w:rsidP="00AA6CBA">
      <w:pPr>
        <w:spacing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val="es-ES"/>
        </w:rPr>
      </w:pPr>
    </w:p>
    <w:p w:rsidR="00761B71" w:rsidRDefault="009316B0" w:rsidP="00C82EA5">
      <w:pPr>
        <w:spacing w:line="36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C82EA5">
        <w:rPr>
          <w:rFonts w:ascii="Times New Roman" w:eastAsia="Times New Roman" w:hAnsi="Times New Roman" w:cs="Times New Roman"/>
          <w:szCs w:val="12"/>
          <w:lang w:val="es-ES"/>
        </w:rPr>
        <w:t>Fuente: Base de datos estudio Toxoplasmosis, UABC.</w:t>
      </w:r>
    </w:p>
    <w:p w:rsidR="00761B71" w:rsidRDefault="00761B71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9F3F26" w:rsidRDefault="00FA14F6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AA6CBA">
        <w:rPr>
          <w:rFonts w:ascii="Times New Roman" w:eastAsia="Times New Roman" w:hAnsi="Times New Roman" w:cs="Times New Roman"/>
          <w:lang w:val="es-ES"/>
        </w:rPr>
        <w:t>La o</w:t>
      </w:r>
      <w:r w:rsidR="00AC4714" w:rsidRPr="00AA6CBA">
        <w:rPr>
          <w:rFonts w:ascii="Times New Roman" w:eastAsia="Times New Roman" w:hAnsi="Times New Roman" w:cs="Times New Roman"/>
          <w:lang w:val="es-ES"/>
        </w:rPr>
        <w:t>cupación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laboral es por</w:t>
      </w:r>
      <w:r w:rsidR="00AC4714" w:rsidRPr="00AA6CBA">
        <w:rPr>
          <w:rFonts w:ascii="Times New Roman" w:eastAsia="Times New Roman" w:hAnsi="Times New Roman" w:cs="Times New Roman"/>
          <w:lang w:val="es-ES"/>
        </w:rPr>
        <w:t xml:space="preserve"> empleados/obreros 56.4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AC4714" w:rsidRPr="00AA6CBA">
        <w:rPr>
          <w:rFonts w:ascii="Times New Roman" w:eastAsia="Times New Roman" w:hAnsi="Times New Roman" w:cs="Times New Roman"/>
          <w:lang w:val="es-ES"/>
        </w:rPr>
        <w:t>%, sin empleo 6.2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AC4714" w:rsidRPr="00AA6CBA">
        <w:rPr>
          <w:rFonts w:ascii="Times New Roman" w:eastAsia="Times New Roman" w:hAnsi="Times New Roman" w:cs="Times New Roman"/>
          <w:lang w:val="es-ES"/>
        </w:rPr>
        <w:t>%,  amas de casa 17.6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AC4714" w:rsidRPr="00AA6CBA">
        <w:rPr>
          <w:rFonts w:ascii="Times New Roman" w:eastAsia="Times New Roman" w:hAnsi="Times New Roman" w:cs="Times New Roman"/>
          <w:lang w:val="es-ES"/>
        </w:rPr>
        <w:t>%, profesionistas16.3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AC4714" w:rsidRPr="00AA6CBA">
        <w:rPr>
          <w:rFonts w:ascii="Times New Roman" w:eastAsia="Times New Roman" w:hAnsi="Times New Roman" w:cs="Times New Roman"/>
          <w:lang w:val="es-ES"/>
        </w:rPr>
        <w:t>%, estudiantes 3.5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AC4714" w:rsidRPr="00AA6CBA">
        <w:rPr>
          <w:rFonts w:ascii="Times New Roman" w:eastAsia="Times New Roman" w:hAnsi="Times New Roman" w:cs="Times New Roman"/>
          <w:lang w:val="es-ES"/>
        </w:rPr>
        <w:t>%</w:t>
      </w:r>
      <w:r w:rsidR="00DF02C5" w:rsidRPr="00AA6CBA">
        <w:rPr>
          <w:rFonts w:ascii="Times New Roman" w:eastAsia="Times New Roman" w:hAnsi="Times New Roman" w:cs="Times New Roman"/>
          <w:lang w:val="es-ES"/>
        </w:rPr>
        <w:t>,</w:t>
      </w:r>
      <w:r w:rsidR="000747CA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1E0533" w:rsidRPr="00AA6CBA">
        <w:rPr>
          <w:rFonts w:ascii="Times New Roman" w:eastAsia="Times New Roman" w:hAnsi="Times New Roman" w:cs="Times New Roman"/>
          <w:lang w:val="es-ES"/>
        </w:rPr>
        <w:t xml:space="preserve">con respecto </w:t>
      </w:r>
      <w:r w:rsidR="00DF02C5" w:rsidRPr="00AA6CBA">
        <w:rPr>
          <w:rFonts w:ascii="Times New Roman" w:eastAsia="Times New Roman" w:hAnsi="Times New Roman" w:cs="Times New Roman"/>
          <w:lang w:val="es-ES"/>
        </w:rPr>
        <w:t>a</w:t>
      </w:r>
      <w:r w:rsidR="001E0533" w:rsidRPr="00AA6CBA">
        <w:rPr>
          <w:rFonts w:ascii="Times New Roman" w:eastAsia="Times New Roman" w:hAnsi="Times New Roman" w:cs="Times New Roman"/>
          <w:lang w:val="es-ES"/>
        </w:rPr>
        <w:t xml:space="preserve"> las mascotas</w:t>
      </w:r>
      <w:r w:rsidR="00CA21B2" w:rsidRPr="00AA6CBA">
        <w:rPr>
          <w:rFonts w:ascii="Times New Roman" w:eastAsia="Times New Roman" w:hAnsi="Times New Roman" w:cs="Times New Roman"/>
          <w:lang w:val="es-ES"/>
        </w:rPr>
        <w:t xml:space="preserve"> 51.7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6976CC" w:rsidRPr="00AA6CBA">
        <w:rPr>
          <w:rFonts w:ascii="Times New Roman" w:eastAsia="Times New Roman" w:hAnsi="Times New Roman" w:cs="Times New Roman"/>
          <w:lang w:val="es-ES"/>
        </w:rPr>
        <w:t>% tie</w:t>
      </w:r>
      <w:r w:rsidR="001E0533" w:rsidRPr="00AA6CBA">
        <w:rPr>
          <w:rFonts w:ascii="Times New Roman" w:eastAsia="Times New Roman" w:hAnsi="Times New Roman" w:cs="Times New Roman"/>
          <w:lang w:val="es-ES"/>
        </w:rPr>
        <w:t>ne</w:t>
      </w:r>
      <w:r w:rsidR="00CA21B2" w:rsidRPr="00AA6CBA">
        <w:rPr>
          <w:rFonts w:ascii="Times New Roman" w:eastAsia="Times New Roman" w:hAnsi="Times New Roman" w:cs="Times New Roman"/>
          <w:lang w:val="es-ES"/>
        </w:rPr>
        <w:t xml:space="preserve"> gatos y perros, </w:t>
      </w:r>
      <w:r w:rsidR="006976CC" w:rsidRPr="00AA6CBA">
        <w:rPr>
          <w:rFonts w:ascii="Times New Roman" w:eastAsia="Times New Roman" w:hAnsi="Times New Roman" w:cs="Times New Roman"/>
          <w:lang w:val="es-ES"/>
        </w:rPr>
        <w:t>7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6976CC" w:rsidRPr="00AA6CBA">
        <w:rPr>
          <w:rFonts w:ascii="Times New Roman" w:eastAsia="Times New Roman" w:hAnsi="Times New Roman" w:cs="Times New Roman"/>
          <w:lang w:val="es-ES"/>
        </w:rPr>
        <w:t xml:space="preserve">% solo tiene gatos, </w:t>
      </w:r>
      <w:r w:rsidR="009D536A" w:rsidRPr="00AA6CBA">
        <w:rPr>
          <w:rFonts w:ascii="Times New Roman" w:eastAsia="Times New Roman" w:hAnsi="Times New Roman" w:cs="Times New Roman"/>
          <w:lang w:val="es-ES"/>
        </w:rPr>
        <w:t>4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9D536A" w:rsidRPr="00AA6CBA">
        <w:rPr>
          <w:rFonts w:ascii="Times New Roman" w:eastAsia="Times New Roman" w:hAnsi="Times New Roman" w:cs="Times New Roman"/>
          <w:lang w:val="es-ES"/>
        </w:rPr>
        <w:t>% gatos y aves de corral,</w:t>
      </w:r>
      <w:r w:rsidR="001E053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9D536A" w:rsidRPr="00AA6CBA">
        <w:rPr>
          <w:rFonts w:ascii="Times New Roman" w:eastAsia="Times New Roman" w:hAnsi="Times New Roman" w:cs="Times New Roman"/>
          <w:lang w:val="es-ES"/>
        </w:rPr>
        <w:t>2.3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9D536A" w:rsidRPr="00AA6CBA">
        <w:rPr>
          <w:rFonts w:ascii="Times New Roman" w:eastAsia="Times New Roman" w:hAnsi="Times New Roman" w:cs="Times New Roman"/>
          <w:lang w:val="es-ES"/>
        </w:rPr>
        <w:t>%</w:t>
      </w:r>
      <w:r w:rsidR="00CA21B2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9D536A" w:rsidRPr="00AA6CBA">
        <w:rPr>
          <w:rFonts w:ascii="Times New Roman" w:eastAsia="Times New Roman" w:hAnsi="Times New Roman" w:cs="Times New Roman"/>
          <w:lang w:val="es-ES"/>
        </w:rPr>
        <w:t>gatos y peces</w:t>
      </w:r>
      <w:r w:rsidR="00DF02C5" w:rsidRPr="00AA6CBA">
        <w:rPr>
          <w:rFonts w:ascii="Times New Roman" w:eastAsia="Times New Roman" w:hAnsi="Times New Roman" w:cs="Times New Roman"/>
          <w:lang w:val="es-ES"/>
        </w:rPr>
        <w:t>,</w:t>
      </w:r>
      <w:r w:rsidR="009D536A" w:rsidRPr="00AA6CBA">
        <w:rPr>
          <w:rFonts w:ascii="Times New Roman" w:eastAsia="Times New Roman" w:hAnsi="Times New Roman" w:cs="Times New Roman"/>
          <w:lang w:val="es-ES"/>
        </w:rPr>
        <w:t xml:space="preserve"> y 35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9D536A" w:rsidRPr="00AA6CBA">
        <w:rPr>
          <w:rFonts w:ascii="Times New Roman" w:eastAsia="Times New Roman" w:hAnsi="Times New Roman" w:cs="Times New Roman"/>
          <w:lang w:val="es-ES"/>
        </w:rPr>
        <w:t>% no tiene</w:t>
      </w:r>
      <w:r w:rsidR="00496364" w:rsidRPr="00AA6CBA">
        <w:rPr>
          <w:rFonts w:ascii="Times New Roman" w:eastAsia="Times New Roman" w:hAnsi="Times New Roman" w:cs="Times New Roman"/>
          <w:lang w:val="es-ES"/>
        </w:rPr>
        <w:t>n (grá</w:t>
      </w:r>
      <w:r w:rsidR="009D536A" w:rsidRPr="00AA6CBA">
        <w:rPr>
          <w:rFonts w:ascii="Times New Roman" w:eastAsia="Times New Roman" w:hAnsi="Times New Roman" w:cs="Times New Roman"/>
          <w:lang w:val="es-ES"/>
        </w:rPr>
        <w:t>fica 1)</w:t>
      </w:r>
      <w:r w:rsidR="00DF02C5" w:rsidRPr="00AA6CBA">
        <w:rPr>
          <w:rFonts w:ascii="Times New Roman" w:eastAsia="Times New Roman" w:hAnsi="Times New Roman" w:cs="Times New Roman"/>
          <w:lang w:val="es-ES"/>
        </w:rPr>
        <w:t>.</w:t>
      </w:r>
    </w:p>
    <w:p w:rsidR="00C82EA5" w:rsidRDefault="00C82EA5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C82EA5" w:rsidRPr="00C82EA5" w:rsidRDefault="00C82EA5" w:rsidP="00C82EA5">
      <w:pPr>
        <w:spacing w:line="36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C82EA5">
        <w:rPr>
          <w:rFonts w:ascii="Times New Roman" w:hAnsi="Times New Roman" w:cs="Times New Roman"/>
          <w:b/>
          <w:szCs w:val="20"/>
          <w:lang w:val="es-MX"/>
        </w:rPr>
        <w:t xml:space="preserve">Gráfica 1. </w:t>
      </w:r>
      <w:r w:rsidRPr="00C82EA5">
        <w:rPr>
          <w:rFonts w:ascii="Times New Roman" w:hAnsi="Times New Roman" w:cs="Times New Roman"/>
          <w:szCs w:val="20"/>
          <w:lang w:val="es-MX"/>
        </w:rPr>
        <w:t>Mascotas de personas seropositivas anti-</w:t>
      </w:r>
      <w:proofErr w:type="spellStart"/>
      <w:r w:rsidRPr="00C82EA5">
        <w:rPr>
          <w:rFonts w:ascii="Times New Roman" w:hAnsi="Times New Roman" w:cs="Times New Roman"/>
          <w:szCs w:val="20"/>
          <w:lang w:val="es-MX"/>
        </w:rPr>
        <w:t>toxo</w:t>
      </w:r>
      <w:proofErr w:type="spellEnd"/>
      <w:r w:rsidRPr="00C82EA5">
        <w:rPr>
          <w:rFonts w:ascii="Times New Roman" w:hAnsi="Times New Roman" w:cs="Times New Roman"/>
          <w:szCs w:val="20"/>
          <w:lang w:val="es-MX"/>
        </w:rPr>
        <w:t xml:space="preserve"> </w:t>
      </w:r>
      <w:proofErr w:type="spellStart"/>
      <w:r w:rsidRPr="00C82EA5">
        <w:rPr>
          <w:rFonts w:ascii="Times New Roman" w:hAnsi="Times New Roman" w:cs="Times New Roman"/>
          <w:szCs w:val="20"/>
          <w:lang w:val="es-MX"/>
        </w:rPr>
        <w:t>IgG</w:t>
      </w:r>
      <w:proofErr w:type="spellEnd"/>
      <w:r w:rsidRPr="00C82EA5">
        <w:rPr>
          <w:rFonts w:ascii="Times New Roman" w:hAnsi="Times New Roman" w:cs="Times New Roman"/>
          <w:szCs w:val="20"/>
          <w:lang w:val="es-MX"/>
        </w:rPr>
        <w:t xml:space="preserve"> e </w:t>
      </w:r>
      <w:proofErr w:type="spellStart"/>
      <w:r w:rsidRPr="00C82EA5">
        <w:rPr>
          <w:rFonts w:ascii="Times New Roman" w:hAnsi="Times New Roman" w:cs="Times New Roman"/>
          <w:szCs w:val="20"/>
          <w:lang w:val="es-MX"/>
        </w:rPr>
        <w:t>IgM</w:t>
      </w:r>
      <w:proofErr w:type="spellEnd"/>
    </w:p>
    <w:p w:rsidR="00C82EA5" w:rsidRDefault="00C82EA5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9F3F26" w:rsidRDefault="009F3F26" w:rsidP="009F3F26">
      <w:pPr>
        <w:spacing w:line="360" w:lineRule="auto"/>
        <w:jc w:val="center"/>
        <w:rPr>
          <w:rFonts w:ascii="Times New Roman" w:eastAsia="Times New Roman" w:hAnsi="Times New Roman" w:cs="Times New Roman"/>
          <w:lang w:val="es-ES"/>
        </w:rPr>
      </w:pPr>
      <w:r w:rsidRPr="00BA002E">
        <w:rPr>
          <w:rFonts w:ascii="Times New Roman" w:eastAsia="Times New Roman" w:hAnsi="Times New Roman" w:cs="Times New Roman"/>
          <w:noProof/>
          <w:lang w:val="es-MX" w:eastAsia="es-MX"/>
        </w:rPr>
        <w:drawing>
          <wp:inline distT="0" distB="0" distL="0" distR="0">
            <wp:extent cx="3971060" cy="2566959"/>
            <wp:effectExtent l="19050" t="0" r="10390" b="4791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20FC5" w:rsidRDefault="00320FC5" w:rsidP="00320FC5">
      <w:pPr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320FC5" w:rsidRDefault="00320FC5" w:rsidP="00320FC5">
      <w:pPr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C82EA5">
        <w:rPr>
          <w:rFonts w:ascii="Times New Roman" w:eastAsia="Times New Roman" w:hAnsi="Times New Roman" w:cs="Times New Roman"/>
          <w:b/>
          <w:szCs w:val="12"/>
          <w:lang w:val="es-ES"/>
        </w:rPr>
        <w:t>Fuente:</w:t>
      </w:r>
      <w:r w:rsidRPr="00C82EA5">
        <w:rPr>
          <w:rFonts w:ascii="Times New Roman" w:eastAsia="Times New Roman" w:hAnsi="Times New Roman" w:cs="Times New Roman"/>
          <w:szCs w:val="12"/>
          <w:lang w:val="es-ES"/>
        </w:rPr>
        <w:t xml:space="preserve"> Base de datos estudio Toxoplasmosis, UABC.</w:t>
      </w:r>
    </w:p>
    <w:p w:rsidR="00C82EA5" w:rsidRDefault="00C82EA5" w:rsidP="00320DB9">
      <w:pPr>
        <w:spacing w:line="48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4A36A7" w:rsidRDefault="009316B0" w:rsidP="00320DB9">
      <w:pPr>
        <w:spacing w:line="48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                                             </w:t>
      </w:r>
    </w:p>
    <w:p w:rsidR="00320DB9" w:rsidRDefault="00320DB9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p w:rsidR="00BA002E" w:rsidRDefault="00DF02C5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AA6CBA">
        <w:rPr>
          <w:rFonts w:ascii="Times New Roman" w:eastAsia="Times New Roman" w:hAnsi="Times New Roman" w:cs="Times New Roman"/>
          <w:lang w:val="es-ES"/>
        </w:rPr>
        <w:lastRenderedPageBreak/>
        <w:t>S</w:t>
      </w:r>
      <w:r w:rsidR="00496364" w:rsidRPr="00AA6CBA">
        <w:rPr>
          <w:rFonts w:ascii="Times New Roman" w:eastAsia="Times New Roman" w:hAnsi="Times New Roman" w:cs="Times New Roman"/>
          <w:lang w:val="es-ES"/>
        </w:rPr>
        <w:t>e realizó la prueba de Chi</w:t>
      </w:r>
      <w:r w:rsidR="00496364" w:rsidRPr="00AA6CBA">
        <w:rPr>
          <w:rFonts w:ascii="Times New Roman" w:eastAsia="Times New Roman" w:hAnsi="Times New Roman" w:cs="Times New Roman"/>
          <w:vertAlign w:val="superscript"/>
          <w:lang w:val="es-ES"/>
        </w:rPr>
        <w:t>2</w:t>
      </w:r>
      <w:r w:rsidR="00496364" w:rsidRPr="00AA6CBA">
        <w:rPr>
          <w:rFonts w:ascii="Times New Roman" w:eastAsia="Times New Roman" w:hAnsi="Times New Roman" w:cs="Times New Roman"/>
          <w:lang w:val="es-ES"/>
        </w:rPr>
        <w:t xml:space="preserve"> para </w:t>
      </w:r>
      <w:r w:rsidR="000747CA" w:rsidRPr="00AA6CBA">
        <w:rPr>
          <w:rFonts w:ascii="Times New Roman" w:eastAsia="Times New Roman" w:hAnsi="Times New Roman" w:cs="Times New Roman"/>
          <w:lang w:val="es-ES"/>
        </w:rPr>
        <w:t>establecer</w:t>
      </w:r>
      <w:r w:rsidR="00496364" w:rsidRPr="00AA6CBA">
        <w:rPr>
          <w:rFonts w:ascii="Times New Roman" w:eastAsia="Times New Roman" w:hAnsi="Times New Roman" w:cs="Times New Roman"/>
          <w:lang w:val="es-ES"/>
        </w:rPr>
        <w:t xml:space="preserve"> asociación entre la presencia del anticuerpo y las mascotas encontrando que s</w:t>
      </w:r>
      <w:r w:rsidRPr="00AA6CBA">
        <w:rPr>
          <w:rFonts w:ascii="Times New Roman" w:eastAsia="Times New Roman" w:hAnsi="Times New Roman" w:cs="Times New Roman"/>
          <w:lang w:val="es-ES"/>
        </w:rPr>
        <w:t>í</w:t>
      </w:r>
      <w:r w:rsidR="00496364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747CA" w:rsidRPr="00AA6CBA">
        <w:rPr>
          <w:rFonts w:ascii="Times New Roman" w:eastAsia="Times New Roman" w:hAnsi="Times New Roman" w:cs="Times New Roman"/>
          <w:lang w:val="es-ES"/>
        </w:rPr>
        <w:t>la hay,</w:t>
      </w:r>
      <w:r w:rsidR="00496364" w:rsidRPr="00AA6CBA">
        <w:rPr>
          <w:rFonts w:ascii="Times New Roman" w:eastAsia="Times New Roman" w:hAnsi="Times New Roman" w:cs="Times New Roman"/>
          <w:lang w:val="es-ES"/>
        </w:rPr>
        <w:t xml:space="preserve"> con </w:t>
      </w:r>
      <w:r w:rsidR="000747CA" w:rsidRPr="00AA6CBA">
        <w:rPr>
          <w:rFonts w:ascii="Times New Roman" w:eastAsia="Times New Roman" w:hAnsi="Times New Roman" w:cs="Times New Roman"/>
          <w:lang w:val="es-ES"/>
        </w:rPr>
        <w:t xml:space="preserve">un </w:t>
      </w:r>
      <w:r w:rsidR="00496364" w:rsidRPr="00AA6CBA">
        <w:rPr>
          <w:rFonts w:ascii="Times New Roman" w:eastAsia="Times New Roman" w:hAnsi="Times New Roman" w:cs="Times New Roman"/>
          <w:lang w:val="es-ES"/>
        </w:rPr>
        <w:t>valor para Chi</w:t>
      </w:r>
      <w:r w:rsidR="00496364" w:rsidRPr="00AA6CBA">
        <w:rPr>
          <w:rFonts w:ascii="Times New Roman" w:eastAsia="Times New Roman" w:hAnsi="Times New Roman" w:cs="Times New Roman"/>
          <w:vertAlign w:val="superscript"/>
          <w:lang w:val="es-ES"/>
        </w:rPr>
        <w:t xml:space="preserve">2 </w:t>
      </w:r>
      <w:r w:rsidR="000747CA" w:rsidRPr="00AA6CBA">
        <w:rPr>
          <w:rFonts w:ascii="Times New Roman" w:eastAsia="Times New Roman" w:hAnsi="Times New Roman" w:cs="Times New Roman"/>
          <w:lang w:val="es-ES"/>
        </w:rPr>
        <w:t>de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747CA" w:rsidRPr="00AA6CBA">
        <w:rPr>
          <w:rFonts w:ascii="Times New Roman" w:eastAsia="Times New Roman" w:hAnsi="Times New Roman" w:cs="Times New Roman"/>
          <w:lang w:val="es-ES"/>
        </w:rPr>
        <w:t xml:space="preserve">1.39 con 5gl </w:t>
      </w:r>
      <w:r w:rsidR="00496364" w:rsidRPr="00AA6CBA">
        <w:rPr>
          <w:rFonts w:ascii="Times New Roman" w:eastAsia="Times New Roman" w:hAnsi="Times New Roman" w:cs="Times New Roman"/>
          <w:lang w:val="es-ES"/>
        </w:rPr>
        <w:t>y 95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496364" w:rsidRPr="00AA6CBA">
        <w:rPr>
          <w:rFonts w:ascii="Times New Roman" w:eastAsia="Times New Roman" w:hAnsi="Times New Roman" w:cs="Times New Roman"/>
          <w:lang w:val="es-ES"/>
        </w:rPr>
        <w:t>% de confianza</w:t>
      </w:r>
      <w:r w:rsidRPr="00AA6CBA">
        <w:rPr>
          <w:rFonts w:ascii="Times New Roman" w:eastAsia="Times New Roman" w:hAnsi="Times New Roman" w:cs="Times New Roman"/>
          <w:lang w:val="es-ES"/>
        </w:rPr>
        <w:t>. C</w:t>
      </w:r>
      <w:r w:rsidR="00396FD9" w:rsidRPr="00AA6CBA">
        <w:rPr>
          <w:rFonts w:ascii="Times New Roman" w:eastAsia="Times New Roman" w:hAnsi="Times New Roman" w:cs="Times New Roman"/>
          <w:lang w:val="es-ES"/>
        </w:rPr>
        <w:t xml:space="preserve">abe mencionar </w:t>
      </w:r>
      <w:r w:rsidR="000747CA" w:rsidRPr="00AA6CBA">
        <w:rPr>
          <w:rFonts w:ascii="Times New Roman" w:eastAsia="Times New Roman" w:hAnsi="Times New Roman" w:cs="Times New Roman"/>
          <w:lang w:val="es-ES"/>
        </w:rPr>
        <w:t xml:space="preserve">que </w:t>
      </w:r>
      <w:r w:rsidR="00396FD9" w:rsidRPr="00AA6CBA">
        <w:rPr>
          <w:rFonts w:ascii="Times New Roman" w:eastAsia="Times New Roman" w:hAnsi="Times New Roman" w:cs="Times New Roman"/>
          <w:lang w:val="es-ES"/>
        </w:rPr>
        <w:t>los donadores evaluados viven en área urbana y son residentes con más de 5 años viviendo en la entidad</w:t>
      </w:r>
      <w:r w:rsidR="003C0C13" w:rsidRPr="00AA6CBA">
        <w:rPr>
          <w:rFonts w:ascii="Times New Roman" w:eastAsia="Times New Roman" w:hAnsi="Times New Roman" w:cs="Times New Roman"/>
          <w:lang w:val="es-ES"/>
        </w:rPr>
        <w:t>, 19.91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396FD9" w:rsidRPr="00AA6CBA">
        <w:rPr>
          <w:rFonts w:ascii="Times New Roman" w:eastAsia="Times New Roman" w:hAnsi="Times New Roman" w:cs="Times New Roman"/>
          <w:lang w:val="es-ES"/>
        </w:rPr>
        <w:t xml:space="preserve">% viene del sur de la República Mexicana, </w:t>
      </w:r>
      <w:r w:rsidR="003C0C13" w:rsidRPr="00AA6CBA">
        <w:rPr>
          <w:rFonts w:ascii="Times New Roman" w:eastAsia="Times New Roman" w:hAnsi="Times New Roman" w:cs="Times New Roman"/>
          <w:lang w:val="es-ES"/>
        </w:rPr>
        <w:t>36.31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396FD9" w:rsidRPr="00AA6CBA">
        <w:rPr>
          <w:rFonts w:ascii="Times New Roman" w:eastAsia="Times New Roman" w:hAnsi="Times New Roman" w:cs="Times New Roman"/>
          <w:lang w:val="es-ES"/>
        </w:rPr>
        <w:t xml:space="preserve">% 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son </w:t>
      </w:r>
      <w:r w:rsidR="00396FD9" w:rsidRPr="00AA6CBA">
        <w:rPr>
          <w:rFonts w:ascii="Times New Roman" w:eastAsia="Times New Roman" w:hAnsi="Times New Roman" w:cs="Times New Roman"/>
          <w:lang w:val="es-ES"/>
        </w:rPr>
        <w:t>de ciudades del centro</w:t>
      </w:r>
      <w:r w:rsidR="003C0C13" w:rsidRPr="00AA6CBA">
        <w:rPr>
          <w:rFonts w:ascii="Times New Roman" w:eastAsia="Times New Roman" w:hAnsi="Times New Roman" w:cs="Times New Roman"/>
          <w:lang w:val="es-ES"/>
        </w:rPr>
        <w:t>, 20.21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396FD9" w:rsidRPr="00AA6CBA">
        <w:rPr>
          <w:rFonts w:ascii="Times New Roman" w:eastAsia="Times New Roman" w:hAnsi="Times New Roman" w:cs="Times New Roman"/>
          <w:lang w:val="es-ES"/>
        </w:rPr>
        <w:t>% de otras ciuda</w:t>
      </w:r>
      <w:r w:rsidR="003C0C13" w:rsidRPr="00AA6CBA">
        <w:rPr>
          <w:rFonts w:ascii="Times New Roman" w:eastAsia="Times New Roman" w:hAnsi="Times New Roman" w:cs="Times New Roman"/>
          <w:lang w:val="es-ES"/>
        </w:rPr>
        <w:t>des del norte mientras que 23.52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396FD9" w:rsidRPr="00AA6CBA">
        <w:rPr>
          <w:rFonts w:ascii="Times New Roman" w:eastAsia="Times New Roman" w:hAnsi="Times New Roman" w:cs="Times New Roman"/>
          <w:lang w:val="es-ES"/>
        </w:rPr>
        <w:t xml:space="preserve">% 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nació </w:t>
      </w:r>
      <w:r w:rsidR="00396FD9" w:rsidRPr="00AA6CBA">
        <w:rPr>
          <w:rFonts w:ascii="Times New Roman" w:eastAsia="Times New Roman" w:hAnsi="Times New Roman" w:cs="Times New Roman"/>
          <w:lang w:val="es-ES"/>
        </w:rPr>
        <w:t>en Tijuana</w:t>
      </w:r>
      <w:r w:rsidRPr="00AA6CBA">
        <w:rPr>
          <w:rFonts w:ascii="Times New Roman" w:eastAsia="Times New Roman" w:hAnsi="Times New Roman" w:cs="Times New Roman"/>
          <w:lang w:val="es-ES"/>
        </w:rPr>
        <w:t>,</w:t>
      </w:r>
      <w:r w:rsidR="00396FD9" w:rsidRPr="00AA6CBA">
        <w:rPr>
          <w:rFonts w:ascii="Times New Roman" w:eastAsia="Times New Roman" w:hAnsi="Times New Roman" w:cs="Times New Roman"/>
          <w:lang w:val="es-ES"/>
        </w:rPr>
        <w:t xml:space="preserve"> Baja California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3C0C13" w:rsidRPr="00AA6CBA">
        <w:rPr>
          <w:rFonts w:ascii="Times New Roman" w:eastAsia="Times New Roman" w:hAnsi="Times New Roman" w:cs="Times New Roman"/>
          <w:lang w:val="es-ES"/>
        </w:rPr>
        <w:t>(tabla</w:t>
      </w:r>
      <w:r w:rsidR="003428E7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3C0C13" w:rsidRPr="00AA6CBA">
        <w:rPr>
          <w:rFonts w:ascii="Times New Roman" w:eastAsia="Times New Roman" w:hAnsi="Times New Roman" w:cs="Times New Roman"/>
          <w:lang w:val="es-ES"/>
        </w:rPr>
        <w:t>III)</w:t>
      </w:r>
      <w:r w:rsidR="00496364" w:rsidRPr="00AA6CBA">
        <w:rPr>
          <w:rFonts w:ascii="Times New Roman" w:eastAsia="Times New Roman" w:hAnsi="Times New Roman" w:cs="Times New Roman"/>
          <w:lang w:val="es-ES"/>
        </w:rPr>
        <w:t>.</w:t>
      </w:r>
    </w:p>
    <w:p w:rsidR="009F3F26" w:rsidRPr="009F3F26" w:rsidRDefault="009F3F26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</w:p>
    <w:tbl>
      <w:tblPr>
        <w:tblStyle w:val="Sombreadomedio1-nfasis3"/>
        <w:tblpPr w:leftFromText="180" w:rightFromText="180" w:vertAnchor="text" w:horzAnchor="margin" w:tblpXSpec="center" w:tblpY="410"/>
        <w:tblW w:w="0" w:type="auto"/>
        <w:tblLayout w:type="fixed"/>
        <w:tblLook w:val="0620" w:firstRow="1" w:lastRow="0" w:firstColumn="0" w:lastColumn="0" w:noHBand="1" w:noVBand="1"/>
      </w:tblPr>
      <w:tblGrid>
        <w:gridCol w:w="1639"/>
        <w:gridCol w:w="989"/>
        <w:gridCol w:w="1602"/>
        <w:gridCol w:w="990"/>
        <w:gridCol w:w="236"/>
        <w:gridCol w:w="236"/>
        <w:gridCol w:w="70"/>
        <w:gridCol w:w="1308"/>
        <w:gridCol w:w="62"/>
        <w:gridCol w:w="63"/>
        <w:gridCol w:w="1373"/>
      </w:tblGrid>
      <w:tr w:rsidR="00844A43" w:rsidTr="00844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1639" w:type="dxa"/>
            <w:vAlign w:val="center"/>
          </w:tcPr>
          <w:p w:rsidR="00844A43" w:rsidRDefault="00844A43" w:rsidP="00844A43">
            <w:pPr>
              <w:jc w:val="center"/>
            </w:pPr>
            <w:r>
              <w:t>Ciudades  del</w:t>
            </w:r>
          </w:p>
          <w:p w:rsidR="00844A43" w:rsidRDefault="00844A43" w:rsidP="00844A43">
            <w:pPr>
              <w:jc w:val="center"/>
            </w:pPr>
            <w:r>
              <w:t>Sur</w:t>
            </w:r>
          </w:p>
        </w:tc>
        <w:tc>
          <w:tcPr>
            <w:tcW w:w="989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  <w:r>
              <w:t>%</w:t>
            </w:r>
          </w:p>
        </w:tc>
        <w:tc>
          <w:tcPr>
            <w:tcW w:w="1602" w:type="dxa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  <w:r>
              <w:t>Ciudades del</w:t>
            </w:r>
          </w:p>
          <w:p w:rsidR="00844A43" w:rsidRDefault="00844A43" w:rsidP="00844A43">
            <w:pPr>
              <w:jc w:val="center"/>
            </w:pPr>
            <w:r>
              <w:t>Centro</w:t>
            </w:r>
          </w:p>
        </w:tc>
        <w:tc>
          <w:tcPr>
            <w:tcW w:w="990" w:type="dxa"/>
            <w:vAlign w:val="center"/>
          </w:tcPr>
          <w:p w:rsidR="00844A43" w:rsidRDefault="00844A43" w:rsidP="00844A43">
            <w:pPr>
              <w:jc w:val="center"/>
            </w:pPr>
            <w:r>
              <w:t>%</w:t>
            </w:r>
          </w:p>
        </w:tc>
        <w:tc>
          <w:tcPr>
            <w:tcW w:w="236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  <w:rPr>
                <w:b w:val="0"/>
                <w:bCs w:val="0"/>
              </w:rPr>
            </w:pPr>
          </w:p>
          <w:p w:rsidR="00844A43" w:rsidRDefault="00844A43" w:rsidP="00844A43">
            <w:pPr>
              <w:jc w:val="center"/>
            </w:pPr>
          </w:p>
        </w:tc>
        <w:tc>
          <w:tcPr>
            <w:tcW w:w="1614" w:type="dxa"/>
            <w:gridSpan w:val="3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  <w:r>
              <w:t xml:space="preserve">    Ciudades del</w:t>
            </w:r>
          </w:p>
          <w:p w:rsidR="00844A43" w:rsidRDefault="00844A43" w:rsidP="00844A43">
            <w:pPr>
              <w:jc w:val="center"/>
              <w:rPr>
                <w:b w:val="0"/>
                <w:bCs w:val="0"/>
              </w:rPr>
            </w:pPr>
            <w:r>
              <w:t xml:space="preserve">     Norte</w:t>
            </w:r>
          </w:p>
        </w:tc>
        <w:tc>
          <w:tcPr>
            <w:tcW w:w="1498" w:type="dxa"/>
            <w:gridSpan w:val="3"/>
            <w:vAlign w:val="center"/>
          </w:tcPr>
          <w:p w:rsidR="00844A43" w:rsidRDefault="00844A43" w:rsidP="00844A43">
            <w:pPr>
              <w:jc w:val="center"/>
            </w:pPr>
            <w:r>
              <w:t>%</w:t>
            </w:r>
          </w:p>
        </w:tc>
      </w:tr>
      <w:tr w:rsidR="00844A43" w:rsidTr="00844A43">
        <w:trPr>
          <w:trHeight w:val="609"/>
        </w:trPr>
        <w:tc>
          <w:tcPr>
            <w:tcW w:w="1639" w:type="dxa"/>
            <w:vAlign w:val="center"/>
          </w:tcPr>
          <w:p w:rsidR="00844A43" w:rsidRDefault="00844A43" w:rsidP="00844A43">
            <w:pPr>
              <w:jc w:val="center"/>
            </w:pPr>
            <w:r>
              <w:t>Chiapas</w:t>
            </w:r>
          </w:p>
        </w:tc>
        <w:tc>
          <w:tcPr>
            <w:tcW w:w="989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  <w:r>
              <w:t>3.5</w:t>
            </w:r>
          </w:p>
        </w:tc>
        <w:tc>
          <w:tcPr>
            <w:tcW w:w="1602" w:type="dxa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  <w:r>
              <w:t>Colima</w:t>
            </w:r>
          </w:p>
        </w:tc>
        <w:tc>
          <w:tcPr>
            <w:tcW w:w="990" w:type="dxa"/>
            <w:vAlign w:val="center"/>
          </w:tcPr>
          <w:p w:rsidR="00844A43" w:rsidRDefault="00844A43" w:rsidP="00844A43">
            <w:pPr>
              <w:jc w:val="center"/>
            </w:pPr>
            <w:r>
              <w:t>1.17</w:t>
            </w:r>
          </w:p>
        </w:tc>
        <w:tc>
          <w:tcPr>
            <w:tcW w:w="236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  <w:p w:rsidR="00844A43" w:rsidRDefault="00844A43" w:rsidP="00844A43">
            <w:pPr>
              <w:jc w:val="center"/>
            </w:pPr>
          </w:p>
        </w:tc>
        <w:tc>
          <w:tcPr>
            <w:tcW w:w="306" w:type="dxa"/>
            <w:gridSpan w:val="2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  <w:p w:rsidR="00844A43" w:rsidRDefault="00844A43" w:rsidP="00844A43">
            <w:pPr>
              <w:jc w:val="center"/>
            </w:pPr>
          </w:p>
        </w:tc>
        <w:tc>
          <w:tcPr>
            <w:tcW w:w="1433" w:type="dxa"/>
            <w:gridSpan w:val="3"/>
            <w:vAlign w:val="center"/>
          </w:tcPr>
          <w:p w:rsidR="00844A43" w:rsidRDefault="00844A43" w:rsidP="00844A43">
            <w:pPr>
              <w:jc w:val="center"/>
            </w:pPr>
            <w:r>
              <w:t>Baja</w:t>
            </w:r>
          </w:p>
          <w:p w:rsidR="00844A43" w:rsidRDefault="00844A43" w:rsidP="00844A43">
            <w:pPr>
              <w:jc w:val="center"/>
            </w:pPr>
            <w:r>
              <w:t>California</w:t>
            </w:r>
          </w:p>
        </w:tc>
        <w:tc>
          <w:tcPr>
            <w:tcW w:w="1373" w:type="dxa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23.</w:t>
            </w:r>
            <w:r>
              <w:rPr>
                <w:lang w:val="es-MX"/>
              </w:rPr>
              <w:t>52</w:t>
            </w:r>
          </w:p>
        </w:tc>
      </w:tr>
      <w:tr w:rsidR="00844A43" w:rsidTr="00844A43">
        <w:trPr>
          <w:trHeight w:val="274"/>
        </w:trPr>
        <w:tc>
          <w:tcPr>
            <w:tcW w:w="1639" w:type="dxa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Guerrero</w:t>
            </w:r>
          </w:p>
        </w:tc>
        <w:tc>
          <w:tcPr>
            <w:tcW w:w="989" w:type="dxa"/>
            <w:tcBorders>
              <w:right w:val="single" w:sz="6" w:space="0" w:color="9BBB59" w:themeColor="accent3"/>
            </w:tcBorders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5.88</w:t>
            </w:r>
          </w:p>
        </w:tc>
        <w:tc>
          <w:tcPr>
            <w:tcW w:w="1602" w:type="dxa"/>
            <w:tcBorders>
              <w:left w:val="single" w:sz="6" w:space="0" w:color="9BBB59" w:themeColor="accent3"/>
            </w:tcBorders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D.F.</w:t>
            </w:r>
          </w:p>
        </w:tc>
        <w:tc>
          <w:tcPr>
            <w:tcW w:w="990" w:type="dxa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5.88</w:t>
            </w:r>
          </w:p>
        </w:tc>
        <w:tc>
          <w:tcPr>
            <w:tcW w:w="236" w:type="dxa"/>
            <w:tcBorders>
              <w:right w:val="single" w:sz="6" w:space="0" w:color="9BBB59" w:themeColor="accent3"/>
            </w:tcBorders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</w:p>
        </w:tc>
        <w:tc>
          <w:tcPr>
            <w:tcW w:w="236" w:type="dxa"/>
            <w:tcBorders>
              <w:left w:val="single" w:sz="6" w:space="0" w:color="9BBB59" w:themeColor="accent3"/>
            </w:tcBorders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Sina</w:t>
            </w:r>
            <w:r>
              <w:rPr>
                <w:lang w:val="es-MX"/>
              </w:rPr>
              <w:t>loa</w:t>
            </w:r>
          </w:p>
        </w:tc>
        <w:tc>
          <w:tcPr>
            <w:tcW w:w="1436" w:type="dxa"/>
            <w:gridSpan w:val="2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15.29</w:t>
            </w:r>
          </w:p>
        </w:tc>
      </w:tr>
      <w:tr w:rsidR="00844A43" w:rsidTr="00844A43">
        <w:trPr>
          <w:trHeight w:val="274"/>
        </w:trPr>
        <w:tc>
          <w:tcPr>
            <w:tcW w:w="1639" w:type="dxa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Oaxaca</w:t>
            </w:r>
          </w:p>
        </w:tc>
        <w:tc>
          <w:tcPr>
            <w:tcW w:w="989" w:type="dxa"/>
            <w:tcBorders>
              <w:right w:val="single" w:sz="6" w:space="0" w:color="9BBB59" w:themeColor="accent3"/>
            </w:tcBorders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3.5</w:t>
            </w:r>
          </w:p>
        </w:tc>
        <w:tc>
          <w:tcPr>
            <w:tcW w:w="1602" w:type="dxa"/>
            <w:tcBorders>
              <w:left w:val="single" w:sz="6" w:space="0" w:color="9BBB59" w:themeColor="accent3"/>
            </w:tcBorders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G</w:t>
            </w:r>
            <w:r>
              <w:rPr>
                <w:lang w:val="es-MX"/>
              </w:rPr>
              <w:t>uadalajara</w:t>
            </w:r>
          </w:p>
        </w:tc>
        <w:tc>
          <w:tcPr>
            <w:tcW w:w="990" w:type="dxa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7.0</w:t>
            </w:r>
          </w:p>
        </w:tc>
        <w:tc>
          <w:tcPr>
            <w:tcW w:w="236" w:type="dxa"/>
            <w:tcBorders>
              <w:right w:val="single" w:sz="6" w:space="0" w:color="9BBB59" w:themeColor="accent3"/>
            </w:tcBorders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</w:p>
        </w:tc>
        <w:tc>
          <w:tcPr>
            <w:tcW w:w="236" w:type="dxa"/>
            <w:tcBorders>
              <w:left w:val="single" w:sz="6" w:space="0" w:color="9BBB59" w:themeColor="accent3"/>
            </w:tcBorders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Son</w:t>
            </w:r>
            <w:r>
              <w:rPr>
                <w:lang w:val="es-MX"/>
              </w:rPr>
              <w:t>ora</w:t>
            </w:r>
          </w:p>
        </w:tc>
        <w:tc>
          <w:tcPr>
            <w:tcW w:w="1436" w:type="dxa"/>
            <w:gridSpan w:val="2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1.17</w:t>
            </w:r>
          </w:p>
        </w:tc>
      </w:tr>
      <w:tr w:rsidR="00844A43" w:rsidTr="00844A43">
        <w:trPr>
          <w:trHeight w:val="274"/>
        </w:trPr>
        <w:tc>
          <w:tcPr>
            <w:tcW w:w="1639" w:type="dxa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Tabasco</w:t>
            </w:r>
          </w:p>
        </w:tc>
        <w:tc>
          <w:tcPr>
            <w:tcW w:w="989" w:type="dxa"/>
            <w:tcBorders>
              <w:right w:val="single" w:sz="6" w:space="0" w:color="9BBB59" w:themeColor="accent3"/>
            </w:tcBorders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1.17</w:t>
            </w:r>
          </w:p>
        </w:tc>
        <w:tc>
          <w:tcPr>
            <w:tcW w:w="1602" w:type="dxa"/>
            <w:tcBorders>
              <w:left w:val="single" w:sz="6" w:space="0" w:color="9BBB59" w:themeColor="accent3"/>
            </w:tcBorders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Hidal</w:t>
            </w:r>
            <w:r>
              <w:rPr>
                <w:lang w:val="es-MX"/>
              </w:rPr>
              <w:t>go</w:t>
            </w:r>
          </w:p>
        </w:tc>
        <w:tc>
          <w:tcPr>
            <w:tcW w:w="990" w:type="dxa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1.17</w:t>
            </w:r>
          </w:p>
        </w:tc>
        <w:tc>
          <w:tcPr>
            <w:tcW w:w="236" w:type="dxa"/>
            <w:tcBorders>
              <w:right w:val="single" w:sz="6" w:space="0" w:color="9BBB59" w:themeColor="accent3"/>
            </w:tcBorders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</w:p>
        </w:tc>
        <w:tc>
          <w:tcPr>
            <w:tcW w:w="236" w:type="dxa"/>
            <w:tcBorders>
              <w:left w:val="single" w:sz="6" w:space="0" w:color="9BBB59" w:themeColor="accent3"/>
            </w:tcBorders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Coah</w:t>
            </w:r>
            <w:r>
              <w:rPr>
                <w:lang w:val="es-MX"/>
              </w:rPr>
              <w:t>uila</w:t>
            </w:r>
          </w:p>
        </w:tc>
        <w:tc>
          <w:tcPr>
            <w:tcW w:w="1436" w:type="dxa"/>
            <w:gridSpan w:val="2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2.35</w:t>
            </w:r>
          </w:p>
        </w:tc>
      </w:tr>
      <w:tr w:rsidR="00844A43" w:rsidTr="00844A43">
        <w:trPr>
          <w:trHeight w:val="265"/>
        </w:trPr>
        <w:tc>
          <w:tcPr>
            <w:tcW w:w="1639" w:type="dxa"/>
            <w:vAlign w:val="center"/>
          </w:tcPr>
          <w:p w:rsidR="00844A43" w:rsidRPr="00F501B9" w:rsidRDefault="00844A43" w:rsidP="00844A43">
            <w:pPr>
              <w:jc w:val="center"/>
              <w:rPr>
                <w:lang w:val="es-MX"/>
              </w:rPr>
            </w:pPr>
            <w:r w:rsidRPr="00F501B9">
              <w:rPr>
                <w:lang w:val="es-MX"/>
              </w:rPr>
              <w:t>Veracruz</w:t>
            </w:r>
          </w:p>
        </w:tc>
        <w:tc>
          <w:tcPr>
            <w:tcW w:w="989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  <w:r>
              <w:t>5.88</w:t>
            </w:r>
          </w:p>
        </w:tc>
        <w:tc>
          <w:tcPr>
            <w:tcW w:w="1602" w:type="dxa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  <w:r>
              <w:t>Michoacán</w:t>
            </w:r>
          </w:p>
        </w:tc>
        <w:tc>
          <w:tcPr>
            <w:tcW w:w="990" w:type="dxa"/>
            <w:vAlign w:val="center"/>
          </w:tcPr>
          <w:p w:rsidR="00844A43" w:rsidRDefault="00844A43" w:rsidP="00844A43">
            <w:pPr>
              <w:jc w:val="center"/>
            </w:pPr>
            <w:r>
              <w:t>5.88</w:t>
            </w:r>
          </w:p>
        </w:tc>
        <w:tc>
          <w:tcPr>
            <w:tcW w:w="236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236" w:type="dxa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436" w:type="dxa"/>
            <w:gridSpan w:val="2"/>
            <w:vAlign w:val="center"/>
          </w:tcPr>
          <w:p w:rsidR="00844A43" w:rsidRDefault="00844A43" w:rsidP="00844A43">
            <w:pPr>
              <w:jc w:val="center"/>
            </w:pPr>
          </w:p>
        </w:tc>
      </w:tr>
      <w:tr w:rsidR="00844A43" w:rsidTr="00844A43">
        <w:trPr>
          <w:trHeight w:val="71"/>
        </w:trPr>
        <w:tc>
          <w:tcPr>
            <w:tcW w:w="1639" w:type="dxa"/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989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602" w:type="dxa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  <w:r>
              <w:t>Nayarit</w:t>
            </w:r>
          </w:p>
        </w:tc>
        <w:tc>
          <w:tcPr>
            <w:tcW w:w="990" w:type="dxa"/>
            <w:vAlign w:val="center"/>
          </w:tcPr>
          <w:p w:rsidR="00844A43" w:rsidRDefault="00844A43" w:rsidP="00844A43">
            <w:pPr>
              <w:jc w:val="center"/>
            </w:pPr>
            <w:r>
              <w:t>12.94</w:t>
            </w:r>
          </w:p>
        </w:tc>
        <w:tc>
          <w:tcPr>
            <w:tcW w:w="236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236" w:type="dxa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436" w:type="dxa"/>
            <w:gridSpan w:val="2"/>
            <w:vAlign w:val="center"/>
          </w:tcPr>
          <w:p w:rsidR="00844A43" w:rsidRDefault="00844A43" w:rsidP="00844A43">
            <w:pPr>
              <w:jc w:val="center"/>
            </w:pPr>
          </w:p>
        </w:tc>
      </w:tr>
      <w:tr w:rsidR="00844A43" w:rsidTr="00844A43">
        <w:trPr>
          <w:trHeight w:val="238"/>
        </w:trPr>
        <w:tc>
          <w:tcPr>
            <w:tcW w:w="1639" w:type="dxa"/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989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602" w:type="dxa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  <w:r>
              <w:t>Puebla</w:t>
            </w:r>
          </w:p>
        </w:tc>
        <w:tc>
          <w:tcPr>
            <w:tcW w:w="990" w:type="dxa"/>
            <w:vAlign w:val="center"/>
          </w:tcPr>
          <w:p w:rsidR="00844A43" w:rsidRDefault="00844A43" w:rsidP="00844A43">
            <w:pPr>
              <w:jc w:val="center"/>
            </w:pPr>
            <w:r>
              <w:t>1.17</w:t>
            </w:r>
          </w:p>
        </w:tc>
        <w:tc>
          <w:tcPr>
            <w:tcW w:w="236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236" w:type="dxa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436" w:type="dxa"/>
            <w:gridSpan w:val="2"/>
            <w:vAlign w:val="center"/>
          </w:tcPr>
          <w:p w:rsidR="00844A43" w:rsidRDefault="00844A43" w:rsidP="00844A43">
            <w:pPr>
              <w:jc w:val="center"/>
            </w:pPr>
          </w:p>
        </w:tc>
      </w:tr>
      <w:tr w:rsidR="00844A43" w:rsidTr="00844A43">
        <w:trPr>
          <w:trHeight w:val="388"/>
        </w:trPr>
        <w:tc>
          <w:tcPr>
            <w:tcW w:w="1639" w:type="dxa"/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989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602" w:type="dxa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  <w:r>
              <w:t>Tlaxcala</w:t>
            </w:r>
          </w:p>
        </w:tc>
        <w:tc>
          <w:tcPr>
            <w:tcW w:w="990" w:type="dxa"/>
            <w:vAlign w:val="center"/>
          </w:tcPr>
          <w:p w:rsidR="00844A43" w:rsidRDefault="00844A43" w:rsidP="00844A43">
            <w:pPr>
              <w:jc w:val="center"/>
            </w:pPr>
            <w:r>
              <w:t>1.19</w:t>
            </w:r>
          </w:p>
        </w:tc>
        <w:tc>
          <w:tcPr>
            <w:tcW w:w="236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236" w:type="dxa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436" w:type="dxa"/>
            <w:gridSpan w:val="2"/>
            <w:vAlign w:val="center"/>
          </w:tcPr>
          <w:p w:rsidR="00844A43" w:rsidRDefault="00844A43" w:rsidP="00844A43">
            <w:pPr>
              <w:jc w:val="center"/>
            </w:pPr>
          </w:p>
        </w:tc>
      </w:tr>
      <w:tr w:rsidR="00844A43" w:rsidTr="00844A43">
        <w:trPr>
          <w:trHeight w:val="274"/>
        </w:trPr>
        <w:tc>
          <w:tcPr>
            <w:tcW w:w="1639" w:type="dxa"/>
            <w:vAlign w:val="center"/>
          </w:tcPr>
          <w:p w:rsidR="00844A43" w:rsidRPr="00844A43" w:rsidRDefault="00844A43" w:rsidP="00844A43">
            <w:pPr>
              <w:jc w:val="center"/>
              <w:rPr>
                <w:b/>
              </w:rPr>
            </w:pPr>
            <w:r w:rsidRPr="00844A43">
              <w:rPr>
                <w:b/>
              </w:rPr>
              <w:t>Total</w:t>
            </w:r>
          </w:p>
        </w:tc>
        <w:tc>
          <w:tcPr>
            <w:tcW w:w="989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  <w:r>
              <w:t>19.91 %</w:t>
            </w:r>
          </w:p>
        </w:tc>
        <w:tc>
          <w:tcPr>
            <w:tcW w:w="1602" w:type="dxa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990" w:type="dxa"/>
            <w:vAlign w:val="center"/>
          </w:tcPr>
          <w:p w:rsidR="00844A43" w:rsidRDefault="00844A43" w:rsidP="00844A43">
            <w:pPr>
              <w:jc w:val="center"/>
            </w:pPr>
            <w:r>
              <w:t xml:space="preserve"> 36.31 %</w:t>
            </w:r>
          </w:p>
        </w:tc>
        <w:tc>
          <w:tcPr>
            <w:tcW w:w="236" w:type="dxa"/>
            <w:tcBorders>
              <w:righ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236" w:type="dxa"/>
            <w:tcBorders>
              <w:left w:val="single" w:sz="6" w:space="0" w:color="9BBB59" w:themeColor="accent3"/>
            </w:tcBorders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844A43" w:rsidRDefault="00844A43" w:rsidP="00844A43">
            <w:pPr>
              <w:jc w:val="center"/>
            </w:pPr>
          </w:p>
        </w:tc>
        <w:tc>
          <w:tcPr>
            <w:tcW w:w="1436" w:type="dxa"/>
            <w:gridSpan w:val="2"/>
            <w:vAlign w:val="center"/>
          </w:tcPr>
          <w:p w:rsidR="00844A43" w:rsidRDefault="00844A43" w:rsidP="00844A43">
            <w:pPr>
              <w:jc w:val="center"/>
            </w:pPr>
            <w:r>
              <w:t xml:space="preserve">   43.71 %</w:t>
            </w:r>
          </w:p>
        </w:tc>
      </w:tr>
    </w:tbl>
    <w:p w:rsidR="00BA002E" w:rsidRPr="00085820" w:rsidRDefault="00BA002E" w:rsidP="00BA002E">
      <w:pPr>
        <w:jc w:val="center"/>
        <w:rPr>
          <w:lang w:val="es-ES"/>
        </w:rPr>
      </w:pPr>
      <w:r w:rsidRPr="00CB4565">
        <w:rPr>
          <w:rFonts w:ascii="Arial" w:hAnsi="Arial" w:cs="Arial"/>
          <w:b/>
          <w:sz w:val="20"/>
          <w:szCs w:val="20"/>
          <w:lang w:val="es-MX"/>
        </w:rPr>
        <w:t>Tabla III.  Ciudad de origen de las personas con Anticuerpos positivos Toxoplasmosis</w:t>
      </w:r>
    </w:p>
    <w:p w:rsidR="00BA002E" w:rsidRDefault="00C82EA5" w:rsidP="00C82EA5">
      <w:pPr>
        <w:spacing w:line="360" w:lineRule="auto"/>
        <w:jc w:val="center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szCs w:val="12"/>
          <w:lang w:val="es-ES"/>
        </w:rPr>
        <w:br/>
      </w:r>
      <w:r w:rsidR="00320FC5" w:rsidRPr="00C82EA5">
        <w:rPr>
          <w:rFonts w:ascii="Times New Roman" w:eastAsia="Times New Roman" w:hAnsi="Times New Roman" w:cs="Times New Roman"/>
          <w:b/>
          <w:szCs w:val="12"/>
          <w:lang w:val="es-ES"/>
        </w:rPr>
        <w:t>Fuente:</w:t>
      </w:r>
      <w:r w:rsidR="00320FC5" w:rsidRPr="00C82EA5">
        <w:rPr>
          <w:rFonts w:ascii="Times New Roman" w:eastAsia="Times New Roman" w:hAnsi="Times New Roman" w:cs="Times New Roman"/>
          <w:szCs w:val="12"/>
          <w:lang w:val="es-ES"/>
        </w:rPr>
        <w:t xml:space="preserve"> Base de datos estudio Toxoplasmosis, UABC.</w:t>
      </w:r>
    </w:p>
    <w:p w:rsidR="00320DB9" w:rsidRDefault="00320DB9" w:rsidP="00AA6CBA">
      <w:pPr>
        <w:spacing w:line="360" w:lineRule="auto"/>
        <w:jc w:val="both"/>
        <w:rPr>
          <w:rFonts w:ascii="Times New Roman" w:eastAsia="Times New Roman" w:hAnsi="Times New Roman" w:cs="Times New Roman"/>
          <w:b/>
          <w:lang w:val="es-ES"/>
        </w:rPr>
      </w:pPr>
    </w:p>
    <w:p w:rsidR="00C82EA5" w:rsidRDefault="00C82EA5" w:rsidP="00AA6CBA">
      <w:pPr>
        <w:spacing w:line="360" w:lineRule="auto"/>
        <w:jc w:val="both"/>
        <w:rPr>
          <w:rFonts w:ascii="Times New Roman" w:eastAsia="Times New Roman" w:hAnsi="Times New Roman" w:cs="Times New Roman"/>
          <w:b/>
          <w:lang w:val="es-ES"/>
        </w:rPr>
      </w:pPr>
    </w:p>
    <w:p w:rsidR="00DF02C5" w:rsidRPr="00AA6CBA" w:rsidRDefault="00496364" w:rsidP="00AA6CBA">
      <w:pPr>
        <w:spacing w:line="360" w:lineRule="auto"/>
        <w:jc w:val="both"/>
        <w:rPr>
          <w:rFonts w:ascii="Times New Roman" w:eastAsia="Times New Roman" w:hAnsi="Times New Roman" w:cs="Times New Roman"/>
          <w:b/>
          <w:lang w:val="es-ES"/>
        </w:rPr>
      </w:pPr>
      <w:r w:rsidRPr="00AA6CBA">
        <w:rPr>
          <w:rFonts w:ascii="Times New Roman" w:eastAsia="Times New Roman" w:hAnsi="Times New Roman" w:cs="Times New Roman"/>
          <w:b/>
          <w:lang w:val="es-ES"/>
        </w:rPr>
        <w:t xml:space="preserve">Discusión y </w:t>
      </w:r>
      <w:r w:rsidR="00DF02C5" w:rsidRPr="00AA6CBA">
        <w:rPr>
          <w:rFonts w:ascii="Times New Roman" w:eastAsia="Times New Roman" w:hAnsi="Times New Roman" w:cs="Times New Roman"/>
          <w:b/>
          <w:lang w:val="es-ES"/>
        </w:rPr>
        <w:t>c</w:t>
      </w:r>
      <w:r w:rsidR="00D03710" w:rsidRPr="00AA6CBA">
        <w:rPr>
          <w:rFonts w:ascii="Times New Roman" w:eastAsia="Times New Roman" w:hAnsi="Times New Roman" w:cs="Times New Roman"/>
          <w:b/>
          <w:lang w:val="es-ES"/>
        </w:rPr>
        <w:t>onclusión</w:t>
      </w:r>
    </w:p>
    <w:p w:rsidR="00626142" w:rsidRPr="00AA6CBA" w:rsidRDefault="0040415D" w:rsidP="00AA6CBA">
      <w:pPr>
        <w:spacing w:line="360" w:lineRule="auto"/>
        <w:jc w:val="both"/>
        <w:rPr>
          <w:rFonts w:ascii="Times New Roman" w:eastAsia="Times New Roman" w:hAnsi="Times New Roman" w:cs="Times New Roman"/>
          <w:lang w:val="es-ES"/>
        </w:rPr>
      </w:pPr>
      <w:r w:rsidRPr="00AA6CBA">
        <w:rPr>
          <w:rFonts w:ascii="Times New Roman" w:eastAsia="Times New Roman" w:hAnsi="Times New Roman" w:cs="Times New Roman"/>
          <w:lang w:val="es-ES"/>
        </w:rPr>
        <w:t>Este trabajo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D03710" w:rsidRPr="00AA6CBA">
        <w:rPr>
          <w:rFonts w:ascii="Times New Roman" w:eastAsia="Times New Roman" w:hAnsi="Times New Roman" w:cs="Times New Roman"/>
          <w:lang w:val="es-ES"/>
        </w:rPr>
        <w:t>predice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la posibilidad</w:t>
      </w:r>
      <w:r w:rsidR="00034A53" w:rsidRPr="00AA6CBA">
        <w:rPr>
          <w:rFonts w:ascii="Times New Roman" w:eastAsia="Times New Roman" w:hAnsi="Times New Roman" w:cs="Times New Roman"/>
          <w:lang w:val="es-ES"/>
        </w:rPr>
        <w:t xml:space="preserve"> de que pueda </w:t>
      </w:r>
      <w:r w:rsidR="00346749" w:rsidRPr="00AA6CBA">
        <w:rPr>
          <w:rFonts w:ascii="Times New Roman" w:eastAsia="Times New Roman" w:hAnsi="Times New Roman" w:cs="Times New Roman"/>
          <w:lang w:val="es-ES"/>
        </w:rPr>
        <w:t>transferir</w:t>
      </w:r>
      <w:r w:rsidR="00496364" w:rsidRPr="00AA6CBA">
        <w:rPr>
          <w:rFonts w:ascii="Times New Roman" w:eastAsia="Times New Roman" w:hAnsi="Times New Roman" w:cs="Times New Roman"/>
          <w:lang w:val="es-ES"/>
        </w:rPr>
        <w:t xml:space="preserve">se </w:t>
      </w:r>
      <w:r w:rsidR="00A54DFF" w:rsidRPr="00AA6CBA">
        <w:rPr>
          <w:rFonts w:ascii="Times New Roman" w:eastAsia="Times New Roman" w:hAnsi="Times New Roman" w:cs="Times New Roman"/>
          <w:lang w:val="es-ES"/>
        </w:rPr>
        <w:t xml:space="preserve">el parásito </w:t>
      </w:r>
      <w:r w:rsidR="00496364" w:rsidRPr="00AA6CBA">
        <w:rPr>
          <w:rFonts w:ascii="Times New Roman" w:eastAsia="Times New Roman" w:hAnsi="Times New Roman" w:cs="Times New Roman"/>
          <w:lang w:val="es-ES"/>
        </w:rPr>
        <w:t>en un porcentaje de 17.52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346749" w:rsidRPr="00AA6CBA">
        <w:rPr>
          <w:rFonts w:ascii="Times New Roman" w:eastAsia="Times New Roman" w:hAnsi="Times New Roman" w:cs="Times New Roman"/>
          <w:lang w:val="es-ES"/>
        </w:rPr>
        <w:t xml:space="preserve">% </w:t>
      </w:r>
      <w:r w:rsidRPr="00AA6CBA">
        <w:rPr>
          <w:rFonts w:ascii="Times New Roman" w:eastAsia="Times New Roman" w:hAnsi="Times New Roman" w:cs="Times New Roman"/>
          <w:lang w:val="es-ES"/>
        </w:rPr>
        <w:t>a través de</w:t>
      </w:r>
      <w:r w:rsidR="00654D02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346749" w:rsidRPr="00AA6CBA">
        <w:rPr>
          <w:rFonts w:ascii="Times New Roman" w:eastAsia="Times New Roman" w:hAnsi="Times New Roman" w:cs="Times New Roman"/>
          <w:lang w:val="es-ES"/>
        </w:rPr>
        <w:t xml:space="preserve">los diferentes </w:t>
      </w:r>
      <w:r w:rsidR="00654D02" w:rsidRPr="00AA6CBA">
        <w:rPr>
          <w:rFonts w:ascii="Times New Roman" w:eastAsia="Times New Roman" w:hAnsi="Times New Roman" w:cs="Times New Roman"/>
          <w:lang w:val="es-ES"/>
        </w:rPr>
        <w:t>hemoderivados</w:t>
      </w:r>
      <w:r w:rsidR="003C0C13" w:rsidRPr="00AA6CBA">
        <w:rPr>
          <w:rFonts w:ascii="Times New Roman" w:eastAsia="Times New Roman" w:hAnsi="Times New Roman" w:cs="Times New Roman"/>
          <w:lang w:val="es-ES"/>
        </w:rPr>
        <w:t xml:space="preserve"> del banco de sangre, resultado ligeramente más alto </w:t>
      </w:r>
      <w:r w:rsidR="00487AF6" w:rsidRPr="00AA6CBA">
        <w:rPr>
          <w:rFonts w:ascii="Times New Roman" w:eastAsia="Times New Roman" w:hAnsi="Times New Roman" w:cs="Times New Roman"/>
          <w:lang w:val="es-ES"/>
        </w:rPr>
        <w:t>que</w:t>
      </w:r>
      <w:r w:rsidR="003C0C13" w:rsidRPr="00AA6CBA">
        <w:rPr>
          <w:rFonts w:ascii="Times New Roman" w:eastAsia="Times New Roman" w:hAnsi="Times New Roman" w:cs="Times New Roman"/>
          <w:lang w:val="es-ES"/>
        </w:rPr>
        <w:t xml:space="preserve"> 13.5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3C0C13" w:rsidRPr="00AA6CBA">
        <w:rPr>
          <w:rFonts w:ascii="Times New Roman" w:eastAsia="Times New Roman" w:hAnsi="Times New Roman" w:cs="Times New Roman"/>
          <w:lang w:val="es-ES"/>
        </w:rPr>
        <w:t>% para esta ciudad en 1992</w:t>
      </w:r>
      <w:r w:rsidR="00DF02C5" w:rsidRPr="00AA6CBA">
        <w:rPr>
          <w:rFonts w:ascii="Times New Roman" w:eastAsia="Times New Roman" w:hAnsi="Times New Roman" w:cs="Times New Roman"/>
          <w:lang w:val="es-ES"/>
        </w:rPr>
        <w:t>. A</w:t>
      </w:r>
      <w:r w:rsidR="00487AF6" w:rsidRPr="00AA6CBA">
        <w:rPr>
          <w:rFonts w:ascii="Times New Roman" w:eastAsia="Times New Roman" w:hAnsi="Times New Roman" w:cs="Times New Roman"/>
          <w:lang w:val="es-ES"/>
        </w:rPr>
        <w:t xml:space="preserve">unque este </w:t>
      </w:r>
      <w:r w:rsidR="00021D7C" w:rsidRPr="00AA6CBA">
        <w:rPr>
          <w:rFonts w:ascii="Times New Roman" w:eastAsia="Times New Roman" w:hAnsi="Times New Roman" w:cs="Times New Roman"/>
          <w:lang w:val="es-ES"/>
        </w:rPr>
        <w:t xml:space="preserve">último estudio </w:t>
      </w:r>
      <w:r w:rsidR="00487AF6" w:rsidRPr="00AA6CBA">
        <w:rPr>
          <w:rFonts w:ascii="Times New Roman" w:eastAsia="Times New Roman" w:hAnsi="Times New Roman" w:cs="Times New Roman"/>
          <w:lang w:val="es-ES"/>
        </w:rPr>
        <w:t>fue realizado en población abierta</w:t>
      </w:r>
      <w:r w:rsidR="003C0C13" w:rsidRPr="00AA6CBA">
        <w:rPr>
          <w:rFonts w:ascii="Times New Roman" w:eastAsia="Times New Roman" w:hAnsi="Times New Roman" w:cs="Times New Roman"/>
          <w:lang w:val="es-ES"/>
        </w:rPr>
        <w:t>,</w:t>
      </w:r>
      <w:r w:rsidR="003C0C13" w:rsidRPr="00AA6CBA">
        <w:rPr>
          <w:rFonts w:ascii="Times New Roman" w:eastAsia="Times New Roman" w:hAnsi="Times New Roman" w:cs="Times New Roman"/>
          <w:vertAlign w:val="superscript"/>
          <w:lang w:val="es-ES"/>
        </w:rPr>
        <w:t>1</w:t>
      </w:r>
      <w:r w:rsidR="000747CA" w:rsidRPr="00AA6CBA">
        <w:rPr>
          <w:rFonts w:ascii="Times New Roman" w:eastAsia="Times New Roman" w:hAnsi="Times New Roman" w:cs="Times New Roman"/>
          <w:vertAlign w:val="superscript"/>
          <w:lang w:val="es-ES"/>
        </w:rPr>
        <w:t>8</w:t>
      </w:r>
      <w:r w:rsidR="003C0C13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021D7C" w:rsidRPr="00AA6CBA">
        <w:rPr>
          <w:rFonts w:ascii="Times New Roman" w:eastAsia="Times New Roman" w:hAnsi="Times New Roman" w:cs="Times New Roman"/>
          <w:lang w:val="es-ES"/>
        </w:rPr>
        <w:t xml:space="preserve">el resultado </w:t>
      </w:r>
      <w:r w:rsidR="00DF02C5" w:rsidRPr="00AA6CBA">
        <w:rPr>
          <w:rFonts w:ascii="Times New Roman" w:eastAsia="Times New Roman" w:hAnsi="Times New Roman" w:cs="Times New Roman"/>
          <w:lang w:val="es-ES"/>
        </w:rPr>
        <w:t>fue</w:t>
      </w:r>
      <w:r w:rsidR="00AD6A24" w:rsidRPr="00AA6CBA">
        <w:rPr>
          <w:rFonts w:ascii="Times New Roman" w:eastAsia="Times New Roman" w:hAnsi="Times New Roman" w:cs="Times New Roman"/>
          <w:lang w:val="es-ES"/>
        </w:rPr>
        <w:t xml:space="preserve"> bajo considerando los reportes para América </w:t>
      </w:r>
      <w:r w:rsidR="00021D7C" w:rsidRPr="00AA6CBA">
        <w:rPr>
          <w:rFonts w:ascii="Times New Roman" w:eastAsia="Times New Roman" w:hAnsi="Times New Roman" w:cs="Times New Roman"/>
          <w:lang w:val="es-ES"/>
        </w:rPr>
        <w:t>L</w:t>
      </w:r>
      <w:r w:rsidR="00AD6A24" w:rsidRPr="00AA6CBA">
        <w:rPr>
          <w:rFonts w:ascii="Times New Roman" w:eastAsia="Times New Roman" w:hAnsi="Times New Roman" w:cs="Times New Roman"/>
          <w:lang w:val="es-ES"/>
        </w:rPr>
        <w:t xml:space="preserve">atina y </w:t>
      </w:r>
      <w:r w:rsidR="00021D7C" w:rsidRPr="00AA6CBA">
        <w:rPr>
          <w:rFonts w:ascii="Times New Roman" w:eastAsia="Times New Roman" w:hAnsi="Times New Roman" w:cs="Times New Roman"/>
          <w:lang w:val="es-ES"/>
        </w:rPr>
        <w:t xml:space="preserve">el </w:t>
      </w:r>
      <w:r w:rsidR="00AD6A24" w:rsidRPr="00AA6CBA">
        <w:rPr>
          <w:rFonts w:ascii="Times New Roman" w:eastAsia="Times New Roman" w:hAnsi="Times New Roman" w:cs="Times New Roman"/>
          <w:lang w:val="es-ES"/>
        </w:rPr>
        <w:t>Caribe</w:t>
      </w:r>
      <w:r w:rsidR="00DF02C5" w:rsidRPr="00AA6CBA">
        <w:rPr>
          <w:rFonts w:ascii="Times New Roman" w:eastAsia="Times New Roman" w:hAnsi="Times New Roman" w:cs="Times New Roman"/>
          <w:lang w:val="es-ES"/>
        </w:rPr>
        <w:t>,</w:t>
      </w:r>
      <w:r w:rsidR="00AD6A24" w:rsidRPr="00AA6CBA">
        <w:rPr>
          <w:rFonts w:ascii="Times New Roman" w:eastAsia="Times New Roman" w:hAnsi="Times New Roman" w:cs="Times New Roman"/>
          <w:vertAlign w:val="superscript"/>
          <w:lang w:val="es-ES"/>
        </w:rPr>
        <w:t xml:space="preserve">11 </w:t>
      </w:r>
      <w:r w:rsidR="00AD6A24" w:rsidRPr="00AA6CBA">
        <w:rPr>
          <w:rFonts w:ascii="Times New Roman" w:eastAsia="Times New Roman" w:hAnsi="Times New Roman" w:cs="Times New Roman"/>
          <w:lang w:val="es-ES"/>
        </w:rPr>
        <w:t>sin embargo</w:t>
      </w:r>
      <w:r w:rsidR="00DF02C5" w:rsidRPr="00AA6CBA">
        <w:rPr>
          <w:rFonts w:ascii="Times New Roman" w:eastAsia="Times New Roman" w:hAnsi="Times New Roman" w:cs="Times New Roman"/>
          <w:lang w:val="es-ES"/>
        </w:rPr>
        <w:t>,</w:t>
      </w:r>
      <w:r w:rsidR="00346749" w:rsidRPr="00AA6CBA">
        <w:rPr>
          <w:rFonts w:ascii="Times New Roman" w:eastAsia="Times New Roman" w:hAnsi="Times New Roman" w:cs="Times New Roman"/>
          <w:lang w:val="es-ES"/>
        </w:rPr>
        <w:t xml:space="preserve"> debe considerarse un fact</w:t>
      </w:r>
      <w:r w:rsidR="000747CA" w:rsidRPr="00AA6CBA">
        <w:rPr>
          <w:rFonts w:ascii="Times New Roman" w:eastAsia="Times New Roman" w:hAnsi="Times New Roman" w:cs="Times New Roman"/>
          <w:lang w:val="es-ES"/>
        </w:rPr>
        <w:t>or de riesgo para aquellos que reciben la</w:t>
      </w:r>
      <w:r w:rsidR="00496364" w:rsidRPr="00AA6CBA">
        <w:rPr>
          <w:rFonts w:ascii="Times New Roman" w:eastAsia="Times New Roman" w:hAnsi="Times New Roman" w:cs="Times New Roman"/>
          <w:lang w:val="es-ES"/>
        </w:rPr>
        <w:t xml:space="preserve"> sangre </w:t>
      </w:r>
      <w:r w:rsidR="00DF02C5" w:rsidRPr="00AA6CBA">
        <w:rPr>
          <w:rFonts w:ascii="Times New Roman" w:eastAsia="Times New Roman" w:hAnsi="Times New Roman" w:cs="Times New Roman"/>
          <w:lang w:val="es-ES"/>
        </w:rPr>
        <w:t xml:space="preserve">puesto que </w:t>
      </w:r>
      <w:r w:rsidR="00AD6A24" w:rsidRPr="00AA6CBA">
        <w:rPr>
          <w:rFonts w:ascii="Times New Roman" w:eastAsia="Times New Roman" w:hAnsi="Times New Roman" w:cs="Times New Roman"/>
          <w:lang w:val="es-ES"/>
        </w:rPr>
        <w:t xml:space="preserve">los receptores de los hemoderivados son </w:t>
      </w:r>
      <w:r w:rsidR="00346749" w:rsidRPr="00AA6CBA">
        <w:rPr>
          <w:rFonts w:ascii="Times New Roman" w:eastAsia="Times New Roman" w:hAnsi="Times New Roman" w:cs="Times New Roman"/>
          <w:lang w:val="es-ES"/>
        </w:rPr>
        <w:t>personas</w:t>
      </w:r>
      <w:r w:rsidR="00AD6A24" w:rsidRPr="00AA6CBA">
        <w:rPr>
          <w:rFonts w:ascii="Times New Roman" w:eastAsia="Times New Roman" w:hAnsi="Times New Roman" w:cs="Times New Roman"/>
          <w:lang w:val="es-ES"/>
        </w:rPr>
        <w:t xml:space="preserve"> con problemas de </w:t>
      </w:r>
      <w:r w:rsidR="00496364" w:rsidRPr="00AA6CBA">
        <w:rPr>
          <w:rFonts w:ascii="Times New Roman" w:eastAsia="Times New Roman" w:hAnsi="Times New Roman" w:cs="Times New Roman"/>
          <w:lang w:val="es-ES"/>
        </w:rPr>
        <w:t>salud e</w:t>
      </w:r>
      <w:r w:rsidR="00626142" w:rsidRPr="00AA6CBA">
        <w:rPr>
          <w:rFonts w:ascii="Times New Roman" w:eastAsia="Times New Roman" w:hAnsi="Times New Roman" w:cs="Times New Roman"/>
          <w:lang w:val="es-ES"/>
        </w:rPr>
        <w:t xml:space="preserve"> inmunocomprometidos</w:t>
      </w:r>
      <w:r w:rsidR="00DF02C5" w:rsidRPr="00AA6CBA">
        <w:rPr>
          <w:rFonts w:ascii="Times New Roman" w:eastAsia="Times New Roman" w:hAnsi="Times New Roman" w:cs="Times New Roman"/>
          <w:lang w:val="es-ES"/>
        </w:rPr>
        <w:t>,</w:t>
      </w:r>
      <w:r w:rsidR="00626142" w:rsidRPr="00AA6CBA">
        <w:rPr>
          <w:rFonts w:ascii="Times New Roman" w:eastAsia="Times New Roman" w:hAnsi="Times New Roman" w:cs="Times New Roman"/>
          <w:lang w:val="es-ES"/>
        </w:rPr>
        <w:t xml:space="preserve"> así </w:t>
      </w:r>
      <w:r w:rsidR="00AD6A24" w:rsidRPr="00AA6CBA">
        <w:rPr>
          <w:rFonts w:ascii="Times New Roman" w:eastAsia="Times New Roman" w:hAnsi="Times New Roman" w:cs="Times New Roman"/>
          <w:lang w:val="es-ES"/>
        </w:rPr>
        <w:t>como</w:t>
      </w:r>
      <w:r w:rsidR="00346749" w:rsidRPr="00AA6CBA">
        <w:rPr>
          <w:rFonts w:ascii="Times New Roman" w:eastAsia="Times New Roman" w:hAnsi="Times New Roman" w:cs="Times New Roman"/>
          <w:lang w:val="es-ES"/>
        </w:rPr>
        <w:t xml:space="preserve"> mujeres embarazadas</w:t>
      </w:r>
      <w:r w:rsidR="00626142" w:rsidRPr="00AA6CBA">
        <w:rPr>
          <w:rFonts w:ascii="Times New Roman" w:eastAsia="Times New Roman" w:hAnsi="Times New Roman" w:cs="Times New Roman"/>
          <w:lang w:val="es-ES"/>
        </w:rPr>
        <w:t xml:space="preserve"> y </w:t>
      </w:r>
      <w:r w:rsidR="00021D7C" w:rsidRPr="00AA6CBA">
        <w:rPr>
          <w:rFonts w:ascii="Times New Roman" w:eastAsia="Times New Roman" w:hAnsi="Times New Roman" w:cs="Times New Roman"/>
          <w:lang w:val="es-ES"/>
        </w:rPr>
        <w:t xml:space="preserve">en etapa </w:t>
      </w:r>
      <w:r w:rsidR="00626142" w:rsidRPr="00AA6CBA">
        <w:rPr>
          <w:rFonts w:ascii="Times New Roman" w:eastAsia="Times New Roman" w:hAnsi="Times New Roman" w:cs="Times New Roman"/>
          <w:lang w:val="es-ES"/>
        </w:rPr>
        <w:t>posparto</w:t>
      </w:r>
      <w:r w:rsidR="00DF02C5" w:rsidRPr="00AA6CBA">
        <w:rPr>
          <w:rFonts w:ascii="Times New Roman" w:eastAsia="Times New Roman" w:hAnsi="Times New Roman" w:cs="Times New Roman"/>
          <w:lang w:val="es-ES"/>
        </w:rPr>
        <w:t>,</w:t>
      </w:r>
      <w:r w:rsidR="00626142" w:rsidRPr="00AA6CBA">
        <w:rPr>
          <w:rFonts w:ascii="Times New Roman" w:eastAsia="Times New Roman" w:hAnsi="Times New Roman" w:cs="Times New Roman"/>
          <w:lang w:val="es-ES"/>
        </w:rPr>
        <w:t xml:space="preserve"> quienes </w:t>
      </w:r>
      <w:r w:rsidR="00AD6A24" w:rsidRPr="00AA6CBA">
        <w:rPr>
          <w:rFonts w:ascii="Times New Roman" w:eastAsia="Times New Roman" w:hAnsi="Times New Roman" w:cs="Times New Roman"/>
          <w:lang w:val="es-ES"/>
        </w:rPr>
        <w:t>pueden transferir la infección a sus beb</w:t>
      </w:r>
      <w:r w:rsidR="00DF02C5" w:rsidRPr="00AA6CBA">
        <w:rPr>
          <w:rFonts w:ascii="Times New Roman" w:eastAsia="Times New Roman" w:hAnsi="Times New Roman" w:cs="Times New Roman"/>
          <w:lang w:val="es-ES"/>
        </w:rPr>
        <w:t>é</w:t>
      </w:r>
      <w:r w:rsidR="00AD6A24" w:rsidRPr="00AA6CBA">
        <w:rPr>
          <w:rFonts w:ascii="Times New Roman" w:eastAsia="Times New Roman" w:hAnsi="Times New Roman" w:cs="Times New Roman"/>
          <w:lang w:val="es-ES"/>
        </w:rPr>
        <w:t xml:space="preserve">s </w:t>
      </w:r>
      <w:r w:rsidR="00021D7C" w:rsidRPr="00AA6CBA">
        <w:rPr>
          <w:rFonts w:ascii="Times New Roman" w:eastAsia="Times New Roman" w:hAnsi="Times New Roman" w:cs="Times New Roman"/>
          <w:lang w:val="es-ES"/>
        </w:rPr>
        <w:t>vía</w:t>
      </w:r>
      <w:r w:rsidR="00AD6A24" w:rsidRPr="00AA6CBA">
        <w:rPr>
          <w:rFonts w:ascii="Times New Roman" w:eastAsia="Times New Roman" w:hAnsi="Times New Roman" w:cs="Times New Roman"/>
          <w:lang w:val="es-ES"/>
        </w:rPr>
        <w:t xml:space="preserve"> leche materna</w:t>
      </w:r>
      <w:r w:rsidR="00DF02C5" w:rsidRPr="00AA6CBA">
        <w:rPr>
          <w:rFonts w:ascii="Times New Roman" w:eastAsia="Times New Roman" w:hAnsi="Times New Roman" w:cs="Times New Roman"/>
          <w:lang w:val="es-ES"/>
        </w:rPr>
        <w:t>.</w:t>
      </w:r>
      <w:r w:rsidR="00AD6A24" w:rsidRPr="00AA6CBA">
        <w:rPr>
          <w:rFonts w:ascii="Times New Roman" w:eastAsia="Times New Roman" w:hAnsi="Times New Roman" w:cs="Times New Roman"/>
          <w:vertAlign w:val="superscript"/>
          <w:lang w:val="es-ES"/>
        </w:rPr>
        <w:t>1</w:t>
      </w:r>
      <w:r w:rsidR="00626142" w:rsidRPr="00AA6CBA">
        <w:rPr>
          <w:rFonts w:ascii="Times New Roman" w:eastAsia="Times New Roman" w:hAnsi="Times New Roman" w:cs="Times New Roman"/>
          <w:vertAlign w:val="superscript"/>
          <w:lang w:val="es-ES"/>
        </w:rPr>
        <w:t>4</w:t>
      </w:r>
      <w:r w:rsidR="00B107F4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DF02C5" w:rsidRPr="00AA6CBA">
        <w:rPr>
          <w:rFonts w:ascii="Times New Roman" w:eastAsia="Times New Roman" w:hAnsi="Times New Roman" w:cs="Times New Roman"/>
          <w:lang w:val="es-ES"/>
        </w:rPr>
        <w:t>E</w:t>
      </w:r>
      <w:r w:rsidR="00AD6A24" w:rsidRPr="00AA6CBA">
        <w:rPr>
          <w:rFonts w:ascii="Times New Roman" w:eastAsia="Times New Roman" w:hAnsi="Times New Roman" w:cs="Times New Roman"/>
          <w:lang w:val="es-ES"/>
        </w:rPr>
        <w:t>n este estudio</w:t>
      </w:r>
      <w:r w:rsidR="00496364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A54DFF" w:rsidRPr="00AA6CBA">
        <w:rPr>
          <w:rFonts w:ascii="Times New Roman" w:eastAsia="Times New Roman" w:hAnsi="Times New Roman" w:cs="Times New Roman"/>
          <w:lang w:val="es-ES"/>
        </w:rPr>
        <w:t xml:space="preserve">se </w:t>
      </w:r>
      <w:r w:rsidR="00AD6A24" w:rsidRPr="00AA6CBA">
        <w:rPr>
          <w:rFonts w:ascii="Times New Roman" w:eastAsia="Times New Roman" w:hAnsi="Times New Roman" w:cs="Times New Roman"/>
          <w:lang w:val="es-ES"/>
        </w:rPr>
        <w:t>detect</w:t>
      </w:r>
      <w:r w:rsidR="00DF02C5" w:rsidRPr="00AA6CBA">
        <w:rPr>
          <w:rFonts w:ascii="Times New Roman" w:eastAsia="Times New Roman" w:hAnsi="Times New Roman" w:cs="Times New Roman"/>
          <w:lang w:val="es-ES"/>
        </w:rPr>
        <w:t>ó</w:t>
      </w:r>
      <w:r w:rsidR="00496364" w:rsidRPr="00AA6CBA">
        <w:rPr>
          <w:rFonts w:ascii="Times New Roman" w:eastAsia="Times New Roman" w:hAnsi="Times New Roman" w:cs="Times New Roman"/>
          <w:lang w:val="es-ES"/>
        </w:rPr>
        <w:t xml:space="preserve"> la presencia de anticuerpos positivos</w:t>
      </w:r>
      <w:r w:rsidR="00DF02C5" w:rsidRPr="00AA6CBA">
        <w:rPr>
          <w:rFonts w:ascii="Times New Roman" w:eastAsia="Times New Roman" w:hAnsi="Times New Roman" w:cs="Times New Roman"/>
          <w:lang w:val="es-ES"/>
        </w:rPr>
        <w:t>, más en</w:t>
      </w:r>
      <w:r w:rsidR="00496364" w:rsidRPr="00AA6CBA">
        <w:rPr>
          <w:rFonts w:ascii="Times New Roman" w:eastAsia="Times New Roman" w:hAnsi="Times New Roman" w:cs="Times New Roman"/>
          <w:lang w:val="es-ES"/>
        </w:rPr>
        <w:t xml:space="preserve"> hombres que en mujeres</w:t>
      </w:r>
      <w:r w:rsidR="00496364" w:rsidRPr="00AA6CBA">
        <w:rPr>
          <w:rFonts w:ascii="Times New Roman" w:eastAsia="Times New Roman" w:hAnsi="Times New Roman" w:cs="Times New Roman"/>
          <w:vertAlign w:val="superscript"/>
          <w:lang w:val="es-ES"/>
        </w:rPr>
        <w:t>11</w:t>
      </w:r>
      <w:r w:rsidR="00496364" w:rsidRPr="00AA6CBA">
        <w:rPr>
          <w:rFonts w:ascii="Times New Roman" w:eastAsia="Times New Roman" w:hAnsi="Times New Roman" w:cs="Times New Roman"/>
          <w:lang w:val="es-ES"/>
        </w:rPr>
        <w:t xml:space="preserve"> y una asociaci</w:t>
      </w:r>
      <w:r w:rsidR="00CA21B2" w:rsidRPr="00AA6CBA">
        <w:rPr>
          <w:rFonts w:ascii="Times New Roman" w:eastAsia="Times New Roman" w:hAnsi="Times New Roman" w:cs="Times New Roman"/>
          <w:lang w:val="es-ES"/>
        </w:rPr>
        <w:t xml:space="preserve">ón </w:t>
      </w:r>
      <w:r w:rsidR="00496364" w:rsidRPr="00AA6CBA">
        <w:rPr>
          <w:rFonts w:ascii="Times New Roman" w:eastAsia="Times New Roman" w:hAnsi="Times New Roman" w:cs="Times New Roman"/>
          <w:lang w:val="es-ES"/>
        </w:rPr>
        <w:t>a la</w:t>
      </w:r>
      <w:r w:rsidR="00AD6A24" w:rsidRPr="00AA6CBA">
        <w:rPr>
          <w:rFonts w:ascii="Times New Roman" w:eastAsia="Times New Roman" w:hAnsi="Times New Roman" w:cs="Times New Roman"/>
          <w:lang w:val="es-ES"/>
        </w:rPr>
        <w:t xml:space="preserve"> presencia de mascotas en </w:t>
      </w:r>
      <w:r w:rsidR="00DF02C5" w:rsidRPr="00AA6CBA">
        <w:rPr>
          <w:rFonts w:ascii="Times New Roman" w:eastAsia="Times New Roman" w:hAnsi="Times New Roman" w:cs="Times New Roman"/>
          <w:lang w:val="es-ES"/>
        </w:rPr>
        <w:t>c</w:t>
      </w:r>
      <w:r w:rsidR="00CC4818" w:rsidRPr="00AA6CBA">
        <w:rPr>
          <w:rFonts w:ascii="Times New Roman" w:eastAsia="Times New Roman" w:hAnsi="Times New Roman" w:cs="Times New Roman"/>
          <w:lang w:val="es-ES"/>
        </w:rPr>
        <w:t>asa</w:t>
      </w:r>
      <w:r w:rsidR="00AD6A24" w:rsidRPr="00AA6CBA">
        <w:rPr>
          <w:rFonts w:ascii="Times New Roman" w:eastAsia="Times New Roman" w:hAnsi="Times New Roman" w:cs="Times New Roman"/>
          <w:lang w:val="es-ES"/>
        </w:rPr>
        <w:t xml:space="preserve"> con</w:t>
      </w:r>
      <w:r w:rsidR="00496364" w:rsidRPr="00AA6CBA">
        <w:rPr>
          <w:rFonts w:ascii="Times New Roman" w:eastAsia="Times New Roman" w:hAnsi="Times New Roman" w:cs="Times New Roman"/>
          <w:lang w:val="es-ES"/>
        </w:rPr>
        <w:t xml:space="preserve"> l</w:t>
      </w:r>
      <w:r w:rsidR="00CA21B2" w:rsidRPr="00AA6CBA">
        <w:rPr>
          <w:rFonts w:ascii="Times New Roman" w:eastAsia="Times New Roman" w:hAnsi="Times New Roman" w:cs="Times New Roman"/>
          <w:lang w:val="es-ES"/>
        </w:rPr>
        <w:t>a positividad al anticuerpo IgG</w:t>
      </w:r>
      <w:r w:rsidR="00396FD9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AD6A24" w:rsidRPr="00AA6CBA">
        <w:rPr>
          <w:rFonts w:ascii="Times New Roman" w:eastAsia="Times New Roman" w:hAnsi="Times New Roman" w:cs="Times New Roman"/>
          <w:lang w:val="es-ES"/>
        </w:rPr>
        <w:t>de acuerdo con la</w:t>
      </w:r>
      <w:r w:rsidR="00626142" w:rsidRPr="00AA6CBA">
        <w:rPr>
          <w:rFonts w:ascii="Times New Roman" w:eastAsia="Times New Roman" w:hAnsi="Times New Roman" w:cs="Times New Roman"/>
          <w:lang w:val="es-ES"/>
        </w:rPr>
        <w:t xml:space="preserve"> asociación que muestra la </w:t>
      </w:r>
      <w:r w:rsidR="00396FD9" w:rsidRPr="00AA6CBA">
        <w:rPr>
          <w:rFonts w:ascii="Times New Roman" w:eastAsia="Times New Roman" w:hAnsi="Times New Roman" w:cs="Times New Roman"/>
          <w:lang w:val="es-ES"/>
        </w:rPr>
        <w:t xml:space="preserve"> prueba de Chi</w:t>
      </w:r>
      <w:r w:rsidR="00DF02C5" w:rsidRPr="00AA6CBA">
        <w:rPr>
          <w:rFonts w:ascii="Times New Roman" w:eastAsia="Times New Roman" w:hAnsi="Times New Roman" w:cs="Times New Roman"/>
          <w:lang w:val="es-ES"/>
        </w:rPr>
        <w:t>.</w:t>
      </w:r>
      <w:r w:rsidR="00396FD9" w:rsidRPr="00AA6CBA">
        <w:rPr>
          <w:rFonts w:ascii="Times New Roman" w:eastAsia="Times New Roman" w:hAnsi="Times New Roman" w:cs="Times New Roman"/>
          <w:vertAlign w:val="superscript"/>
          <w:lang w:val="es-ES"/>
        </w:rPr>
        <w:t>2</w:t>
      </w:r>
      <w:r w:rsidR="00CA21B2" w:rsidRPr="00AA6CBA">
        <w:rPr>
          <w:rFonts w:ascii="Times New Roman" w:eastAsia="Times New Roman" w:hAnsi="Times New Roman" w:cs="Times New Roman"/>
          <w:lang w:val="es-ES"/>
        </w:rPr>
        <w:t xml:space="preserve"> </w:t>
      </w:r>
    </w:p>
    <w:p w:rsidR="00D03710" w:rsidRPr="00AD6A24" w:rsidRDefault="003C0C13" w:rsidP="00AA6CBA">
      <w:pPr>
        <w:spacing w:line="360" w:lineRule="auto"/>
        <w:jc w:val="both"/>
        <w:rPr>
          <w:rFonts w:ascii="Arial" w:eastAsia="Times New Roman" w:hAnsi="Arial" w:cs="Arial"/>
          <w:lang w:val="es-ES"/>
        </w:rPr>
      </w:pPr>
      <w:r w:rsidRPr="00AA6CBA">
        <w:rPr>
          <w:rFonts w:ascii="Times New Roman" w:eastAsia="Times New Roman" w:hAnsi="Times New Roman" w:cs="Times New Roman"/>
          <w:lang w:val="es-ES"/>
        </w:rPr>
        <w:lastRenderedPageBreak/>
        <w:t xml:space="preserve">Al </w:t>
      </w:r>
      <w:r w:rsidR="00E64968" w:rsidRPr="00AA6CBA">
        <w:rPr>
          <w:rFonts w:ascii="Times New Roman" w:eastAsia="Times New Roman" w:hAnsi="Times New Roman" w:cs="Times New Roman"/>
          <w:lang w:val="es-ES"/>
        </w:rPr>
        <w:t>tener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487AF6" w:rsidRPr="00AA6CBA">
        <w:rPr>
          <w:rFonts w:ascii="Times New Roman" w:eastAsia="Times New Roman" w:hAnsi="Times New Roman" w:cs="Times New Roman"/>
          <w:lang w:val="es-ES"/>
        </w:rPr>
        <w:t>la población residente más de 5 años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5A3FD6" w:rsidRPr="00AA6CBA">
        <w:rPr>
          <w:rFonts w:ascii="Times New Roman" w:eastAsia="Times New Roman" w:hAnsi="Times New Roman" w:cs="Times New Roman"/>
          <w:lang w:val="es-ES"/>
        </w:rPr>
        <w:t xml:space="preserve">en el lugar </w:t>
      </w:r>
      <w:r w:rsidR="00E64968" w:rsidRPr="00AA6CBA">
        <w:rPr>
          <w:rFonts w:ascii="Times New Roman" w:eastAsia="Times New Roman" w:hAnsi="Times New Roman" w:cs="Times New Roman"/>
          <w:lang w:val="es-ES"/>
        </w:rPr>
        <w:t>se puede</w:t>
      </w:r>
      <w:r w:rsidR="00487AF6" w:rsidRPr="00AA6CBA">
        <w:rPr>
          <w:rFonts w:ascii="Times New Roman" w:eastAsia="Times New Roman" w:hAnsi="Times New Roman" w:cs="Times New Roman"/>
          <w:lang w:val="es-ES"/>
        </w:rPr>
        <w:t xml:space="preserve"> entender que</w:t>
      </w:r>
      <w:r w:rsidRPr="00AA6CBA">
        <w:rPr>
          <w:rFonts w:ascii="Times New Roman" w:eastAsia="Times New Roman" w:hAnsi="Times New Roman" w:cs="Times New Roman"/>
          <w:lang w:val="es-ES"/>
        </w:rPr>
        <w:t xml:space="preserve"> el contacto con </w:t>
      </w:r>
      <w:r w:rsidRPr="00AA6CBA">
        <w:rPr>
          <w:rFonts w:ascii="Times New Roman" w:eastAsia="Times New Roman" w:hAnsi="Times New Roman" w:cs="Times New Roman"/>
          <w:i/>
          <w:lang w:val="es-ES"/>
        </w:rPr>
        <w:t>Toxoplasma gondii</w:t>
      </w:r>
      <w:r w:rsidR="00487AF6" w:rsidRPr="00AA6CBA">
        <w:rPr>
          <w:rFonts w:ascii="Times New Roman" w:eastAsia="Times New Roman" w:hAnsi="Times New Roman" w:cs="Times New Roman"/>
          <w:lang w:val="es-ES"/>
        </w:rPr>
        <w:t xml:space="preserve"> posiblemente haya sido local</w:t>
      </w:r>
      <w:r w:rsidR="00E64968" w:rsidRPr="00AA6CBA">
        <w:rPr>
          <w:rFonts w:ascii="Times New Roman" w:eastAsia="Times New Roman" w:hAnsi="Times New Roman" w:cs="Times New Roman"/>
          <w:lang w:val="es-ES"/>
        </w:rPr>
        <w:t xml:space="preserve">; </w:t>
      </w:r>
      <w:r w:rsidR="00626142" w:rsidRPr="00AA6CBA">
        <w:rPr>
          <w:rFonts w:ascii="Times New Roman" w:eastAsia="Times New Roman" w:hAnsi="Times New Roman" w:cs="Times New Roman"/>
          <w:lang w:val="es-ES"/>
        </w:rPr>
        <w:t>de acuerdo</w:t>
      </w:r>
      <w:r w:rsidR="00E64968" w:rsidRPr="00AA6CBA">
        <w:rPr>
          <w:rFonts w:ascii="Times New Roman" w:eastAsia="Times New Roman" w:hAnsi="Times New Roman" w:cs="Times New Roman"/>
          <w:lang w:val="es-ES"/>
        </w:rPr>
        <w:t xml:space="preserve"> a</w:t>
      </w:r>
      <w:r w:rsidR="00487AF6" w:rsidRPr="00AA6CBA">
        <w:rPr>
          <w:rFonts w:ascii="Times New Roman" w:eastAsia="Times New Roman" w:hAnsi="Times New Roman" w:cs="Times New Roman"/>
          <w:lang w:val="es-ES"/>
        </w:rPr>
        <w:t xml:space="preserve">l tamizaje realizado en donantes </w:t>
      </w:r>
      <w:r w:rsidR="00E64968" w:rsidRPr="00AA6CBA">
        <w:rPr>
          <w:rFonts w:ascii="Times New Roman" w:eastAsia="Times New Roman" w:hAnsi="Times New Roman" w:cs="Times New Roman"/>
          <w:lang w:val="es-ES"/>
        </w:rPr>
        <w:t>se e</w:t>
      </w:r>
      <w:r w:rsidR="00B04B72" w:rsidRPr="00AA6CBA">
        <w:rPr>
          <w:rFonts w:ascii="Times New Roman" w:eastAsia="Times New Roman" w:hAnsi="Times New Roman" w:cs="Times New Roman"/>
          <w:lang w:val="es-ES"/>
        </w:rPr>
        <w:t>ncontr</w:t>
      </w:r>
      <w:r w:rsidR="00E64968" w:rsidRPr="00AA6CBA">
        <w:rPr>
          <w:rFonts w:ascii="Times New Roman" w:eastAsia="Times New Roman" w:hAnsi="Times New Roman" w:cs="Times New Roman"/>
          <w:lang w:val="es-ES"/>
        </w:rPr>
        <w:t xml:space="preserve">ó </w:t>
      </w:r>
      <w:proofErr w:type="spellStart"/>
      <w:r w:rsidR="00B04B72" w:rsidRPr="00AA6CBA">
        <w:rPr>
          <w:rFonts w:ascii="Times New Roman" w:eastAsia="Times New Roman" w:hAnsi="Times New Roman" w:cs="Times New Roman"/>
          <w:lang w:val="es-ES"/>
        </w:rPr>
        <w:t>seroprevalencia</w:t>
      </w:r>
      <w:proofErr w:type="spellEnd"/>
      <w:r w:rsidR="00B04B72" w:rsidRPr="00AA6CBA">
        <w:rPr>
          <w:rFonts w:ascii="Times New Roman" w:eastAsia="Times New Roman" w:hAnsi="Times New Roman" w:cs="Times New Roman"/>
          <w:lang w:val="es-ES"/>
        </w:rPr>
        <w:t xml:space="preserve"> para </w:t>
      </w:r>
      <w:proofErr w:type="spellStart"/>
      <w:r w:rsidR="00B04B72" w:rsidRPr="00AA6CBA">
        <w:rPr>
          <w:rFonts w:ascii="Times New Roman" w:eastAsia="Times New Roman" w:hAnsi="Times New Roman" w:cs="Times New Roman"/>
          <w:lang w:val="es-ES"/>
        </w:rPr>
        <w:t>lgG</w:t>
      </w:r>
      <w:proofErr w:type="spellEnd"/>
      <w:r w:rsidR="00B04B72" w:rsidRPr="00AA6CBA">
        <w:rPr>
          <w:rFonts w:ascii="Times New Roman" w:eastAsia="Times New Roman" w:hAnsi="Times New Roman" w:cs="Times New Roman"/>
          <w:lang w:val="es-ES"/>
        </w:rPr>
        <w:t xml:space="preserve"> e </w:t>
      </w:r>
      <w:proofErr w:type="spellStart"/>
      <w:r w:rsidR="00B04B72" w:rsidRPr="00AA6CBA">
        <w:rPr>
          <w:rFonts w:ascii="Times New Roman" w:eastAsia="Times New Roman" w:hAnsi="Times New Roman" w:cs="Times New Roman"/>
          <w:lang w:val="es-ES"/>
        </w:rPr>
        <w:t>IgM</w:t>
      </w:r>
      <w:proofErr w:type="spellEnd"/>
      <w:r w:rsidR="00B04B72" w:rsidRPr="00AA6CBA">
        <w:rPr>
          <w:rFonts w:ascii="Times New Roman" w:eastAsia="Times New Roman" w:hAnsi="Times New Roman" w:cs="Times New Roman"/>
          <w:lang w:val="es-ES"/>
        </w:rPr>
        <w:t xml:space="preserve"> anti </w:t>
      </w:r>
      <w:r w:rsidR="00B04B72" w:rsidRPr="00AA6CBA">
        <w:rPr>
          <w:rFonts w:ascii="Times New Roman" w:eastAsia="Times New Roman" w:hAnsi="Times New Roman" w:cs="Times New Roman"/>
          <w:i/>
          <w:lang w:val="es-ES"/>
        </w:rPr>
        <w:t xml:space="preserve">Toxoplasma </w:t>
      </w:r>
      <w:proofErr w:type="spellStart"/>
      <w:r w:rsidR="00B04B72" w:rsidRPr="00AA6CBA">
        <w:rPr>
          <w:rFonts w:ascii="Times New Roman" w:eastAsia="Times New Roman" w:hAnsi="Times New Roman" w:cs="Times New Roman"/>
          <w:i/>
          <w:lang w:val="es-ES"/>
        </w:rPr>
        <w:t>gondii</w:t>
      </w:r>
      <w:proofErr w:type="spellEnd"/>
      <w:r w:rsidR="00626142" w:rsidRPr="00AA6CBA">
        <w:rPr>
          <w:rFonts w:ascii="Times New Roman" w:eastAsia="Times New Roman" w:hAnsi="Times New Roman" w:cs="Times New Roman"/>
          <w:lang w:val="es-ES"/>
        </w:rPr>
        <w:t xml:space="preserve"> en un </w:t>
      </w:r>
      <w:r w:rsidR="00B04B72" w:rsidRPr="00AA6CBA">
        <w:rPr>
          <w:rFonts w:ascii="Times New Roman" w:eastAsia="Times New Roman" w:hAnsi="Times New Roman" w:cs="Times New Roman"/>
          <w:lang w:val="es-ES"/>
        </w:rPr>
        <w:t>Banco de Sangre de la ciudad d</w:t>
      </w:r>
      <w:r w:rsidR="00626142" w:rsidRPr="00AA6CBA">
        <w:rPr>
          <w:rFonts w:ascii="Times New Roman" w:eastAsia="Times New Roman" w:hAnsi="Times New Roman" w:cs="Times New Roman"/>
          <w:lang w:val="es-ES"/>
        </w:rPr>
        <w:t>e Tijuana</w:t>
      </w:r>
      <w:r w:rsidR="005A3FD6" w:rsidRPr="00AA6CBA">
        <w:rPr>
          <w:rFonts w:ascii="Times New Roman" w:eastAsia="Times New Roman" w:hAnsi="Times New Roman" w:cs="Times New Roman"/>
          <w:lang w:val="es-ES"/>
        </w:rPr>
        <w:t>. El presente tr</w:t>
      </w:r>
      <w:r w:rsidR="00626142" w:rsidRPr="00AA6CBA">
        <w:rPr>
          <w:rFonts w:ascii="Times New Roman" w:eastAsia="Times New Roman" w:hAnsi="Times New Roman" w:cs="Times New Roman"/>
          <w:lang w:val="es-ES"/>
        </w:rPr>
        <w:t xml:space="preserve">abajo alerta </w:t>
      </w:r>
      <w:r w:rsidR="00B04B72" w:rsidRPr="00AA6CBA">
        <w:rPr>
          <w:rFonts w:ascii="Times New Roman" w:eastAsia="Times New Roman" w:hAnsi="Times New Roman" w:cs="Times New Roman"/>
          <w:lang w:val="es-ES"/>
        </w:rPr>
        <w:t>sobre la presencia de este parásito</w:t>
      </w:r>
      <w:r w:rsidR="005A3FD6" w:rsidRPr="00AA6CBA">
        <w:rPr>
          <w:rFonts w:ascii="Times New Roman" w:eastAsia="Times New Roman" w:hAnsi="Times New Roman" w:cs="Times New Roman"/>
          <w:lang w:val="es-ES"/>
        </w:rPr>
        <w:t>,</w:t>
      </w:r>
      <w:r w:rsidR="00B04B72" w:rsidRPr="00AA6CBA">
        <w:rPr>
          <w:rFonts w:ascii="Times New Roman" w:eastAsia="Times New Roman" w:hAnsi="Times New Roman" w:cs="Times New Roman"/>
          <w:lang w:val="es-ES"/>
        </w:rPr>
        <w:t xml:space="preserve"> por </w:t>
      </w:r>
      <w:r w:rsidR="00B107F4" w:rsidRPr="00AA6CBA">
        <w:rPr>
          <w:rFonts w:ascii="Times New Roman" w:eastAsia="Times New Roman" w:hAnsi="Times New Roman" w:cs="Times New Roman"/>
          <w:lang w:val="es-ES"/>
        </w:rPr>
        <w:t xml:space="preserve">lo que </w:t>
      </w:r>
      <w:r w:rsidR="000F4CAE" w:rsidRPr="00AA6CBA">
        <w:rPr>
          <w:rFonts w:ascii="Times New Roman" w:eastAsia="Times New Roman" w:hAnsi="Times New Roman" w:cs="Times New Roman"/>
          <w:lang w:val="es-ES"/>
        </w:rPr>
        <w:t xml:space="preserve">se </w:t>
      </w:r>
      <w:r w:rsidR="00346749" w:rsidRPr="00AA6CBA">
        <w:rPr>
          <w:rFonts w:ascii="Times New Roman" w:eastAsia="Times New Roman" w:hAnsi="Times New Roman" w:cs="Times New Roman"/>
          <w:lang w:val="es-ES"/>
        </w:rPr>
        <w:t xml:space="preserve">recomienda </w:t>
      </w:r>
      <w:r w:rsidR="00E64968" w:rsidRPr="00AA6CBA">
        <w:rPr>
          <w:rFonts w:ascii="Times New Roman" w:eastAsia="Times New Roman" w:hAnsi="Times New Roman" w:cs="Times New Roman"/>
          <w:lang w:val="es-ES"/>
        </w:rPr>
        <w:t xml:space="preserve">dar </w:t>
      </w:r>
      <w:r w:rsidR="00346749" w:rsidRPr="00AA6CBA">
        <w:rPr>
          <w:rFonts w:ascii="Times New Roman" w:eastAsia="Times New Roman" w:hAnsi="Times New Roman" w:cs="Times New Roman"/>
          <w:lang w:val="es-ES"/>
        </w:rPr>
        <w:t xml:space="preserve">continuidad a esta clase de estudios </w:t>
      </w:r>
      <w:r w:rsidR="00B04B72" w:rsidRPr="00AA6CBA">
        <w:rPr>
          <w:rFonts w:ascii="Times New Roman" w:eastAsia="Times New Roman" w:hAnsi="Times New Roman" w:cs="Times New Roman"/>
          <w:lang w:val="es-ES"/>
        </w:rPr>
        <w:t xml:space="preserve">serológicos </w:t>
      </w:r>
      <w:r w:rsidR="0040415D" w:rsidRPr="00AA6CBA">
        <w:rPr>
          <w:rFonts w:ascii="Times New Roman" w:eastAsia="Times New Roman" w:hAnsi="Times New Roman" w:cs="Times New Roman"/>
          <w:lang w:val="es-ES"/>
        </w:rPr>
        <w:t xml:space="preserve">para </w:t>
      </w:r>
      <w:r w:rsidR="000F4CAE" w:rsidRPr="00AA6CBA">
        <w:rPr>
          <w:rFonts w:ascii="Times New Roman" w:eastAsia="Times New Roman" w:hAnsi="Times New Roman" w:cs="Times New Roman"/>
          <w:lang w:val="es-ES"/>
        </w:rPr>
        <w:t>ado</w:t>
      </w:r>
      <w:r w:rsidR="00D03710" w:rsidRPr="00AA6CBA">
        <w:rPr>
          <w:rFonts w:ascii="Times New Roman" w:eastAsia="Times New Roman" w:hAnsi="Times New Roman" w:cs="Times New Roman"/>
          <w:lang w:val="es-ES"/>
        </w:rPr>
        <w:t xml:space="preserve">ptar estrategias apropiadas </w:t>
      </w:r>
      <w:r w:rsidR="00346749" w:rsidRPr="00AA6CBA">
        <w:rPr>
          <w:rFonts w:ascii="Times New Roman" w:eastAsia="Times New Roman" w:hAnsi="Times New Roman" w:cs="Times New Roman"/>
          <w:lang w:val="es-ES"/>
        </w:rPr>
        <w:t>y</w:t>
      </w:r>
      <w:r w:rsidR="00D03710" w:rsidRPr="00AA6CBA">
        <w:rPr>
          <w:rFonts w:ascii="Times New Roman" w:eastAsia="Times New Roman" w:hAnsi="Times New Roman" w:cs="Times New Roman"/>
          <w:lang w:val="es-ES"/>
        </w:rPr>
        <w:t xml:space="preserve"> </w:t>
      </w:r>
      <w:r w:rsidR="0040415D" w:rsidRPr="00AA6CBA">
        <w:rPr>
          <w:rFonts w:ascii="Times New Roman" w:eastAsia="Times New Roman" w:hAnsi="Times New Roman" w:cs="Times New Roman"/>
          <w:lang w:val="es-ES"/>
        </w:rPr>
        <w:t>minimizar</w:t>
      </w:r>
      <w:r w:rsidR="00D03710" w:rsidRPr="00AA6CBA">
        <w:rPr>
          <w:rFonts w:ascii="Times New Roman" w:eastAsia="Times New Roman" w:hAnsi="Times New Roman" w:cs="Times New Roman"/>
          <w:lang w:val="es-ES"/>
        </w:rPr>
        <w:t xml:space="preserve"> el riesgo de </w:t>
      </w:r>
      <w:r w:rsidR="00346749" w:rsidRPr="00AA6CBA">
        <w:rPr>
          <w:rFonts w:ascii="Times New Roman" w:eastAsia="Times New Roman" w:hAnsi="Times New Roman" w:cs="Times New Roman"/>
          <w:lang w:val="es-ES"/>
        </w:rPr>
        <w:t>infec</w:t>
      </w:r>
      <w:r w:rsidR="00E64968" w:rsidRPr="00AA6CBA">
        <w:rPr>
          <w:rFonts w:ascii="Times New Roman" w:eastAsia="Times New Roman" w:hAnsi="Times New Roman" w:cs="Times New Roman"/>
          <w:lang w:val="es-ES"/>
        </w:rPr>
        <w:t>ción en</w:t>
      </w:r>
      <w:r w:rsidR="00346749" w:rsidRPr="00AA6CBA">
        <w:rPr>
          <w:rFonts w:ascii="Times New Roman" w:eastAsia="Times New Roman" w:hAnsi="Times New Roman" w:cs="Times New Roman"/>
          <w:lang w:val="es-ES"/>
        </w:rPr>
        <w:t xml:space="preserve"> personas por esta vía</w:t>
      </w:r>
      <w:r w:rsidR="00D03710" w:rsidRPr="00AA6CBA">
        <w:rPr>
          <w:rFonts w:ascii="Times New Roman" w:eastAsia="Times New Roman" w:hAnsi="Times New Roman" w:cs="Times New Roman"/>
          <w:lang w:val="es-ES"/>
        </w:rPr>
        <w:t>.</w:t>
      </w:r>
    </w:p>
    <w:p w:rsidR="00C82EA5" w:rsidRDefault="00C82EA5" w:rsidP="00AA6CBA">
      <w:pPr>
        <w:spacing w:line="48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C82EA5" w:rsidRDefault="00C82EA5" w:rsidP="00AA6CBA">
      <w:pPr>
        <w:spacing w:line="48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</w:p>
    <w:p w:rsidR="008728BC" w:rsidRPr="00CB4565" w:rsidRDefault="00AA6CBA" w:rsidP="00AA6CBA">
      <w:pPr>
        <w:spacing w:line="480" w:lineRule="auto"/>
        <w:jc w:val="both"/>
        <w:rPr>
          <w:rFonts w:ascii="Arial" w:hAnsi="Arial" w:cs="Arial"/>
          <w:b/>
          <w:lang w:val="es-ES"/>
        </w:rPr>
      </w:pPr>
      <w: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Bibliografía</w:t>
      </w:r>
    </w:p>
    <w:p w:rsidR="007F6530" w:rsidRPr="00107C11" w:rsidRDefault="007F6530" w:rsidP="007F6530">
      <w:p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r w:rsidRPr="00AA6CBA">
        <w:rPr>
          <w:rFonts w:ascii="Times New Roman" w:hAnsi="Times New Roman" w:cs="Times New Roman"/>
          <w:lang w:val="es-ES"/>
        </w:rPr>
        <w:t xml:space="preserve">Alvarado Cosme-Esquivel M-S.M.F., Rodríguez-Briones A., Fallad-Torres L., Ayala-Ayala J.O., </w:t>
      </w:r>
      <w:proofErr w:type="spellStart"/>
      <w:r w:rsidRPr="00AA6CBA">
        <w:rPr>
          <w:rFonts w:ascii="Times New Roman" w:hAnsi="Times New Roman" w:cs="Times New Roman"/>
          <w:lang w:val="es-ES"/>
        </w:rPr>
        <w:t>Nevarez</w:t>
      </w:r>
      <w:proofErr w:type="spellEnd"/>
      <w:r w:rsidRPr="00AA6CBA">
        <w:rPr>
          <w:rFonts w:ascii="Times New Roman" w:hAnsi="Times New Roman" w:cs="Times New Roman"/>
          <w:lang w:val="es-ES"/>
        </w:rPr>
        <w:t xml:space="preserve">-Piedra L.J., et al. </w:t>
      </w:r>
      <w:proofErr w:type="gramStart"/>
      <w:r w:rsidRPr="00AA6CBA">
        <w:rPr>
          <w:rFonts w:ascii="Times New Roman" w:hAnsi="Times New Roman" w:cs="Times New Roman"/>
        </w:rPr>
        <w:t xml:space="preserve">(2007). </w:t>
      </w:r>
      <w:proofErr w:type="spellStart"/>
      <w:r w:rsidRPr="00AA6CBA">
        <w:rPr>
          <w:rFonts w:ascii="Times New Roman" w:hAnsi="Times New Roman" w:cs="Times New Roman"/>
        </w:rPr>
        <w:t>Seroepidemiology</w:t>
      </w:r>
      <w:proofErr w:type="spellEnd"/>
      <w:r w:rsidRPr="00AA6CBA">
        <w:rPr>
          <w:rFonts w:ascii="Times New Roman" w:hAnsi="Times New Roman" w:cs="Times New Roman"/>
        </w:rPr>
        <w:t xml:space="preserve"> of infection with </w:t>
      </w:r>
      <w:r w:rsidRPr="00AA6CBA">
        <w:rPr>
          <w:rFonts w:ascii="Times New Roman" w:hAnsi="Times New Roman" w:cs="Times New Roman"/>
          <w:i/>
        </w:rPr>
        <w:t xml:space="preserve">Toxoplasma </w:t>
      </w:r>
      <w:proofErr w:type="spellStart"/>
      <w:r w:rsidRPr="00AA6CBA">
        <w:rPr>
          <w:rFonts w:ascii="Times New Roman" w:hAnsi="Times New Roman" w:cs="Times New Roman"/>
          <w:i/>
        </w:rPr>
        <w:t>gondii</w:t>
      </w:r>
      <w:proofErr w:type="spellEnd"/>
      <w:r w:rsidRPr="00AA6CBA">
        <w:rPr>
          <w:rFonts w:ascii="Times New Roman" w:hAnsi="Times New Roman" w:cs="Times New Roman"/>
        </w:rPr>
        <w:t xml:space="preserve"> in healthy blood donors of Durango, México.</w:t>
      </w:r>
      <w:proofErr w:type="gramEnd"/>
      <w:r w:rsidRPr="00AA6CBA">
        <w:rPr>
          <w:rFonts w:ascii="Times New Roman" w:hAnsi="Times New Roman" w:cs="Times New Roman"/>
        </w:rPr>
        <w:t xml:space="preserve"> </w:t>
      </w:r>
      <w:r w:rsidRPr="00107C11">
        <w:rPr>
          <w:rFonts w:ascii="Times New Roman" w:hAnsi="Times New Roman" w:cs="Times New Roman"/>
        </w:rPr>
        <w:t>Biomed Central.7 (75):1471-2334.</w:t>
      </w:r>
    </w:p>
    <w:p w:rsidR="007F6530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</w:rPr>
      </w:pPr>
      <w:proofErr w:type="spellStart"/>
      <w:r w:rsidRPr="00AA6CBA">
        <w:rPr>
          <w:rFonts w:ascii="Times New Roman" w:hAnsi="Times New Roman" w:cs="Times New Roman"/>
        </w:rPr>
        <w:t>Bahador</w:t>
      </w:r>
      <w:proofErr w:type="spellEnd"/>
      <w:r w:rsidRPr="00AA6CBA">
        <w:rPr>
          <w:rFonts w:ascii="Times New Roman" w:hAnsi="Times New Roman" w:cs="Times New Roman"/>
        </w:rPr>
        <w:t xml:space="preserve"> </w:t>
      </w:r>
      <w:proofErr w:type="spellStart"/>
      <w:r w:rsidRPr="00AA6CBA">
        <w:rPr>
          <w:rFonts w:ascii="Times New Roman" w:hAnsi="Times New Roman" w:cs="Times New Roman"/>
        </w:rPr>
        <w:t>Sarkari</w:t>
      </w:r>
      <w:proofErr w:type="spellEnd"/>
      <w:r w:rsidRPr="00AA6CBA">
        <w:rPr>
          <w:rFonts w:ascii="Times New Roman" w:hAnsi="Times New Roman" w:cs="Times New Roman"/>
        </w:rPr>
        <w:t xml:space="preserve"> R.S., </w:t>
      </w:r>
      <w:proofErr w:type="spellStart"/>
      <w:r w:rsidRPr="00AA6CBA">
        <w:rPr>
          <w:rFonts w:ascii="Times New Roman" w:hAnsi="Times New Roman" w:cs="Times New Roman"/>
        </w:rPr>
        <w:t>Zare</w:t>
      </w:r>
      <w:proofErr w:type="spellEnd"/>
      <w:r w:rsidRPr="00AA6CBA">
        <w:rPr>
          <w:rFonts w:ascii="Times New Roman" w:hAnsi="Times New Roman" w:cs="Times New Roman"/>
        </w:rPr>
        <w:t xml:space="preserve"> M., </w:t>
      </w:r>
      <w:proofErr w:type="spellStart"/>
      <w:r w:rsidRPr="00AA6CBA">
        <w:rPr>
          <w:rFonts w:ascii="Times New Roman" w:hAnsi="Times New Roman" w:cs="Times New Roman"/>
        </w:rPr>
        <w:t>Sohrabpour</w:t>
      </w:r>
      <w:proofErr w:type="spellEnd"/>
      <w:r w:rsidRPr="00AA6CBA">
        <w:rPr>
          <w:rFonts w:ascii="Times New Roman" w:hAnsi="Times New Roman" w:cs="Times New Roman"/>
        </w:rPr>
        <w:t xml:space="preserve"> S., </w:t>
      </w:r>
      <w:proofErr w:type="spellStart"/>
      <w:r w:rsidRPr="00AA6CBA">
        <w:rPr>
          <w:rFonts w:ascii="Times New Roman" w:hAnsi="Times New Roman" w:cs="Times New Roman"/>
        </w:rPr>
        <w:t>Kasrajan</w:t>
      </w:r>
      <w:proofErr w:type="spellEnd"/>
      <w:r w:rsidRPr="00AA6CBA">
        <w:rPr>
          <w:rFonts w:ascii="Times New Roman" w:hAnsi="Times New Roman" w:cs="Times New Roman"/>
        </w:rPr>
        <w:t xml:space="preserve"> L. (2014) </w:t>
      </w:r>
      <w:proofErr w:type="spellStart"/>
      <w:r w:rsidRPr="00AA6CBA">
        <w:rPr>
          <w:rFonts w:ascii="Times New Roman" w:hAnsi="Times New Roman" w:cs="Times New Roman"/>
        </w:rPr>
        <w:t>Seroprevalence</w:t>
      </w:r>
      <w:proofErr w:type="spellEnd"/>
      <w:r w:rsidRPr="00AA6CBA">
        <w:rPr>
          <w:rFonts w:ascii="Times New Roman" w:hAnsi="Times New Roman" w:cs="Times New Roman"/>
        </w:rPr>
        <w:t xml:space="preserve"> and molecular diagnosis of </w:t>
      </w:r>
      <w:r w:rsidRPr="00AA6CBA">
        <w:rPr>
          <w:rFonts w:ascii="Times New Roman" w:hAnsi="Times New Roman" w:cs="Times New Roman"/>
          <w:i/>
        </w:rPr>
        <w:t xml:space="preserve">Toxoplasma </w:t>
      </w:r>
      <w:proofErr w:type="spellStart"/>
      <w:r w:rsidRPr="00AA6CBA">
        <w:rPr>
          <w:rFonts w:ascii="Times New Roman" w:hAnsi="Times New Roman" w:cs="Times New Roman"/>
          <w:i/>
        </w:rPr>
        <w:t>gondii</w:t>
      </w:r>
      <w:proofErr w:type="spellEnd"/>
      <w:r w:rsidRPr="00AA6CBA">
        <w:rPr>
          <w:rFonts w:ascii="Times New Roman" w:hAnsi="Times New Roman" w:cs="Times New Roman"/>
        </w:rPr>
        <w:t xml:space="preserve"> infection among blood donors in Southern Iran. J infects dev </w:t>
      </w:r>
      <w:proofErr w:type="spellStart"/>
      <w:r w:rsidRPr="00AA6CBA">
        <w:rPr>
          <w:rFonts w:ascii="Times New Roman" w:hAnsi="Times New Roman" w:cs="Times New Roman"/>
        </w:rPr>
        <w:t>Ctries</w:t>
      </w:r>
      <w:proofErr w:type="spellEnd"/>
      <w:r w:rsidRPr="00AA6CBA">
        <w:rPr>
          <w:rFonts w:ascii="Times New Roman" w:hAnsi="Times New Roman" w:cs="Times New Roman"/>
        </w:rPr>
        <w:t>. 8(4):543-547.</w:t>
      </w:r>
    </w:p>
    <w:p w:rsidR="007F6530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</w:rPr>
      </w:pPr>
      <w:proofErr w:type="spellStart"/>
      <w:r w:rsidRPr="00AA6CBA">
        <w:rPr>
          <w:rFonts w:ascii="Times New Roman" w:hAnsi="Times New Roman" w:cs="Times New Roman"/>
        </w:rPr>
        <w:t>Bessieres</w:t>
      </w:r>
      <w:proofErr w:type="spellEnd"/>
      <w:r w:rsidRPr="00AA6CBA">
        <w:rPr>
          <w:rFonts w:ascii="Times New Roman" w:hAnsi="Times New Roman" w:cs="Times New Roman"/>
        </w:rPr>
        <w:t xml:space="preserve"> M. H., et al. (2009). Diagnosis of congenital toxoplasmosis of methods used Toulouse University Hospital and incidence of congenital toxoplasmosis. Mem Inst. March.Vol104:389-392</w:t>
      </w:r>
      <w:r>
        <w:rPr>
          <w:rFonts w:ascii="Times New Roman" w:hAnsi="Times New Roman" w:cs="Times New Roman"/>
        </w:rPr>
        <w:t>.</w:t>
      </w:r>
    </w:p>
    <w:p w:rsidR="007F6530" w:rsidRPr="00107C11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</w:rPr>
      </w:pPr>
      <w:proofErr w:type="spellStart"/>
      <w:r w:rsidRPr="00AA6CBA">
        <w:rPr>
          <w:rFonts w:ascii="Times New Roman" w:hAnsi="Times New Roman" w:cs="Times New Roman"/>
        </w:rPr>
        <w:t>Brynska</w:t>
      </w:r>
      <w:proofErr w:type="spellEnd"/>
      <w:r w:rsidRPr="00AA6CBA">
        <w:rPr>
          <w:rFonts w:ascii="Times New Roman" w:hAnsi="Times New Roman" w:cs="Times New Roman"/>
        </w:rPr>
        <w:t xml:space="preserve"> A., </w:t>
      </w:r>
      <w:proofErr w:type="spellStart"/>
      <w:r w:rsidRPr="00AA6CBA">
        <w:rPr>
          <w:rFonts w:ascii="Times New Roman" w:hAnsi="Times New Roman" w:cs="Times New Roman"/>
        </w:rPr>
        <w:t>Tomaszewiks-Libudzic</w:t>
      </w:r>
      <w:proofErr w:type="spellEnd"/>
      <w:r w:rsidRPr="00AA6CBA">
        <w:rPr>
          <w:rFonts w:ascii="Times New Roman" w:hAnsi="Times New Roman" w:cs="Times New Roman"/>
        </w:rPr>
        <w:t xml:space="preserve"> E, </w:t>
      </w:r>
      <w:proofErr w:type="spellStart"/>
      <w:r w:rsidRPr="00AA6CBA">
        <w:rPr>
          <w:rFonts w:ascii="Times New Roman" w:hAnsi="Times New Roman" w:cs="Times New Roman"/>
        </w:rPr>
        <w:t>Wolanczyk</w:t>
      </w:r>
      <w:proofErr w:type="spellEnd"/>
      <w:r w:rsidRPr="00AA6CBA">
        <w:rPr>
          <w:rFonts w:ascii="Times New Roman" w:hAnsi="Times New Roman" w:cs="Times New Roman"/>
        </w:rPr>
        <w:t xml:space="preserve"> T. (2001). Obsessive-Compulsive disorder and acquired toxoplasmosis in two </w:t>
      </w:r>
      <w:proofErr w:type="spellStart"/>
      <w:r w:rsidRPr="00AA6CBA">
        <w:rPr>
          <w:rFonts w:ascii="Times New Roman" w:hAnsi="Times New Roman" w:cs="Times New Roman"/>
        </w:rPr>
        <w:t>childrens</w:t>
      </w:r>
      <w:proofErr w:type="spellEnd"/>
      <w:r w:rsidRPr="00AA6CBA">
        <w:rPr>
          <w:rFonts w:ascii="Times New Roman" w:hAnsi="Times New Roman" w:cs="Times New Roman"/>
        </w:rPr>
        <w:t xml:space="preserve">. </w:t>
      </w:r>
      <w:proofErr w:type="gramStart"/>
      <w:r w:rsidRPr="00107C11">
        <w:rPr>
          <w:rFonts w:ascii="Times New Roman" w:hAnsi="Times New Roman" w:cs="Times New Roman"/>
        </w:rPr>
        <w:t>European Child &amp; Adolescent Psychiatry.</w:t>
      </w:r>
      <w:proofErr w:type="gramEnd"/>
      <w:r w:rsidRPr="00107C11">
        <w:rPr>
          <w:rFonts w:ascii="Times New Roman" w:hAnsi="Times New Roman" w:cs="Times New Roman"/>
        </w:rPr>
        <w:t xml:space="preserve"> </w:t>
      </w:r>
      <w:proofErr w:type="gramStart"/>
      <w:r w:rsidRPr="00107C11">
        <w:rPr>
          <w:rFonts w:ascii="Times New Roman" w:hAnsi="Times New Roman" w:cs="Times New Roman"/>
        </w:rPr>
        <w:t>Vol 10, No 3; 201-05.</w:t>
      </w:r>
      <w:proofErr w:type="gramEnd"/>
    </w:p>
    <w:p w:rsidR="007F6530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</w:rPr>
      </w:pPr>
      <w:proofErr w:type="spellStart"/>
      <w:r w:rsidRPr="00107C11">
        <w:rPr>
          <w:rFonts w:ascii="Times New Roman" w:hAnsi="Times New Roman" w:cs="Times New Roman"/>
        </w:rPr>
        <w:t>Ezatpou</w:t>
      </w:r>
      <w:proofErr w:type="spellEnd"/>
      <w:r w:rsidRPr="00107C11">
        <w:rPr>
          <w:rFonts w:ascii="Times New Roman" w:hAnsi="Times New Roman" w:cs="Times New Roman"/>
        </w:rPr>
        <w:t xml:space="preserve">, B., et al. </w:t>
      </w:r>
      <w:r w:rsidRPr="00AA6CBA">
        <w:rPr>
          <w:rFonts w:ascii="Times New Roman" w:hAnsi="Times New Roman" w:cs="Times New Roman"/>
        </w:rPr>
        <w:t xml:space="preserve">(2015). </w:t>
      </w:r>
      <w:proofErr w:type="spellStart"/>
      <w:r w:rsidRPr="00AA6CBA">
        <w:rPr>
          <w:rFonts w:ascii="Times New Roman" w:hAnsi="Times New Roman" w:cs="Times New Roman"/>
        </w:rPr>
        <w:t>Seroprevalence</w:t>
      </w:r>
      <w:proofErr w:type="spellEnd"/>
      <w:r w:rsidRPr="00AA6CBA">
        <w:rPr>
          <w:rFonts w:ascii="Times New Roman" w:hAnsi="Times New Roman" w:cs="Times New Roman"/>
        </w:rPr>
        <w:t xml:space="preserve"> of toxoplasmosis in mentally retarded patient in Iranian rehabilitation centers. </w:t>
      </w:r>
      <w:proofErr w:type="spellStart"/>
      <w:r w:rsidRPr="00AA6CBA">
        <w:rPr>
          <w:rFonts w:ascii="Times New Roman" w:hAnsi="Times New Roman" w:cs="Times New Roman"/>
        </w:rPr>
        <w:t>Parasit</w:t>
      </w:r>
      <w:proofErr w:type="spellEnd"/>
      <w:r w:rsidRPr="00AA6CBA">
        <w:rPr>
          <w:rFonts w:ascii="Times New Roman" w:hAnsi="Times New Roman" w:cs="Times New Roman"/>
        </w:rPr>
        <w:t xml:space="preserve"> Dis (Jan-Mar):13-17.</w:t>
      </w:r>
    </w:p>
    <w:p w:rsidR="007F6530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</w:rPr>
      </w:pPr>
      <w:proofErr w:type="spellStart"/>
      <w:proofErr w:type="gramStart"/>
      <w:r w:rsidRPr="00AA6CBA">
        <w:rPr>
          <w:rFonts w:ascii="Times New Roman" w:hAnsi="Times New Roman" w:cs="Times New Roman"/>
        </w:rPr>
        <w:t>Flegr</w:t>
      </w:r>
      <w:proofErr w:type="spellEnd"/>
      <w:r w:rsidRPr="00AA6CBA">
        <w:rPr>
          <w:rFonts w:ascii="Times New Roman" w:hAnsi="Times New Roman" w:cs="Times New Roman"/>
        </w:rPr>
        <w:t xml:space="preserve">, Jaroslav and </w:t>
      </w:r>
      <w:proofErr w:type="spellStart"/>
      <w:r w:rsidRPr="00AA6CBA">
        <w:rPr>
          <w:rFonts w:ascii="Times New Roman" w:hAnsi="Times New Roman" w:cs="Times New Roman"/>
        </w:rPr>
        <w:t>Strïz</w:t>
      </w:r>
      <w:proofErr w:type="spellEnd"/>
      <w:r w:rsidRPr="00AA6CBA">
        <w:rPr>
          <w:rFonts w:ascii="Times New Roman" w:hAnsi="Times New Roman" w:cs="Times New Roman"/>
        </w:rPr>
        <w:t xml:space="preserve"> </w:t>
      </w:r>
      <w:proofErr w:type="spellStart"/>
      <w:r w:rsidRPr="00AA6CBA">
        <w:rPr>
          <w:rFonts w:ascii="Times New Roman" w:hAnsi="Times New Roman" w:cs="Times New Roman"/>
        </w:rPr>
        <w:t>Ilja</w:t>
      </w:r>
      <w:proofErr w:type="spellEnd"/>
      <w:r w:rsidRPr="00AA6CBA">
        <w:rPr>
          <w:rFonts w:ascii="Times New Roman" w:hAnsi="Times New Roman" w:cs="Times New Roman"/>
        </w:rPr>
        <w:t xml:space="preserve"> (2011).</w:t>
      </w:r>
      <w:proofErr w:type="gramEnd"/>
      <w:r w:rsidRPr="00AA6CBA">
        <w:rPr>
          <w:rFonts w:ascii="Times New Roman" w:hAnsi="Times New Roman" w:cs="Times New Roman"/>
        </w:rPr>
        <w:t xml:space="preserve"> </w:t>
      </w:r>
      <w:proofErr w:type="gramStart"/>
      <w:r w:rsidRPr="00AA6CBA">
        <w:rPr>
          <w:rFonts w:ascii="Times New Roman" w:hAnsi="Times New Roman" w:cs="Times New Roman"/>
        </w:rPr>
        <w:t>Potential immunomodulatory effects of latent toxoplasmosis in humans BMC Infectious disease.11; 2-7</w:t>
      </w:r>
      <w:r>
        <w:rPr>
          <w:rFonts w:ascii="Times New Roman" w:hAnsi="Times New Roman" w:cs="Times New Roman"/>
        </w:rPr>
        <w:t>.</w:t>
      </w:r>
      <w:proofErr w:type="gramEnd"/>
    </w:p>
    <w:p w:rsidR="007F6530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  <w:lang w:val="es-ES"/>
        </w:rPr>
      </w:pPr>
      <w:proofErr w:type="gramStart"/>
      <w:r w:rsidRPr="00AA6CBA">
        <w:rPr>
          <w:rFonts w:ascii="Times New Roman" w:hAnsi="Times New Roman" w:cs="Times New Roman"/>
        </w:rPr>
        <w:t xml:space="preserve">Gebremedhin E.Z. and </w:t>
      </w:r>
      <w:proofErr w:type="spellStart"/>
      <w:r w:rsidRPr="00AA6CBA">
        <w:rPr>
          <w:rFonts w:ascii="Times New Roman" w:hAnsi="Times New Roman" w:cs="Times New Roman"/>
        </w:rPr>
        <w:t>Tadesse</w:t>
      </w:r>
      <w:proofErr w:type="spellEnd"/>
      <w:r w:rsidRPr="00AA6CBA">
        <w:rPr>
          <w:rFonts w:ascii="Times New Roman" w:hAnsi="Times New Roman" w:cs="Times New Roman"/>
        </w:rPr>
        <w:t xml:space="preserve"> G. (2015).</w:t>
      </w:r>
      <w:proofErr w:type="gramEnd"/>
      <w:r w:rsidRPr="00AA6CBA">
        <w:rPr>
          <w:rFonts w:ascii="Times New Roman" w:hAnsi="Times New Roman" w:cs="Times New Roman"/>
        </w:rPr>
        <w:t xml:space="preserve"> </w:t>
      </w:r>
      <w:proofErr w:type="gramStart"/>
      <w:r w:rsidRPr="00AA6CBA">
        <w:rPr>
          <w:rFonts w:ascii="Times New Roman" w:hAnsi="Times New Roman" w:cs="Times New Roman"/>
        </w:rPr>
        <w:t xml:space="preserve">A meta-analysis of the prevalence of Toxoplasma </w:t>
      </w:r>
      <w:proofErr w:type="spellStart"/>
      <w:r w:rsidRPr="00AA6CBA">
        <w:rPr>
          <w:rFonts w:ascii="Times New Roman" w:hAnsi="Times New Roman" w:cs="Times New Roman"/>
        </w:rPr>
        <w:t>gondii</w:t>
      </w:r>
      <w:proofErr w:type="spellEnd"/>
      <w:r w:rsidRPr="00AA6CBA">
        <w:rPr>
          <w:rFonts w:ascii="Times New Roman" w:hAnsi="Times New Roman" w:cs="Times New Roman"/>
        </w:rPr>
        <w:t xml:space="preserve"> in animals and humans in Ethiopia Parasites &amp; Vectors.</w:t>
      </w:r>
      <w:proofErr w:type="gramEnd"/>
      <w:r w:rsidRPr="00AA6CBA">
        <w:rPr>
          <w:rFonts w:ascii="Times New Roman" w:hAnsi="Times New Roman" w:cs="Times New Roman"/>
        </w:rPr>
        <w:t xml:space="preserve"> </w:t>
      </w:r>
      <w:r w:rsidRPr="00AA6CBA">
        <w:rPr>
          <w:rFonts w:ascii="Times New Roman" w:hAnsi="Times New Roman" w:cs="Times New Roman"/>
          <w:lang w:val="es-ES"/>
        </w:rPr>
        <w:t>8:291.</w:t>
      </w:r>
    </w:p>
    <w:p w:rsidR="007F6530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  <w:lang w:val="es-ES"/>
        </w:rPr>
      </w:pPr>
      <w:r w:rsidRPr="00107C11">
        <w:rPr>
          <w:rFonts w:ascii="Times New Roman" w:hAnsi="Times New Roman" w:cs="Times New Roman"/>
          <w:lang w:val="es-ES"/>
        </w:rPr>
        <w:lastRenderedPageBreak/>
        <w:t xml:space="preserve">Gómez A.S., </w:t>
      </w:r>
      <w:proofErr w:type="spellStart"/>
      <w:r w:rsidRPr="00107C11">
        <w:rPr>
          <w:rFonts w:ascii="Times New Roman" w:hAnsi="Times New Roman" w:cs="Times New Roman"/>
          <w:lang w:val="es-ES"/>
        </w:rPr>
        <w:t>Quaranta</w:t>
      </w:r>
      <w:proofErr w:type="spellEnd"/>
      <w:r w:rsidRPr="00107C11">
        <w:rPr>
          <w:rFonts w:ascii="Times New Roman" w:hAnsi="Times New Roman" w:cs="Times New Roman"/>
          <w:lang w:val="es-ES"/>
        </w:rPr>
        <w:t xml:space="preserve"> A.M., </w:t>
      </w:r>
      <w:proofErr w:type="spellStart"/>
      <w:r w:rsidRPr="00107C11">
        <w:rPr>
          <w:rFonts w:ascii="Times New Roman" w:hAnsi="Times New Roman" w:cs="Times New Roman"/>
          <w:lang w:val="es-ES"/>
        </w:rPr>
        <w:t>Pirota</w:t>
      </w:r>
      <w:proofErr w:type="spellEnd"/>
      <w:r w:rsidRPr="00107C11">
        <w:rPr>
          <w:rFonts w:ascii="Times New Roman" w:hAnsi="Times New Roman" w:cs="Times New Roman"/>
          <w:lang w:val="es-ES"/>
        </w:rPr>
        <w:t xml:space="preserve"> M.F., </w:t>
      </w:r>
      <w:proofErr w:type="spellStart"/>
      <w:r w:rsidRPr="00107C11">
        <w:rPr>
          <w:rFonts w:ascii="Times New Roman" w:hAnsi="Times New Roman" w:cs="Times New Roman"/>
          <w:lang w:val="es-ES"/>
        </w:rPr>
        <w:t>Quaranta</w:t>
      </w:r>
      <w:proofErr w:type="spellEnd"/>
      <w:r w:rsidRPr="00107C11">
        <w:rPr>
          <w:rFonts w:ascii="Times New Roman" w:hAnsi="Times New Roman" w:cs="Times New Roman"/>
          <w:lang w:val="es-ES"/>
        </w:rPr>
        <w:t xml:space="preserve"> T.R. </w:t>
      </w:r>
      <w:r w:rsidRPr="00AA6CBA">
        <w:rPr>
          <w:rFonts w:ascii="Times New Roman" w:hAnsi="Times New Roman" w:cs="Times New Roman"/>
          <w:lang w:val="es-ES"/>
        </w:rPr>
        <w:t xml:space="preserve">(2007).Toxoplasmosis: sus formas clínicas. Rev. Posgrado </w:t>
      </w:r>
      <w:proofErr w:type="spellStart"/>
      <w:r w:rsidRPr="00AA6CBA">
        <w:rPr>
          <w:rFonts w:ascii="Times New Roman" w:hAnsi="Times New Roman" w:cs="Times New Roman"/>
          <w:lang w:val="es-ES"/>
        </w:rPr>
        <w:t>VIa</w:t>
      </w:r>
      <w:proofErr w:type="spellEnd"/>
      <w:r w:rsidRPr="00AA6CBA">
        <w:rPr>
          <w:rFonts w:ascii="Times New Roman" w:hAnsi="Times New Roman" w:cs="Times New Roman"/>
          <w:lang w:val="es-ES"/>
        </w:rPr>
        <w:t xml:space="preserve">. Cátedra Med.15-19 Recuperado de: http//: </w:t>
      </w:r>
      <w:hyperlink r:id="rId12" w:history="1">
        <w:r w:rsidRPr="002414AA">
          <w:rPr>
            <w:rStyle w:val="Hipervnculo"/>
            <w:rFonts w:ascii="Times New Roman" w:hAnsi="Times New Roman" w:cs="Times New Roman"/>
            <w:lang w:val="es-ES"/>
          </w:rPr>
          <w:t>http://med.unne.edu.ar/revista/revista165/4_165.pdf</w:t>
        </w:r>
      </w:hyperlink>
    </w:p>
    <w:p w:rsidR="007F6530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  <w:lang w:val="es-ES"/>
        </w:rPr>
      </w:pPr>
      <w:r w:rsidRPr="00AA6CBA">
        <w:rPr>
          <w:rFonts w:ascii="Times New Roman" w:hAnsi="Times New Roman" w:cs="Times New Roman"/>
          <w:lang w:val="es-ES"/>
        </w:rPr>
        <w:t xml:space="preserve">Góngora-Bianchi R.G.M.P., Castro-Sensores C., </w:t>
      </w:r>
      <w:proofErr w:type="spellStart"/>
      <w:r w:rsidRPr="00AA6CBA">
        <w:rPr>
          <w:rFonts w:ascii="Times New Roman" w:hAnsi="Times New Roman" w:cs="Times New Roman"/>
          <w:lang w:val="es-ES"/>
        </w:rPr>
        <w:t>Pavia</w:t>
      </w:r>
      <w:proofErr w:type="spellEnd"/>
      <w:r w:rsidRPr="00AA6CBA">
        <w:rPr>
          <w:rFonts w:ascii="Times New Roman" w:hAnsi="Times New Roman" w:cs="Times New Roman"/>
          <w:lang w:val="es-ES"/>
        </w:rPr>
        <w:t>-Ruiz N., Lara-Perera D., et al. (1998). Anticuerpos anti-</w:t>
      </w:r>
      <w:r w:rsidRPr="00AA6CBA">
        <w:rPr>
          <w:rFonts w:ascii="Times New Roman" w:hAnsi="Times New Roman" w:cs="Times New Roman"/>
          <w:i/>
          <w:lang w:val="es-ES"/>
        </w:rPr>
        <w:t>Toxoplasma gondii</w:t>
      </w:r>
      <w:r w:rsidRPr="00AA6CBA">
        <w:rPr>
          <w:rFonts w:ascii="Times New Roman" w:hAnsi="Times New Roman" w:cs="Times New Roman"/>
          <w:lang w:val="es-ES"/>
        </w:rPr>
        <w:t xml:space="preserve"> en pacientes con VIH en Yucatán. Revista de Investigación Clínica.50 (2):419-22.</w:t>
      </w:r>
    </w:p>
    <w:p w:rsidR="007F6530" w:rsidRPr="009316B0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</w:rPr>
      </w:pPr>
      <w:proofErr w:type="spellStart"/>
      <w:r w:rsidRPr="00AA6CBA">
        <w:rPr>
          <w:rFonts w:ascii="Times New Roman" w:hAnsi="Times New Roman" w:cs="Times New Roman"/>
          <w:lang w:val="es-ES"/>
        </w:rPr>
        <w:t>Kelso</w:t>
      </w:r>
      <w:proofErr w:type="spellEnd"/>
      <w:r w:rsidRPr="00AA6CBA">
        <w:rPr>
          <w:rFonts w:ascii="Times New Roman" w:hAnsi="Times New Roman" w:cs="Times New Roman"/>
          <w:lang w:val="es-ES"/>
        </w:rPr>
        <w:t xml:space="preserve"> S. E., Cárdenas del Toro C. E., Salinas C.M.C., Medina de la Garza C.E. (2000). Seropositividad a </w:t>
      </w:r>
      <w:r w:rsidRPr="00AA6CBA">
        <w:rPr>
          <w:rFonts w:ascii="Times New Roman" w:hAnsi="Times New Roman" w:cs="Times New Roman"/>
          <w:i/>
          <w:lang w:val="es-ES"/>
        </w:rPr>
        <w:t>Toxoplasma gondii</w:t>
      </w:r>
      <w:r w:rsidRPr="00AA6CBA">
        <w:rPr>
          <w:rFonts w:ascii="Times New Roman" w:hAnsi="Times New Roman" w:cs="Times New Roman"/>
          <w:lang w:val="es-ES"/>
        </w:rPr>
        <w:t xml:space="preserve"> en adultos del área metropolitana de Monterrey: reporte preliminar. </w:t>
      </w:r>
      <w:proofErr w:type="spellStart"/>
      <w:r w:rsidRPr="009316B0">
        <w:rPr>
          <w:rFonts w:ascii="Times New Roman" w:hAnsi="Times New Roman" w:cs="Times New Roman"/>
        </w:rPr>
        <w:t>Medicina</w:t>
      </w:r>
      <w:proofErr w:type="spellEnd"/>
      <w:r w:rsidRPr="009316B0">
        <w:rPr>
          <w:rFonts w:ascii="Times New Roman" w:hAnsi="Times New Roman" w:cs="Times New Roman"/>
        </w:rPr>
        <w:t xml:space="preserve"> </w:t>
      </w:r>
      <w:proofErr w:type="spellStart"/>
      <w:r w:rsidRPr="009316B0">
        <w:rPr>
          <w:rFonts w:ascii="Times New Roman" w:hAnsi="Times New Roman" w:cs="Times New Roman"/>
        </w:rPr>
        <w:t>Universitaria</w:t>
      </w:r>
      <w:proofErr w:type="spellEnd"/>
      <w:r w:rsidRPr="009316B0">
        <w:rPr>
          <w:rFonts w:ascii="Times New Roman" w:hAnsi="Times New Roman" w:cs="Times New Roman"/>
        </w:rPr>
        <w:t>. 2(6):77-81.</w:t>
      </w:r>
    </w:p>
    <w:p w:rsidR="007F6530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</w:rPr>
      </w:pPr>
      <w:r w:rsidRPr="009316B0">
        <w:rPr>
          <w:rFonts w:ascii="Times New Roman" w:hAnsi="Times New Roman" w:cs="Times New Roman"/>
        </w:rPr>
        <w:t xml:space="preserve">Liu M., </w:t>
      </w:r>
      <w:proofErr w:type="spellStart"/>
      <w:proofErr w:type="gramStart"/>
      <w:r w:rsidRPr="009316B0">
        <w:rPr>
          <w:rFonts w:ascii="Times New Roman" w:hAnsi="Times New Roman" w:cs="Times New Roman"/>
        </w:rPr>
        <w:t>WangT</w:t>
      </w:r>
      <w:proofErr w:type="spellEnd"/>
      <w:r w:rsidRPr="009316B0">
        <w:rPr>
          <w:rFonts w:ascii="Times New Roman" w:hAnsi="Times New Roman" w:cs="Times New Roman"/>
        </w:rPr>
        <w:t>.,</w:t>
      </w:r>
      <w:proofErr w:type="gramEnd"/>
      <w:r w:rsidRPr="009316B0">
        <w:rPr>
          <w:rFonts w:ascii="Times New Roman" w:hAnsi="Times New Roman" w:cs="Times New Roman"/>
        </w:rPr>
        <w:t xml:space="preserve"> Li </w:t>
      </w:r>
      <w:proofErr w:type="spellStart"/>
      <w:r w:rsidRPr="009316B0">
        <w:rPr>
          <w:rFonts w:ascii="Times New Roman" w:hAnsi="Times New Roman" w:cs="Times New Roman"/>
        </w:rPr>
        <w:t>H.,Li</w:t>
      </w:r>
      <w:proofErr w:type="spellEnd"/>
      <w:r w:rsidRPr="009316B0">
        <w:rPr>
          <w:rFonts w:ascii="Times New Roman" w:hAnsi="Times New Roman" w:cs="Times New Roman"/>
        </w:rPr>
        <w:t xml:space="preserve"> J-</w:t>
      </w:r>
      <w:proofErr w:type="spellStart"/>
      <w:r w:rsidRPr="009316B0">
        <w:rPr>
          <w:rFonts w:ascii="Times New Roman" w:hAnsi="Times New Roman" w:cs="Times New Roman"/>
        </w:rPr>
        <w:t>Y.Zhong</w:t>
      </w:r>
      <w:proofErr w:type="spellEnd"/>
      <w:r w:rsidRPr="009316B0">
        <w:rPr>
          <w:rFonts w:ascii="Times New Roman" w:hAnsi="Times New Roman" w:cs="Times New Roman"/>
        </w:rPr>
        <w:t xml:space="preserve"> H. Tan CH-Z., et al. (2011). </w:t>
      </w:r>
      <w:r w:rsidRPr="00AA6CBA">
        <w:rPr>
          <w:rFonts w:ascii="Times New Roman" w:hAnsi="Times New Roman" w:cs="Times New Roman"/>
        </w:rPr>
        <w:t xml:space="preserve">Analysis of antibodies anti toxoplasma by ELISA based on two diagnostic antigens: rSAG1 and rBAG1. </w:t>
      </w:r>
      <w:proofErr w:type="spellStart"/>
      <w:proofErr w:type="gramStart"/>
      <w:r w:rsidRPr="00AA6CBA">
        <w:rPr>
          <w:rFonts w:ascii="Times New Roman" w:hAnsi="Times New Roman" w:cs="Times New Roman"/>
        </w:rPr>
        <w:t>Acta</w:t>
      </w:r>
      <w:proofErr w:type="spellEnd"/>
      <w:r w:rsidRPr="00AA6CBA">
        <w:rPr>
          <w:rFonts w:ascii="Times New Roman" w:hAnsi="Times New Roman" w:cs="Times New Roman"/>
        </w:rPr>
        <w:t xml:space="preserve"> </w:t>
      </w:r>
      <w:proofErr w:type="spellStart"/>
      <w:r w:rsidRPr="00AA6CBA">
        <w:rPr>
          <w:rFonts w:ascii="Times New Roman" w:hAnsi="Times New Roman" w:cs="Times New Roman"/>
        </w:rPr>
        <w:t>Parasitologica</w:t>
      </w:r>
      <w:proofErr w:type="spellEnd"/>
      <w:r w:rsidRPr="00AA6CBA">
        <w:rPr>
          <w:rFonts w:ascii="Times New Roman" w:hAnsi="Times New Roman" w:cs="Times New Roman"/>
        </w:rPr>
        <w:t>.</w:t>
      </w:r>
      <w:proofErr w:type="gramEnd"/>
      <w:r w:rsidRPr="00AA6CBA">
        <w:rPr>
          <w:rFonts w:ascii="Times New Roman" w:hAnsi="Times New Roman" w:cs="Times New Roman"/>
        </w:rPr>
        <w:t xml:space="preserve"> </w:t>
      </w:r>
      <w:proofErr w:type="gramStart"/>
      <w:r w:rsidRPr="00AA6CBA">
        <w:rPr>
          <w:rFonts w:ascii="Times New Roman" w:hAnsi="Times New Roman" w:cs="Times New Roman"/>
        </w:rPr>
        <w:t>56 (4), 353-359; ISSN 1230-2821</w:t>
      </w:r>
      <w:r>
        <w:rPr>
          <w:rFonts w:ascii="Times New Roman" w:hAnsi="Times New Roman" w:cs="Times New Roman"/>
        </w:rPr>
        <w:t>.</w:t>
      </w:r>
      <w:proofErr w:type="gramEnd"/>
    </w:p>
    <w:p w:rsidR="007F6530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  <w:lang w:val="es-ES"/>
        </w:rPr>
      </w:pPr>
      <w:proofErr w:type="spellStart"/>
      <w:r w:rsidRPr="00AA6CBA">
        <w:rPr>
          <w:rFonts w:ascii="Times New Roman" w:hAnsi="Times New Roman" w:cs="Times New Roman"/>
        </w:rPr>
        <w:t>Mangot</w:t>
      </w:r>
      <w:proofErr w:type="spellEnd"/>
      <w:r w:rsidRPr="00AA6CBA">
        <w:rPr>
          <w:rFonts w:ascii="Times New Roman" w:hAnsi="Times New Roman" w:cs="Times New Roman"/>
        </w:rPr>
        <w:t xml:space="preserve">, A. G. (2015). Psychiatric aspects of Toxoplasmosis: an Indian perspective. </w:t>
      </w:r>
      <w:r w:rsidRPr="00AA6CBA">
        <w:rPr>
          <w:rFonts w:ascii="Times New Roman" w:hAnsi="Times New Roman" w:cs="Times New Roman"/>
          <w:lang w:val="es-ES"/>
        </w:rPr>
        <w:t xml:space="preserve">J </w:t>
      </w:r>
      <w:proofErr w:type="spellStart"/>
      <w:r w:rsidRPr="00AA6CBA">
        <w:rPr>
          <w:rFonts w:ascii="Times New Roman" w:hAnsi="Times New Roman" w:cs="Times New Roman"/>
          <w:lang w:val="es-ES"/>
        </w:rPr>
        <w:t>parasit</w:t>
      </w:r>
      <w:proofErr w:type="spellEnd"/>
      <w:r w:rsidRPr="00AA6CB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A6CBA">
        <w:rPr>
          <w:rFonts w:ascii="Times New Roman" w:hAnsi="Times New Roman" w:cs="Times New Roman"/>
          <w:lang w:val="es-ES"/>
        </w:rPr>
        <w:t>Dis</w:t>
      </w:r>
      <w:proofErr w:type="spellEnd"/>
      <w:r w:rsidRPr="00AA6CBA">
        <w:rPr>
          <w:rFonts w:ascii="Times New Roman" w:hAnsi="Times New Roman" w:cs="Times New Roman"/>
          <w:lang w:val="es-ES"/>
        </w:rPr>
        <w:t xml:space="preserve">. Mayo. </w:t>
      </w:r>
      <w:proofErr w:type="spellStart"/>
      <w:proofErr w:type="gramStart"/>
      <w:r w:rsidRPr="00AA6CBA">
        <w:rPr>
          <w:rFonts w:ascii="Times New Roman" w:hAnsi="Times New Roman" w:cs="Times New Roman"/>
          <w:lang w:val="es-ES"/>
        </w:rPr>
        <w:t>doi</w:t>
      </w:r>
      <w:proofErr w:type="spellEnd"/>
      <w:proofErr w:type="gramEnd"/>
      <w:r w:rsidRPr="00AA6CBA">
        <w:rPr>
          <w:rFonts w:ascii="Times New Roman" w:hAnsi="Times New Roman" w:cs="Times New Roman"/>
          <w:lang w:val="es-ES"/>
        </w:rPr>
        <w:t xml:space="preserve"> 10.1007/s12639-015-0684y</w:t>
      </w:r>
    </w:p>
    <w:p w:rsidR="007F6530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  <w:lang w:val="es-ES"/>
        </w:rPr>
      </w:pPr>
      <w:r w:rsidRPr="00AA6CBA">
        <w:rPr>
          <w:rFonts w:ascii="Times New Roman" w:hAnsi="Times New Roman" w:cs="Times New Roman"/>
          <w:lang w:val="es-ES"/>
        </w:rPr>
        <w:t xml:space="preserve">Martín-Hernández I., García-Izquierdo S.M. (2003). Toxoplasmosis en el hombre. </w:t>
      </w:r>
      <w:proofErr w:type="spellStart"/>
      <w:r w:rsidRPr="00AA6CBA">
        <w:rPr>
          <w:rFonts w:ascii="Times New Roman" w:hAnsi="Times New Roman" w:cs="Times New Roman"/>
          <w:lang w:val="es-ES"/>
        </w:rPr>
        <w:t>Bioquimia</w:t>
      </w:r>
      <w:proofErr w:type="spellEnd"/>
      <w:r w:rsidRPr="00AA6CBA">
        <w:rPr>
          <w:rFonts w:ascii="Times New Roman" w:hAnsi="Times New Roman" w:cs="Times New Roman"/>
          <w:lang w:val="es-ES"/>
        </w:rPr>
        <w:t>. 28(3):19-27.</w:t>
      </w:r>
    </w:p>
    <w:p w:rsidR="007F6530" w:rsidRDefault="007F6530" w:rsidP="007F6530">
      <w:pPr>
        <w:spacing w:after="200" w:line="360" w:lineRule="auto"/>
        <w:ind w:left="851" w:hanging="851"/>
        <w:rPr>
          <w:rFonts w:ascii="Times New Roman" w:eastAsia="Times New Roman" w:hAnsi="Times New Roman" w:cs="Times New Roman"/>
          <w:bCs/>
          <w:kern w:val="36"/>
          <w:lang w:eastAsia="es-MX"/>
        </w:rPr>
      </w:pPr>
      <w:proofErr w:type="spellStart"/>
      <w:r w:rsidRPr="00AA6CBA">
        <w:rPr>
          <w:rFonts w:ascii="Times New Roman" w:hAnsi="Times New Roman" w:cs="Times New Roman"/>
        </w:rPr>
        <w:t>Meroni</w:t>
      </w:r>
      <w:proofErr w:type="spellEnd"/>
      <w:r w:rsidRPr="00AA6CBA">
        <w:rPr>
          <w:rFonts w:ascii="Times New Roman" w:hAnsi="Times New Roman" w:cs="Times New Roman"/>
        </w:rPr>
        <w:t xml:space="preserve"> V., </w:t>
      </w:r>
      <w:proofErr w:type="spellStart"/>
      <w:r w:rsidRPr="00AA6CBA">
        <w:rPr>
          <w:rFonts w:ascii="Times New Roman" w:hAnsi="Times New Roman" w:cs="Times New Roman"/>
        </w:rPr>
        <w:t>Genko</w:t>
      </w:r>
      <w:proofErr w:type="spellEnd"/>
      <w:r w:rsidRPr="00AA6CBA">
        <w:rPr>
          <w:rFonts w:ascii="Times New Roman" w:hAnsi="Times New Roman" w:cs="Times New Roman"/>
        </w:rPr>
        <w:t xml:space="preserve"> F. (2008).</w:t>
      </w:r>
      <w:r w:rsidRPr="00AA6CBA">
        <w:rPr>
          <w:rFonts w:ascii="Times New Roman" w:eastAsia="Times New Roman" w:hAnsi="Times New Roman" w:cs="Times New Roman"/>
          <w:bCs/>
          <w:kern w:val="36"/>
          <w:lang w:eastAsia="es-MX"/>
        </w:rPr>
        <w:t xml:space="preserve"> Toxoplasmosis in pregnancy: evaluation of diagnostic methods. </w:t>
      </w:r>
      <w:proofErr w:type="spellStart"/>
      <w:proofErr w:type="gramStart"/>
      <w:r w:rsidRPr="00AA6CBA">
        <w:rPr>
          <w:rFonts w:ascii="Times New Roman" w:eastAsia="Times New Roman" w:hAnsi="Times New Roman" w:cs="Times New Roman"/>
          <w:bCs/>
          <w:kern w:val="36"/>
          <w:lang w:eastAsia="es-MX"/>
        </w:rPr>
        <w:t>Parassitologia</w:t>
      </w:r>
      <w:proofErr w:type="spellEnd"/>
      <w:r w:rsidRPr="00AA6CBA">
        <w:rPr>
          <w:rFonts w:ascii="Times New Roman" w:eastAsia="Times New Roman" w:hAnsi="Times New Roman" w:cs="Times New Roman"/>
          <w:bCs/>
          <w:kern w:val="36"/>
          <w:lang w:eastAsia="es-MX"/>
        </w:rPr>
        <w:t>.</w:t>
      </w:r>
      <w:proofErr w:type="gramEnd"/>
      <w:r w:rsidRPr="00AA6CBA">
        <w:rPr>
          <w:rFonts w:ascii="Times New Roman" w:eastAsia="Times New Roman" w:hAnsi="Times New Roman" w:cs="Times New Roman"/>
          <w:bCs/>
          <w:kern w:val="36"/>
          <w:lang w:eastAsia="es-MX"/>
        </w:rPr>
        <w:t xml:space="preserve"> Jun; 50(1-2):51-53</w:t>
      </w:r>
      <w:r>
        <w:rPr>
          <w:rFonts w:ascii="Times New Roman" w:eastAsia="Times New Roman" w:hAnsi="Times New Roman" w:cs="Times New Roman"/>
          <w:bCs/>
          <w:kern w:val="36"/>
          <w:lang w:eastAsia="es-MX"/>
        </w:rPr>
        <w:t>.</w:t>
      </w:r>
    </w:p>
    <w:p w:rsidR="007F6530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  <w:lang w:val="es-ES"/>
        </w:rPr>
      </w:pPr>
      <w:proofErr w:type="spellStart"/>
      <w:r w:rsidRPr="00AA6CBA">
        <w:rPr>
          <w:rFonts w:ascii="Times New Roman" w:hAnsi="Times New Roman" w:cs="Times New Roman"/>
        </w:rPr>
        <w:t>Nissapatorn</w:t>
      </w:r>
      <w:proofErr w:type="spellEnd"/>
      <w:r w:rsidRPr="00AA6CBA">
        <w:rPr>
          <w:rFonts w:ascii="Times New Roman" w:hAnsi="Times New Roman" w:cs="Times New Roman"/>
        </w:rPr>
        <w:t xml:space="preserve"> V., et al. (2003). Toxoplasmosis: prevalence and risk factors. </w:t>
      </w:r>
      <w:proofErr w:type="gramStart"/>
      <w:r w:rsidRPr="00107C11">
        <w:rPr>
          <w:rFonts w:ascii="Times New Roman" w:hAnsi="Times New Roman" w:cs="Times New Roman"/>
        </w:rPr>
        <w:t>Journal of Gynecology.</w:t>
      </w:r>
      <w:proofErr w:type="gramEnd"/>
      <w:r w:rsidRPr="00107C11">
        <w:rPr>
          <w:rFonts w:ascii="Times New Roman" w:hAnsi="Times New Roman" w:cs="Times New Roman"/>
        </w:rPr>
        <w:t xml:space="preserve"> </w:t>
      </w:r>
      <w:r w:rsidRPr="00AA6CBA">
        <w:rPr>
          <w:rFonts w:ascii="Times New Roman" w:hAnsi="Times New Roman" w:cs="Times New Roman"/>
          <w:lang w:val="es-ES"/>
        </w:rPr>
        <w:t>23(6):618-624.</w:t>
      </w:r>
    </w:p>
    <w:p w:rsidR="007F6530" w:rsidRPr="00107C11" w:rsidRDefault="007F6530" w:rsidP="007F6530">
      <w:pPr>
        <w:spacing w:after="200" w:line="360" w:lineRule="auto"/>
        <w:ind w:left="851" w:hanging="851"/>
        <w:rPr>
          <w:rFonts w:ascii="Times New Roman" w:hAnsi="Times New Roman" w:cs="Times New Roman"/>
        </w:rPr>
      </w:pPr>
      <w:r w:rsidRPr="00107C11">
        <w:rPr>
          <w:rFonts w:ascii="Times New Roman" w:hAnsi="Times New Roman" w:cs="Times New Roman"/>
          <w:lang w:val="es-ES"/>
        </w:rPr>
        <w:t xml:space="preserve">Oliveira A.C., et al. </w:t>
      </w:r>
      <w:proofErr w:type="gramStart"/>
      <w:r w:rsidRPr="00AA6CBA">
        <w:rPr>
          <w:rFonts w:ascii="Times New Roman" w:hAnsi="Times New Roman" w:cs="Times New Roman"/>
        </w:rPr>
        <w:t>(2015). Evaluation of colostrums as an alternative biological sample for the diagnosis of human congenital toxoplasmosis.</w:t>
      </w:r>
      <w:proofErr w:type="gramEnd"/>
      <w:r w:rsidRPr="00AA6CBA">
        <w:rPr>
          <w:rFonts w:ascii="Times New Roman" w:hAnsi="Times New Roman" w:cs="Times New Roman"/>
        </w:rPr>
        <w:t xml:space="preserve"> </w:t>
      </w:r>
      <w:proofErr w:type="gramStart"/>
      <w:r w:rsidRPr="00AA6CBA">
        <w:rPr>
          <w:rFonts w:ascii="Times New Roman" w:hAnsi="Times New Roman" w:cs="Times New Roman"/>
        </w:rPr>
        <w:t>BMC Infectious diseases.</w:t>
      </w:r>
      <w:proofErr w:type="gramEnd"/>
      <w:r w:rsidRPr="00AA6CBA">
        <w:rPr>
          <w:rFonts w:ascii="Times New Roman" w:hAnsi="Times New Roman" w:cs="Times New Roman"/>
        </w:rPr>
        <w:t xml:space="preserve"> 15:519 Doi.10.1186/s </w:t>
      </w:r>
      <w:proofErr w:type="gramStart"/>
      <w:r w:rsidRPr="00AA6CBA">
        <w:rPr>
          <w:rFonts w:ascii="Times New Roman" w:hAnsi="Times New Roman" w:cs="Times New Roman"/>
        </w:rPr>
        <w:t>12879-1-015-1242/z</w:t>
      </w:r>
      <w:proofErr w:type="gramEnd"/>
    </w:p>
    <w:p w:rsidR="00BB58BB" w:rsidRDefault="006F5B52" w:rsidP="00AA6CBA">
      <w:pPr>
        <w:spacing w:after="200" w:line="360" w:lineRule="auto"/>
        <w:ind w:left="851" w:hanging="851"/>
        <w:rPr>
          <w:rFonts w:ascii="Times New Roman" w:hAnsi="Times New Roman" w:cs="Times New Roman"/>
        </w:rPr>
      </w:pPr>
      <w:proofErr w:type="gramStart"/>
      <w:r w:rsidRPr="00107C11">
        <w:rPr>
          <w:rFonts w:ascii="Times New Roman" w:hAnsi="Times New Roman" w:cs="Times New Roman"/>
        </w:rPr>
        <w:t>Pinto</w:t>
      </w:r>
      <w:r w:rsidR="009121E1" w:rsidRPr="00107C11">
        <w:rPr>
          <w:rFonts w:ascii="Times New Roman" w:hAnsi="Times New Roman" w:cs="Times New Roman"/>
        </w:rPr>
        <w:t>,</w:t>
      </w:r>
      <w:r w:rsidRPr="00107C11">
        <w:rPr>
          <w:rFonts w:ascii="Times New Roman" w:hAnsi="Times New Roman" w:cs="Times New Roman"/>
        </w:rPr>
        <w:t xml:space="preserve"> B.</w:t>
      </w:r>
      <w:r w:rsidR="0090614D" w:rsidRPr="00107C11">
        <w:rPr>
          <w:rFonts w:ascii="Times New Roman" w:hAnsi="Times New Roman" w:cs="Times New Roman"/>
        </w:rPr>
        <w:t>,</w:t>
      </w:r>
      <w:r w:rsidR="005A751F" w:rsidRPr="00107C11">
        <w:rPr>
          <w:rFonts w:ascii="Times New Roman" w:hAnsi="Times New Roman" w:cs="Times New Roman"/>
        </w:rPr>
        <w:t xml:space="preserve"> </w:t>
      </w:r>
      <w:r w:rsidR="009121E1" w:rsidRPr="00107C11">
        <w:rPr>
          <w:rFonts w:ascii="Times New Roman" w:hAnsi="Times New Roman" w:cs="Times New Roman"/>
        </w:rPr>
        <w:t>e</w:t>
      </w:r>
      <w:r w:rsidR="005A751F" w:rsidRPr="00107C11">
        <w:rPr>
          <w:rFonts w:ascii="Times New Roman" w:hAnsi="Times New Roman" w:cs="Times New Roman"/>
        </w:rPr>
        <w:t>t</w:t>
      </w:r>
      <w:r w:rsidR="00BB58BB" w:rsidRPr="00107C11">
        <w:rPr>
          <w:rFonts w:ascii="Times New Roman" w:hAnsi="Times New Roman" w:cs="Times New Roman"/>
        </w:rPr>
        <w:t xml:space="preserve"> al. </w:t>
      </w:r>
      <w:r w:rsidR="000360EB" w:rsidRPr="00AA6CBA">
        <w:rPr>
          <w:rFonts w:ascii="Times New Roman" w:hAnsi="Times New Roman" w:cs="Times New Roman"/>
        </w:rPr>
        <w:t>(2012).</w:t>
      </w:r>
      <w:proofErr w:type="gramEnd"/>
      <w:r w:rsidR="009121E1" w:rsidRPr="00AA6CBA">
        <w:rPr>
          <w:rFonts w:ascii="Times New Roman" w:hAnsi="Times New Roman" w:cs="Times New Roman"/>
        </w:rPr>
        <w:t xml:space="preserve"> </w:t>
      </w:r>
      <w:proofErr w:type="spellStart"/>
      <w:r w:rsidR="00BB58BB" w:rsidRPr="00AA6CBA">
        <w:rPr>
          <w:rFonts w:ascii="Times New Roman" w:hAnsi="Times New Roman" w:cs="Times New Roman"/>
        </w:rPr>
        <w:t>Seroprevalence</w:t>
      </w:r>
      <w:proofErr w:type="spellEnd"/>
      <w:r w:rsidR="00BB58BB" w:rsidRPr="00AA6CBA">
        <w:rPr>
          <w:rFonts w:ascii="Times New Roman" w:hAnsi="Times New Roman" w:cs="Times New Roman"/>
        </w:rPr>
        <w:t xml:space="preserve"> for toxoplasmosis in individual living North West Tuscany: Access to Toxo-test in central italy.</w:t>
      </w:r>
      <w:r w:rsidR="000360EB" w:rsidRPr="00AA6CBA">
        <w:rPr>
          <w:rFonts w:ascii="Times New Roman" w:hAnsi="Times New Roman" w:cs="Times New Roman"/>
        </w:rPr>
        <w:t>Eur J Clin Microbiology Dis.</w:t>
      </w:r>
      <w:r w:rsidR="00B04B72" w:rsidRPr="00AA6CBA">
        <w:rPr>
          <w:rFonts w:ascii="Times New Roman" w:hAnsi="Times New Roman" w:cs="Times New Roman"/>
        </w:rPr>
        <w:t xml:space="preserve"> 31:1151</w:t>
      </w:r>
      <w:r w:rsidR="00BB58BB" w:rsidRPr="00AA6CBA">
        <w:rPr>
          <w:rFonts w:ascii="Times New Roman" w:hAnsi="Times New Roman" w:cs="Times New Roman"/>
        </w:rPr>
        <w:t>-1156</w:t>
      </w:r>
      <w:r w:rsidR="007F6530">
        <w:rPr>
          <w:rFonts w:ascii="Times New Roman" w:hAnsi="Times New Roman" w:cs="Times New Roman"/>
        </w:rPr>
        <w:t>.</w:t>
      </w:r>
    </w:p>
    <w:p w:rsidR="007F6530" w:rsidRPr="00AA6CBA" w:rsidRDefault="007F6530" w:rsidP="00AA6CBA">
      <w:pPr>
        <w:spacing w:after="200" w:line="360" w:lineRule="auto"/>
        <w:ind w:left="851" w:hanging="851"/>
        <w:rPr>
          <w:rFonts w:ascii="Times New Roman" w:hAnsi="Times New Roman" w:cs="Times New Roman"/>
          <w:b/>
        </w:rPr>
      </w:pPr>
      <w:r w:rsidRPr="00AA6CBA">
        <w:rPr>
          <w:rFonts w:ascii="Times New Roman" w:hAnsi="Times New Roman" w:cs="Times New Roman"/>
          <w:lang w:val="es-MX"/>
        </w:rPr>
        <w:t xml:space="preserve">Ramos J.M., Milla A., Rodríguez J.C., Padilla S., </w:t>
      </w:r>
      <w:proofErr w:type="spellStart"/>
      <w:r w:rsidRPr="00AA6CBA">
        <w:rPr>
          <w:rFonts w:ascii="Times New Roman" w:hAnsi="Times New Roman" w:cs="Times New Roman"/>
          <w:lang w:val="es-MX"/>
        </w:rPr>
        <w:t>Masiá</w:t>
      </w:r>
      <w:proofErr w:type="spellEnd"/>
      <w:r w:rsidRPr="00AA6CBA">
        <w:rPr>
          <w:rFonts w:ascii="Times New Roman" w:hAnsi="Times New Roman" w:cs="Times New Roman"/>
          <w:lang w:val="es-MX"/>
        </w:rPr>
        <w:t xml:space="preserve"> M., Gutiérrez Félix. </w:t>
      </w:r>
      <w:proofErr w:type="gramStart"/>
      <w:r w:rsidRPr="00AA6CBA">
        <w:rPr>
          <w:rFonts w:ascii="Times New Roman" w:hAnsi="Times New Roman" w:cs="Times New Roman"/>
        </w:rPr>
        <w:t xml:space="preserve">(2011). </w:t>
      </w:r>
      <w:proofErr w:type="spellStart"/>
      <w:r w:rsidRPr="00AA6CBA">
        <w:rPr>
          <w:rFonts w:ascii="Times New Roman" w:hAnsi="Times New Roman" w:cs="Times New Roman"/>
        </w:rPr>
        <w:t>Seroprevalence</w:t>
      </w:r>
      <w:proofErr w:type="spellEnd"/>
      <w:r w:rsidRPr="00AA6CBA">
        <w:rPr>
          <w:rFonts w:ascii="Times New Roman" w:hAnsi="Times New Roman" w:cs="Times New Roman"/>
        </w:rPr>
        <w:t xml:space="preserve"> of </w:t>
      </w:r>
      <w:r w:rsidRPr="00AA6CBA">
        <w:rPr>
          <w:rFonts w:ascii="Times New Roman" w:hAnsi="Times New Roman" w:cs="Times New Roman"/>
          <w:i/>
        </w:rPr>
        <w:t xml:space="preserve">Toxoplasma </w:t>
      </w:r>
      <w:proofErr w:type="spellStart"/>
      <w:r w:rsidRPr="00AA6CBA">
        <w:rPr>
          <w:rFonts w:ascii="Times New Roman" w:hAnsi="Times New Roman" w:cs="Times New Roman"/>
          <w:i/>
        </w:rPr>
        <w:t>gondii</w:t>
      </w:r>
      <w:proofErr w:type="spellEnd"/>
      <w:r w:rsidRPr="00AA6CBA">
        <w:rPr>
          <w:rFonts w:ascii="Times New Roman" w:hAnsi="Times New Roman" w:cs="Times New Roman"/>
        </w:rPr>
        <w:t xml:space="preserve"> infection among immigrant and native pregnant women in Eastern Spain.</w:t>
      </w:r>
      <w:proofErr w:type="gramEnd"/>
      <w:r w:rsidRPr="00AA6CBA">
        <w:rPr>
          <w:rFonts w:ascii="Times New Roman" w:hAnsi="Times New Roman" w:cs="Times New Roman"/>
        </w:rPr>
        <w:t xml:space="preserve"> </w:t>
      </w:r>
      <w:proofErr w:type="spellStart"/>
      <w:r w:rsidRPr="00AA6CBA">
        <w:rPr>
          <w:rFonts w:ascii="Times New Roman" w:hAnsi="Times New Roman" w:cs="Times New Roman"/>
        </w:rPr>
        <w:t>Parasitol</w:t>
      </w:r>
      <w:proofErr w:type="spellEnd"/>
      <w:r w:rsidRPr="00AA6CBA">
        <w:rPr>
          <w:rFonts w:ascii="Times New Roman" w:hAnsi="Times New Roman" w:cs="Times New Roman"/>
        </w:rPr>
        <w:t xml:space="preserve"> Res.109:1447-1452.</w:t>
      </w:r>
    </w:p>
    <w:p w:rsidR="00BB58BB" w:rsidRPr="00AA6CBA" w:rsidRDefault="00CE4A07" w:rsidP="00AA6CBA">
      <w:pPr>
        <w:spacing w:line="360" w:lineRule="auto"/>
        <w:ind w:left="851" w:hanging="851"/>
        <w:jc w:val="both"/>
        <w:rPr>
          <w:rFonts w:ascii="Times New Roman" w:hAnsi="Times New Roman" w:cs="Times New Roman"/>
        </w:rPr>
      </w:pPr>
      <w:proofErr w:type="spellStart"/>
      <w:r w:rsidRPr="00AA6CBA">
        <w:rPr>
          <w:rFonts w:ascii="Times New Roman" w:hAnsi="Times New Roman" w:cs="Times New Roman"/>
        </w:rPr>
        <w:lastRenderedPageBreak/>
        <w:t>Sucilathangam</w:t>
      </w:r>
      <w:proofErr w:type="spellEnd"/>
      <w:r w:rsidR="009121E1" w:rsidRPr="00AA6CBA">
        <w:rPr>
          <w:rFonts w:ascii="Times New Roman" w:hAnsi="Times New Roman" w:cs="Times New Roman"/>
        </w:rPr>
        <w:t xml:space="preserve"> </w:t>
      </w:r>
      <w:r w:rsidRPr="00AA6CBA">
        <w:rPr>
          <w:rFonts w:ascii="Times New Roman" w:hAnsi="Times New Roman" w:cs="Times New Roman"/>
        </w:rPr>
        <w:t>G.T.</w:t>
      </w:r>
      <w:r w:rsidR="0090614D" w:rsidRPr="00AA6CBA">
        <w:rPr>
          <w:rFonts w:ascii="Times New Roman" w:hAnsi="Times New Roman" w:cs="Times New Roman"/>
        </w:rPr>
        <w:t>,</w:t>
      </w:r>
      <w:r w:rsidR="009121E1" w:rsidRPr="00AA6CBA">
        <w:rPr>
          <w:rFonts w:ascii="Times New Roman" w:hAnsi="Times New Roman" w:cs="Times New Roman"/>
        </w:rPr>
        <w:t xml:space="preserve"> e</w:t>
      </w:r>
      <w:r w:rsidRPr="00AA6CBA">
        <w:rPr>
          <w:rFonts w:ascii="Times New Roman" w:hAnsi="Times New Roman" w:cs="Times New Roman"/>
        </w:rPr>
        <w:t>t al. (</w:t>
      </w:r>
      <w:r w:rsidR="006F5B52" w:rsidRPr="00AA6CBA">
        <w:rPr>
          <w:rFonts w:ascii="Times New Roman" w:hAnsi="Times New Roman" w:cs="Times New Roman"/>
        </w:rPr>
        <w:t>2014</w:t>
      </w:r>
      <w:r w:rsidR="000360EB" w:rsidRPr="00AA6CBA">
        <w:rPr>
          <w:rFonts w:ascii="Times New Roman" w:hAnsi="Times New Roman" w:cs="Times New Roman"/>
        </w:rPr>
        <w:t>)</w:t>
      </w:r>
      <w:r w:rsidR="009121E1" w:rsidRPr="00AA6CBA">
        <w:rPr>
          <w:rFonts w:ascii="Times New Roman" w:hAnsi="Times New Roman" w:cs="Times New Roman"/>
        </w:rPr>
        <w:t>.</w:t>
      </w:r>
      <w:r w:rsidRPr="00AA6CBA">
        <w:rPr>
          <w:rFonts w:ascii="Times New Roman" w:hAnsi="Times New Roman" w:cs="Times New Roman"/>
        </w:rPr>
        <w:t xml:space="preserve"> Seroepidemiological </w:t>
      </w:r>
      <w:r w:rsidR="00BB58BB" w:rsidRPr="00AA6CBA">
        <w:rPr>
          <w:rFonts w:ascii="Times New Roman" w:hAnsi="Times New Roman" w:cs="Times New Roman"/>
        </w:rPr>
        <w:t xml:space="preserve">study of toxoplasmosis in southern districts of Tamil Nadu. J </w:t>
      </w:r>
      <w:r w:rsidR="005A751F" w:rsidRPr="00AA6CBA">
        <w:rPr>
          <w:rFonts w:ascii="Times New Roman" w:hAnsi="Times New Roman" w:cs="Times New Roman"/>
        </w:rPr>
        <w:t>Parasite</w:t>
      </w:r>
      <w:r w:rsidR="000360EB" w:rsidRPr="00AA6CBA">
        <w:rPr>
          <w:rFonts w:ascii="Times New Roman" w:hAnsi="Times New Roman" w:cs="Times New Roman"/>
        </w:rPr>
        <w:t xml:space="preserve"> Dis. P</w:t>
      </w:r>
      <w:r w:rsidR="00BB58BB" w:rsidRPr="00AA6CBA">
        <w:rPr>
          <w:rFonts w:ascii="Times New Roman" w:hAnsi="Times New Roman" w:cs="Times New Roman"/>
        </w:rPr>
        <w:t>ublished 24 August 2014 on line Springer</w:t>
      </w:r>
      <w:r w:rsidR="000360EB" w:rsidRPr="00AA6CBA">
        <w:rPr>
          <w:rFonts w:ascii="Times New Roman" w:hAnsi="Times New Roman" w:cs="Times New Roman"/>
        </w:rPr>
        <w:t>.</w:t>
      </w:r>
    </w:p>
    <w:p w:rsidR="003A190D" w:rsidRPr="00107C11" w:rsidRDefault="007F6530" w:rsidP="00AA6CBA">
      <w:pPr>
        <w:spacing w:line="360" w:lineRule="auto"/>
        <w:ind w:left="851" w:hanging="851"/>
        <w:rPr>
          <w:rFonts w:ascii="Times New Roman" w:hAnsi="Times New Roman" w:cs="Times New Roman"/>
          <w:lang w:val="es-ES"/>
        </w:rPr>
      </w:pPr>
      <w:proofErr w:type="spellStart"/>
      <w:r w:rsidRPr="00107C11">
        <w:rPr>
          <w:rFonts w:ascii="Times New Roman" w:hAnsi="Times New Roman" w:cs="Times New Roman"/>
        </w:rPr>
        <w:t>Triolo</w:t>
      </w:r>
      <w:proofErr w:type="spellEnd"/>
      <w:r w:rsidRPr="00107C11">
        <w:rPr>
          <w:rFonts w:ascii="Times New Roman" w:hAnsi="Times New Roman" w:cs="Times New Roman"/>
        </w:rPr>
        <w:t xml:space="preserve"> </w:t>
      </w:r>
      <w:proofErr w:type="spellStart"/>
      <w:r w:rsidRPr="00107C11">
        <w:rPr>
          <w:rFonts w:ascii="Times New Roman" w:hAnsi="Times New Roman" w:cs="Times New Roman"/>
        </w:rPr>
        <w:t>Mieses</w:t>
      </w:r>
      <w:proofErr w:type="spellEnd"/>
      <w:r w:rsidRPr="00107C11">
        <w:rPr>
          <w:rFonts w:ascii="Times New Roman" w:hAnsi="Times New Roman" w:cs="Times New Roman"/>
        </w:rPr>
        <w:t xml:space="preserve"> M., </w:t>
      </w:r>
      <w:proofErr w:type="spellStart"/>
      <w:r w:rsidRPr="00107C11">
        <w:rPr>
          <w:rFonts w:ascii="Times New Roman" w:hAnsi="Times New Roman" w:cs="Times New Roman"/>
        </w:rPr>
        <w:t>Traviezo</w:t>
      </w:r>
      <w:proofErr w:type="spellEnd"/>
      <w:r w:rsidRPr="00107C11">
        <w:rPr>
          <w:rFonts w:ascii="Times New Roman" w:hAnsi="Times New Roman" w:cs="Times New Roman"/>
        </w:rPr>
        <w:t xml:space="preserve"> Valles L. (2006). </w:t>
      </w:r>
      <w:r w:rsidRPr="00AA6CBA">
        <w:rPr>
          <w:rFonts w:ascii="Times New Roman" w:hAnsi="Times New Roman" w:cs="Times New Roman"/>
          <w:lang w:val="es-ES"/>
        </w:rPr>
        <w:t xml:space="preserve">Seroprevalencia de anticuerpos contra </w:t>
      </w:r>
      <w:r w:rsidRPr="00AA6CBA">
        <w:rPr>
          <w:rFonts w:ascii="Times New Roman" w:hAnsi="Times New Roman" w:cs="Times New Roman"/>
          <w:i/>
          <w:lang w:val="es-ES"/>
        </w:rPr>
        <w:t>Toxoplasma gondii</w:t>
      </w:r>
      <w:r w:rsidRPr="00AA6CBA">
        <w:rPr>
          <w:rFonts w:ascii="Times New Roman" w:hAnsi="Times New Roman" w:cs="Times New Roman"/>
          <w:lang w:val="es-ES"/>
        </w:rPr>
        <w:t xml:space="preserve"> en gestantes del municipio </w:t>
      </w:r>
      <w:proofErr w:type="spellStart"/>
      <w:r w:rsidRPr="00AA6CBA">
        <w:rPr>
          <w:rFonts w:ascii="Times New Roman" w:hAnsi="Times New Roman" w:cs="Times New Roman"/>
          <w:lang w:val="es-ES"/>
        </w:rPr>
        <w:t>Palavecino</w:t>
      </w:r>
      <w:proofErr w:type="spellEnd"/>
      <w:r w:rsidRPr="00AA6CBA">
        <w:rPr>
          <w:rFonts w:ascii="Times New Roman" w:hAnsi="Times New Roman" w:cs="Times New Roman"/>
          <w:lang w:val="es-ES"/>
        </w:rPr>
        <w:t xml:space="preserve">, Estado Lara, Venezuela. </w:t>
      </w:r>
      <w:proofErr w:type="spellStart"/>
      <w:r w:rsidRPr="00AA6CBA">
        <w:rPr>
          <w:rFonts w:ascii="Times New Roman" w:hAnsi="Times New Roman" w:cs="Times New Roman"/>
          <w:lang w:val="es-ES"/>
        </w:rPr>
        <w:t>Kasmera</w:t>
      </w:r>
      <w:proofErr w:type="spellEnd"/>
      <w:r w:rsidRPr="00AA6CBA">
        <w:rPr>
          <w:rFonts w:ascii="Times New Roman" w:hAnsi="Times New Roman" w:cs="Times New Roman"/>
          <w:lang w:val="es-ES"/>
        </w:rPr>
        <w:t>. 34(1):7-13.</w:t>
      </w:r>
    </w:p>
    <w:p w:rsidR="00034A53" w:rsidRDefault="00034A53" w:rsidP="00AA6CBA">
      <w:pPr>
        <w:spacing w:line="360" w:lineRule="auto"/>
        <w:ind w:left="851" w:hanging="851"/>
        <w:jc w:val="both"/>
        <w:rPr>
          <w:rFonts w:ascii="Times New Roman" w:hAnsi="Times New Roman" w:cs="Times New Roman"/>
          <w:lang w:val="es-ES"/>
        </w:rPr>
      </w:pPr>
      <w:r w:rsidRPr="00AA6CBA">
        <w:rPr>
          <w:rFonts w:ascii="Times New Roman" w:hAnsi="Times New Roman" w:cs="Times New Roman"/>
          <w:lang w:val="es-ES"/>
        </w:rPr>
        <w:t>Velasco Castrejón O., et al</w:t>
      </w:r>
      <w:r w:rsidR="00AD459B" w:rsidRPr="00AA6CBA">
        <w:rPr>
          <w:rFonts w:ascii="Times New Roman" w:hAnsi="Times New Roman" w:cs="Times New Roman"/>
          <w:lang w:val="es-ES"/>
        </w:rPr>
        <w:t>. (</w:t>
      </w:r>
      <w:r w:rsidR="004349F3" w:rsidRPr="00AA6CBA">
        <w:rPr>
          <w:rFonts w:ascii="Times New Roman" w:hAnsi="Times New Roman" w:cs="Times New Roman"/>
          <w:lang w:val="es-ES"/>
        </w:rPr>
        <w:t>1992)</w:t>
      </w:r>
      <w:r w:rsidR="00913083" w:rsidRPr="00AA6CBA">
        <w:rPr>
          <w:rFonts w:ascii="Times New Roman" w:hAnsi="Times New Roman" w:cs="Times New Roman"/>
          <w:lang w:val="es-ES"/>
        </w:rPr>
        <w:t>.</w:t>
      </w:r>
      <w:r w:rsidRPr="00AA6CBA">
        <w:rPr>
          <w:rFonts w:ascii="Times New Roman" w:hAnsi="Times New Roman" w:cs="Times New Roman"/>
          <w:lang w:val="es-ES"/>
        </w:rPr>
        <w:t xml:space="preserve"> Seroepidemiología de la Toxo</w:t>
      </w:r>
      <w:r w:rsidR="004349F3" w:rsidRPr="00AA6CBA">
        <w:rPr>
          <w:rFonts w:ascii="Times New Roman" w:hAnsi="Times New Roman" w:cs="Times New Roman"/>
          <w:lang w:val="es-ES"/>
        </w:rPr>
        <w:t>plasmosis en México. SSA.34 (</w:t>
      </w:r>
      <w:r w:rsidRPr="00AA6CBA">
        <w:rPr>
          <w:rFonts w:ascii="Times New Roman" w:hAnsi="Times New Roman" w:cs="Times New Roman"/>
          <w:lang w:val="es-ES"/>
        </w:rPr>
        <w:t>2):222-229.</w:t>
      </w:r>
    </w:p>
    <w:p w:rsidR="007F6530" w:rsidRPr="00AA6CBA" w:rsidRDefault="007F6530" w:rsidP="00AA6CBA">
      <w:pPr>
        <w:spacing w:line="360" w:lineRule="auto"/>
        <w:ind w:left="851" w:hanging="851"/>
        <w:jc w:val="both"/>
        <w:rPr>
          <w:rFonts w:ascii="Times New Roman" w:hAnsi="Times New Roman" w:cs="Times New Roman"/>
          <w:lang w:val="es-ES"/>
        </w:rPr>
      </w:pPr>
      <w:proofErr w:type="spellStart"/>
      <w:r w:rsidRPr="00107C11">
        <w:rPr>
          <w:rFonts w:ascii="Times New Roman" w:hAnsi="Times New Roman" w:cs="Times New Roman"/>
          <w:lang w:val="es-ES"/>
        </w:rPr>
        <w:t>Xia</w:t>
      </w:r>
      <w:proofErr w:type="spellEnd"/>
      <w:r w:rsidRPr="00107C11">
        <w:rPr>
          <w:rFonts w:ascii="Times New Roman" w:hAnsi="Times New Roman" w:cs="Times New Roman"/>
          <w:lang w:val="es-ES"/>
        </w:rPr>
        <w:t xml:space="preserve"> O.Y.</w:t>
      </w:r>
      <w:proofErr w:type="gramStart"/>
      <w:r w:rsidRPr="00107C11">
        <w:rPr>
          <w:rFonts w:ascii="Times New Roman" w:hAnsi="Times New Roman" w:cs="Times New Roman"/>
          <w:lang w:val="es-ES"/>
        </w:rPr>
        <w:t>,</w:t>
      </w:r>
      <w:proofErr w:type="spellStart"/>
      <w:r w:rsidRPr="00107C11">
        <w:rPr>
          <w:rFonts w:ascii="Times New Roman" w:hAnsi="Times New Roman" w:cs="Times New Roman"/>
          <w:lang w:val="es-ES"/>
        </w:rPr>
        <w:t>YinJ</w:t>
      </w:r>
      <w:proofErr w:type="spellEnd"/>
      <w:proofErr w:type="gramEnd"/>
      <w:r w:rsidRPr="00107C11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107C11">
        <w:rPr>
          <w:rFonts w:ascii="Times New Roman" w:hAnsi="Times New Roman" w:cs="Times New Roman"/>
          <w:lang w:val="es-ES"/>
        </w:rPr>
        <w:t>Jiang</w:t>
      </w:r>
      <w:proofErr w:type="spellEnd"/>
      <w:r w:rsidRPr="00107C11">
        <w:rPr>
          <w:rFonts w:ascii="Times New Roman" w:hAnsi="Times New Roman" w:cs="Times New Roman"/>
          <w:lang w:val="es-ES"/>
        </w:rPr>
        <w:t xml:space="preserve"> N., </w:t>
      </w:r>
      <w:proofErr w:type="spellStart"/>
      <w:r w:rsidRPr="00107C11">
        <w:rPr>
          <w:rFonts w:ascii="Times New Roman" w:hAnsi="Times New Roman" w:cs="Times New Roman"/>
          <w:lang w:val="es-ES"/>
        </w:rPr>
        <w:t>Xian</w:t>
      </w:r>
      <w:proofErr w:type="spellEnd"/>
      <w:r w:rsidRPr="00107C11">
        <w:rPr>
          <w:rFonts w:ascii="Times New Roman" w:hAnsi="Times New Roman" w:cs="Times New Roman"/>
          <w:lang w:val="es-ES"/>
        </w:rPr>
        <w:t xml:space="preserve"> M., </w:t>
      </w:r>
      <w:proofErr w:type="spellStart"/>
      <w:r w:rsidRPr="00107C11">
        <w:rPr>
          <w:rFonts w:ascii="Times New Roman" w:hAnsi="Times New Roman" w:cs="Times New Roman"/>
          <w:lang w:val="es-ES"/>
        </w:rPr>
        <w:t>HaoL</w:t>
      </w:r>
      <w:proofErr w:type="spellEnd"/>
      <w:r w:rsidRPr="00107C11">
        <w:rPr>
          <w:rFonts w:ascii="Times New Roman" w:hAnsi="Times New Roman" w:cs="Times New Roman"/>
          <w:lang w:val="es-ES"/>
        </w:rPr>
        <w:t xml:space="preserve">, Lu H., et al. </w:t>
      </w:r>
      <w:proofErr w:type="gramStart"/>
      <w:r w:rsidRPr="00AA6CBA">
        <w:rPr>
          <w:rFonts w:ascii="Times New Roman" w:hAnsi="Times New Roman" w:cs="Times New Roman"/>
        </w:rPr>
        <w:t xml:space="preserve">(2010). </w:t>
      </w:r>
      <w:proofErr w:type="spellStart"/>
      <w:r w:rsidRPr="00AA6CBA">
        <w:rPr>
          <w:rFonts w:ascii="Times New Roman" w:hAnsi="Times New Roman" w:cs="Times New Roman"/>
        </w:rPr>
        <w:t>Seroepidemiology</w:t>
      </w:r>
      <w:proofErr w:type="spellEnd"/>
      <w:r w:rsidRPr="00AA6CBA">
        <w:rPr>
          <w:rFonts w:ascii="Times New Roman" w:hAnsi="Times New Roman" w:cs="Times New Roman"/>
        </w:rPr>
        <w:t xml:space="preserve"> of </w:t>
      </w:r>
      <w:r w:rsidRPr="00AA6CBA">
        <w:rPr>
          <w:rFonts w:ascii="Times New Roman" w:hAnsi="Times New Roman" w:cs="Times New Roman"/>
          <w:i/>
        </w:rPr>
        <w:t xml:space="preserve">Toxoplasma </w:t>
      </w:r>
      <w:proofErr w:type="spellStart"/>
      <w:r w:rsidRPr="00AA6CBA">
        <w:rPr>
          <w:rFonts w:ascii="Times New Roman" w:hAnsi="Times New Roman" w:cs="Times New Roman"/>
          <w:i/>
        </w:rPr>
        <w:t>gondii</w:t>
      </w:r>
      <w:proofErr w:type="spellEnd"/>
      <w:r w:rsidRPr="00AA6CBA">
        <w:rPr>
          <w:rFonts w:ascii="Times New Roman" w:hAnsi="Times New Roman" w:cs="Times New Roman"/>
        </w:rPr>
        <w:t xml:space="preserve"> in China.</w:t>
      </w:r>
      <w:proofErr w:type="gramEnd"/>
      <w:r w:rsidRPr="00AA6CBA">
        <w:rPr>
          <w:rFonts w:ascii="Times New Roman" w:hAnsi="Times New Roman" w:cs="Times New Roman"/>
        </w:rPr>
        <w:t xml:space="preserve"> </w:t>
      </w:r>
      <w:r w:rsidRPr="00107C11">
        <w:rPr>
          <w:rFonts w:ascii="Times New Roman" w:hAnsi="Times New Roman" w:cs="Times New Roman"/>
          <w:lang w:val="es-ES"/>
        </w:rPr>
        <w:t>Recuperado de: http:www.biomedcentral.com/14712334/10/4</w:t>
      </w:r>
    </w:p>
    <w:p w:rsidR="00034A53" w:rsidRPr="00AD459B" w:rsidRDefault="007F6530" w:rsidP="00AA6CBA">
      <w:pPr>
        <w:spacing w:line="360" w:lineRule="auto"/>
        <w:ind w:left="851" w:hanging="851"/>
        <w:jc w:val="both"/>
        <w:rPr>
          <w:rFonts w:ascii="Arial" w:hAnsi="Arial" w:cs="Arial"/>
          <w:b/>
          <w:lang w:val="es-ES"/>
        </w:rPr>
      </w:pPr>
      <w:r w:rsidRPr="00AA6CBA">
        <w:rPr>
          <w:rFonts w:ascii="Times New Roman" w:hAnsi="Times New Roman" w:cs="Times New Roman"/>
          <w:lang w:val="es-MX"/>
        </w:rPr>
        <w:t xml:space="preserve">Zapata M., et al. (2005). Disminución de la prevalencia de anticuerpos contra Toxoplasma gondii en adultos del Valle central de Costa Rica. </w:t>
      </w:r>
      <w:proofErr w:type="spellStart"/>
      <w:r w:rsidRPr="00107C11">
        <w:rPr>
          <w:rFonts w:ascii="Times New Roman" w:hAnsi="Times New Roman" w:cs="Times New Roman"/>
          <w:lang w:val="es-ES"/>
        </w:rPr>
        <w:t>Parasitol</w:t>
      </w:r>
      <w:proofErr w:type="spellEnd"/>
      <w:r w:rsidRPr="00107C11">
        <w:rPr>
          <w:rFonts w:ascii="Times New Roman" w:hAnsi="Times New Roman" w:cs="Times New Roman"/>
          <w:lang w:val="es-ES"/>
        </w:rPr>
        <w:t xml:space="preserve"> Latino am 60:32-37, 25 FLAP</w:t>
      </w:r>
    </w:p>
    <w:p w:rsidR="00034A53" w:rsidRPr="00AD459B" w:rsidRDefault="00034A53" w:rsidP="00A45AF4">
      <w:pPr>
        <w:spacing w:line="480" w:lineRule="auto"/>
        <w:jc w:val="both"/>
        <w:rPr>
          <w:rFonts w:ascii="Arial" w:hAnsi="Arial" w:cs="Arial"/>
          <w:b/>
          <w:lang w:val="es-ES"/>
        </w:rPr>
      </w:pPr>
    </w:p>
    <w:p w:rsidR="00034A53" w:rsidRPr="00AD459B" w:rsidRDefault="00034A53" w:rsidP="00A45AF4">
      <w:pPr>
        <w:spacing w:line="480" w:lineRule="auto"/>
        <w:jc w:val="both"/>
        <w:rPr>
          <w:rFonts w:ascii="Arial" w:hAnsi="Arial" w:cs="Arial"/>
          <w:lang w:val="es-ES"/>
        </w:rPr>
      </w:pPr>
    </w:p>
    <w:p w:rsidR="003428E7" w:rsidRDefault="003428E7" w:rsidP="003428E7"/>
    <w:p w:rsidR="00034A53" w:rsidRDefault="00034A53" w:rsidP="00A45AF4">
      <w:pPr>
        <w:spacing w:line="480" w:lineRule="auto"/>
        <w:jc w:val="both"/>
        <w:rPr>
          <w:rFonts w:ascii="Arial" w:hAnsi="Arial" w:cs="Arial"/>
        </w:rPr>
      </w:pPr>
    </w:p>
    <w:p w:rsidR="003428E7" w:rsidRDefault="003428E7" w:rsidP="00A45AF4">
      <w:pPr>
        <w:spacing w:line="480" w:lineRule="auto"/>
        <w:jc w:val="both"/>
        <w:rPr>
          <w:rFonts w:ascii="Arial" w:hAnsi="Arial" w:cs="Arial"/>
        </w:rPr>
      </w:pPr>
    </w:p>
    <w:p w:rsidR="003428E7" w:rsidRDefault="003428E7" w:rsidP="00A45AF4">
      <w:pPr>
        <w:spacing w:line="480" w:lineRule="auto"/>
        <w:jc w:val="both"/>
        <w:rPr>
          <w:rFonts w:ascii="Arial" w:hAnsi="Arial" w:cs="Arial"/>
        </w:rPr>
      </w:pPr>
    </w:p>
    <w:p w:rsidR="003664AC" w:rsidRPr="00BA002E" w:rsidRDefault="003664AC" w:rsidP="00BA002E">
      <w:pPr>
        <w:spacing w:after="200" w:line="276" w:lineRule="auto"/>
        <w:rPr>
          <w:b/>
          <w:lang w:val="es-MX"/>
        </w:rPr>
      </w:pPr>
    </w:p>
    <w:p w:rsidR="003664AC" w:rsidRDefault="003664AC" w:rsidP="00A45AF4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3664AC" w:rsidRPr="003664AC" w:rsidRDefault="003664AC" w:rsidP="00A45AF4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3664AC" w:rsidRPr="003664AC" w:rsidRDefault="003664AC" w:rsidP="00A45AF4">
      <w:pPr>
        <w:spacing w:line="480" w:lineRule="auto"/>
        <w:jc w:val="both"/>
        <w:rPr>
          <w:rFonts w:ascii="Arial" w:hAnsi="Arial" w:cs="Arial"/>
          <w:lang w:val="es-MX"/>
        </w:rPr>
      </w:pPr>
    </w:p>
    <w:sectPr w:rsidR="003664AC" w:rsidRPr="003664AC" w:rsidSect="003D2EF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3B5" w:rsidRDefault="002533B5" w:rsidP="00AA6CBA">
      <w:r>
        <w:separator/>
      </w:r>
    </w:p>
  </w:endnote>
  <w:endnote w:type="continuationSeparator" w:id="0">
    <w:p w:rsidR="002533B5" w:rsidRDefault="002533B5" w:rsidP="00AA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BA" w:rsidRPr="00AA6CBA" w:rsidRDefault="00AA6CBA" w:rsidP="00AA6CBA">
    <w:pPr>
      <w:pStyle w:val="Piedepgina"/>
      <w:jc w:val="center"/>
      <w:rPr>
        <w:sz w:val="22"/>
      </w:rPr>
    </w:pPr>
    <w:r>
      <w:rPr>
        <w:rFonts w:ascii="Calibri" w:hAnsi="Calibri" w:cs="Calibri"/>
        <w:b/>
        <w:sz w:val="22"/>
      </w:rPr>
      <w:t xml:space="preserve">Vol. 5, </w:t>
    </w:r>
    <w:proofErr w:type="spellStart"/>
    <w:r>
      <w:rPr>
        <w:rFonts w:ascii="Calibri" w:hAnsi="Calibri" w:cs="Calibri"/>
        <w:b/>
        <w:sz w:val="22"/>
      </w:rPr>
      <w:t>Núm</w:t>
    </w:r>
    <w:proofErr w:type="spellEnd"/>
    <w:r>
      <w:rPr>
        <w:rFonts w:ascii="Calibri" w:hAnsi="Calibri" w:cs="Calibri"/>
        <w:b/>
        <w:sz w:val="22"/>
      </w:rPr>
      <w:t>. 10</w:t>
    </w:r>
    <w:r w:rsidRPr="00AA6CBA">
      <w:rPr>
        <w:rFonts w:ascii="Calibri" w:hAnsi="Calibri" w:cs="Calibri"/>
        <w:b/>
        <w:sz w:val="22"/>
      </w:rPr>
      <w:t xml:space="preserve">                   Julio</w:t>
    </w:r>
    <w:r>
      <w:rPr>
        <w:rFonts w:ascii="Calibri" w:hAnsi="Calibri" w:cs="Calibri"/>
        <w:b/>
        <w:sz w:val="22"/>
      </w:rPr>
      <w:t xml:space="preserve"> - </w:t>
    </w:r>
    <w:proofErr w:type="spellStart"/>
    <w:r>
      <w:rPr>
        <w:rFonts w:ascii="Calibri" w:hAnsi="Calibri" w:cs="Calibri"/>
        <w:b/>
        <w:sz w:val="22"/>
      </w:rPr>
      <w:t>Diciembre</w:t>
    </w:r>
    <w:proofErr w:type="spellEnd"/>
    <w:r>
      <w:rPr>
        <w:rFonts w:ascii="Calibri" w:hAnsi="Calibri" w:cs="Calibri"/>
        <w:b/>
        <w:sz w:val="22"/>
      </w:rPr>
      <w:t xml:space="preserve"> 2016</w:t>
    </w:r>
    <w:r w:rsidRPr="00AA6CBA">
      <w:rPr>
        <w:rFonts w:ascii="Calibri" w:hAnsi="Calibri"/>
        <w:sz w:val="22"/>
        <w:lang w:eastAsia="es-MX"/>
      </w:rPr>
      <w:t xml:space="preserve"> </w:t>
    </w:r>
    <w:r w:rsidRPr="00AA6CBA">
      <w:rPr>
        <w:rFonts w:ascii="Calibri" w:hAnsi="Calibri" w:cs="Calibri"/>
        <w:b/>
        <w:sz w:val="22"/>
      </w:rPr>
      <w:t xml:space="preserve">              RICS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3B5" w:rsidRDefault="002533B5" w:rsidP="00AA6CBA">
      <w:r>
        <w:separator/>
      </w:r>
    </w:p>
  </w:footnote>
  <w:footnote w:type="continuationSeparator" w:id="0">
    <w:p w:rsidR="002533B5" w:rsidRDefault="002533B5" w:rsidP="00AA6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BA" w:rsidRPr="00107C11" w:rsidRDefault="00AA6CBA" w:rsidP="00AA6CBA">
    <w:pPr>
      <w:pStyle w:val="Encabezado"/>
      <w:jc w:val="center"/>
      <w:rPr>
        <w:sz w:val="22"/>
        <w:lang w:val="es-ES"/>
      </w:rPr>
    </w:pPr>
    <w:r w:rsidRPr="00107C11">
      <w:rPr>
        <w:rFonts w:ascii="Calibri" w:eastAsia="Calibri" w:hAnsi="Calibri" w:cs="Calibri"/>
        <w:b/>
        <w:i/>
        <w:sz w:val="22"/>
        <w:lang w:val="es-ES"/>
      </w:rPr>
      <w:t xml:space="preserve">Revista Iberoamericana de las Ciencias de la Salud                                                 </w:t>
    </w:r>
    <w:r w:rsidRPr="00107C11">
      <w:rPr>
        <w:rFonts w:ascii="Calibri" w:eastAsia="Calibri" w:hAnsi="Calibri" w:cs="Calibri"/>
        <w:b/>
        <w:sz w:val="22"/>
        <w:lang w:val="es-ES"/>
      </w:rPr>
      <w:t>ISSN: 2395-8057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A53"/>
    <w:rsid w:val="0000108B"/>
    <w:rsid w:val="00003CCD"/>
    <w:rsid w:val="00004ED0"/>
    <w:rsid w:val="000066CB"/>
    <w:rsid w:val="00007A0D"/>
    <w:rsid w:val="00010F03"/>
    <w:rsid w:val="0001204E"/>
    <w:rsid w:val="00012158"/>
    <w:rsid w:val="0001472A"/>
    <w:rsid w:val="0001523B"/>
    <w:rsid w:val="00015C68"/>
    <w:rsid w:val="00020CCF"/>
    <w:rsid w:val="00021D7C"/>
    <w:rsid w:val="00023749"/>
    <w:rsid w:val="00026ABB"/>
    <w:rsid w:val="00031306"/>
    <w:rsid w:val="00034A53"/>
    <w:rsid w:val="00035918"/>
    <w:rsid w:val="000360EB"/>
    <w:rsid w:val="00036A13"/>
    <w:rsid w:val="00041625"/>
    <w:rsid w:val="00045233"/>
    <w:rsid w:val="000538C2"/>
    <w:rsid w:val="000554DF"/>
    <w:rsid w:val="00056F0F"/>
    <w:rsid w:val="00056F1C"/>
    <w:rsid w:val="0005736A"/>
    <w:rsid w:val="00061F5B"/>
    <w:rsid w:val="000658A2"/>
    <w:rsid w:val="00065C6A"/>
    <w:rsid w:val="000661F9"/>
    <w:rsid w:val="00066AB2"/>
    <w:rsid w:val="00066ADB"/>
    <w:rsid w:val="000673BF"/>
    <w:rsid w:val="0007010B"/>
    <w:rsid w:val="0007097C"/>
    <w:rsid w:val="00070B11"/>
    <w:rsid w:val="00072D16"/>
    <w:rsid w:val="00073106"/>
    <w:rsid w:val="000735EB"/>
    <w:rsid w:val="00074420"/>
    <w:rsid w:val="0007446F"/>
    <w:rsid w:val="000747CA"/>
    <w:rsid w:val="00075FEB"/>
    <w:rsid w:val="00077E78"/>
    <w:rsid w:val="00081AA2"/>
    <w:rsid w:val="00085820"/>
    <w:rsid w:val="00086064"/>
    <w:rsid w:val="000863D5"/>
    <w:rsid w:val="00086548"/>
    <w:rsid w:val="000865AC"/>
    <w:rsid w:val="00090074"/>
    <w:rsid w:val="000904DD"/>
    <w:rsid w:val="0009068E"/>
    <w:rsid w:val="00092321"/>
    <w:rsid w:val="00092C86"/>
    <w:rsid w:val="0009490E"/>
    <w:rsid w:val="00095897"/>
    <w:rsid w:val="0009635D"/>
    <w:rsid w:val="0009641C"/>
    <w:rsid w:val="000A053F"/>
    <w:rsid w:val="000A1500"/>
    <w:rsid w:val="000A1662"/>
    <w:rsid w:val="000A4284"/>
    <w:rsid w:val="000A5274"/>
    <w:rsid w:val="000A542B"/>
    <w:rsid w:val="000A5A0A"/>
    <w:rsid w:val="000A781B"/>
    <w:rsid w:val="000B2736"/>
    <w:rsid w:val="000B2D32"/>
    <w:rsid w:val="000B2E82"/>
    <w:rsid w:val="000B4003"/>
    <w:rsid w:val="000B4DA7"/>
    <w:rsid w:val="000B66A5"/>
    <w:rsid w:val="000B6822"/>
    <w:rsid w:val="000B68EA"/>
    <w:rsid w:val="000B6B44"/>
    <w:rsid w:val="000C3038"/>
    <w:rsid w:val="000C600C"/>
    <w:rsid w:val="000C647F"/>
    <w:rsid w:val="000D07C4"/>
    <w:rsid w:val="000D1F35"/>
    <w:rsid w:val="000D2684"/>
    <w:rsid w:val="000D5BF3"/>
    <w:rsid w:val="000E016A"/>
    <w:rsid w:val="000E1241"/>
    <w:rsid w:val="000E2D6B"/>
    <w:rsid w:val="000E49CE"/>
    <w:rsid w:val="000E4FAC"/>
    <w:rsid w:val="000E5157"/>
    <w:rsid w:val="000E692F"/>
    <w:rsid w:val="000E717F"/>
    <w:rsid w:val="000E7566"/>
    <w:rsid w:val="000E7C96"/>
    <w:rsid w:val="000E7E2D"/>
    <w:rsid w:val="000F2837"/>
    <w:rsid w:val="000F4CAE"/>
    <w:rsid w:val="000F6087"/>
    <w:rsid w:val="000F664E"/>
    <w:rsid w:val="000F692C"/>
    <w:rsid w:val="000F6D93"/>
    <w:rsid w:val="0010368D"/>
    <w:rsid w:val="00104AE1"/>
    <w:rsid w:val="00107C11"/>
    <w:rsid w:val="00107CAD"/>
    <w:rsid w:val="00107E50"/>
    <w:rsid w:val="00107F2B"/>
    <w:rsid w:val="00110BC4"/>
    <w:rsid w:val="0011130E"/>
    <w:rsid w:val="0011163C"/>
    <w:rsid w:val="0011217B"/>
    <w:rsid w:val="001123BC"/>
    <w:rsid w:val="0011311F"/>
    <w:rsid w:val="00114EF5"/>
    <w:rsid w:val="00115071"/>
    <w:rsid w:val="00115476"/>
    <w:rsid w:val="00115D48"/>
    <w:rsid w:val="001175FC"/>
    <w:rsid w:val="0011792F"/>
    <w:rsid w:val="0012357D"/>
    <w:rsid w:val="0012525B"/>
    <w:rsid w:val="001256D1"/>
    <w:rsid w:val="00127111"/>
    <w:rsid w:val="00127378"/>
    <w:rsid w:val="001279B4"/>
    <w:rsid w:val="00127CE2"/>
    <w:rsid w:val="00131D1B"/>
    <w:rsid w:val="00136191"/>
    <w:rsid w:val="001363A7"/>
    <w:rsid w:val="00140721"/>
    <w:rsid w:val="00142C9D"/>
    <w:rsid w:val="00143B41"/>
    <w:rsid w:val="00143BB3"/>
    <w:rsid w:val="00145C71"/>
    <w:rsid w:val="001501EC"/>
    <w:rsid w:val="00151409"/>
    <w:rsid w:val="00151B88"/>
    <w:rsid w:val="0015245C"/>
    <w:rsid w:val="00152F3F"/>
    <w:rsid w:val="0015300F"/>
    <w:rsid w:val="00153216"/>
    <w:rsid w:val="00154D02"/>
    <w:rsid w:val="00155704"/>
    <w:rsid w:val="00155FEF"/>
    <w:rsid w:val="00157035"/>
    <w:rsid w:val="00157DBB"/>
    <w:rsid w:val="001600AB"/>
    <w:rsid w:val="00160719"/>
    <w:rsid w:val="00160C43"/>
    <w:rsid w:val="0016216B"/>
    <w:rsid w:val="0016221B"/>
    <w:rsid w:val="00163B89"/>
    <w:rsid w:val="00163B9E"/>
    <w:rsid w:val="00163E6B"/>
    <w:rsid w:val="0016439B"/>
    <w:rsid w:val="001649DE"/>
    <w:rsid w:val="00165830"/>
    <w:rsid w:val="0016587B"/>
    <w:rsid w:val="00165C78"/>
    <w:rsid w:val="001676FC"/>
    <w:rsid w:val="00173143"/>
    <w:rsid w:val="00175667"/>
    <w:rsid w:val="001770DF"/>
    <w:rsid w:val="00180EB1"/>
    <w:rsid w:val="001831E3"/>
    <w:rsid w:val="00185D0B"/>
    <w:rsid w:val="001866F9"/>
    <w:rsid w:val="00186A40"/>
    <w:rsid w:val="001915BD"/>
    <w:rsid w:val="00194CF2"/>
    <w:rsid w:val="00195F77"/>
    <w:rsid w:val="0019786A"/>
    <w:rsid w:val="001A0394"/>
    <w:rsid w:val="001A098A"/>
    <w:rsid w:val="001A0DF0"/>
    <w:rsid w:val="001A23A7"/>
    <w:rsid w:val="001A27A2"/>
    <w:rsid w:val="001A7581"/>
    <w:rsid w:val="001A79E7"/>
    <w:rsid w:val="001B0E1A"/>
    <w:rsid w:val="001B1E94"/>
    <w:rsid w:val="001B2A62"/>
    <w:rsid w:val="001B2DA6"/>
    <w:rsid w:val="001B3DD0"/>
    <w:rsid w:val="001B5B6A"/>
    <w:rsid w:val="001B6202"/>
    <w:rsid w:val="001B6872"/>
    <w:rsid w:val="001C07DE"/>
    <w:rsid w:val="001C1B1B"/>
    <w:rsid w:val="001C2B19"/>
    <w:rsid w:val="001C2B70"/>
    <w:rsid w:val="001C442E"/>
    <w:rsid w:val="001C7283"/>
    <w:rsid w:val="001C75BB"/>
    <w:rsid w:val="001C75EB"/>
    <w:rsid w:val="001D0752"/>
    <w:rsid w:val="001D1384"/>
    <w:rsid w:val="001D6499"/>
    <w:rsid w:val="001D64E9"/>
    <w:rsid w:val="001E00C0"/>
    <w:rsid w:val="001E0533"/>
    <w:rsid w:val="001E1786"/>
    <w:rsid w:val="001E219A"/>
    <w:rsid w:val="001E223C"/>
    <w:rsid w:val="001E3665"/>
    <w:rsid w:val="001E36A0"/>
    <w:rsid w:val="001E64A4"/>
    <w:rsid w:val="001F1F08"/>
    <w:rsid w:val="001F36A1"/>
    <w:rsid w:val="001F3CEF"/>
    <w:rsid w:val="001F3FF4"/>
    <w:rsid w:val="001F414E"/>
    <w:rsid w:val="001F4E80"/>
    <w:rsid w:val="001F7049"/>
    <w:rsid w:val="001F77E0"/>
    <w:rsid w:val="0020257D"/>
    <w:rsid w:val="00204968"/>
    <w:rsid w:val="00204E7B"/>
    <w:rsid w:val="002058E8"/>
    <w:rsid w:val="00205B4E"/>
    <w:rsid w:val="00205D44"/>
    <w:rsid w:val="00206635"/>
    <w:rsid w:val="0020710C"/>
    <w:rsid w:val="002103A4"/>
    <w:rsid w:val="00213B08"/>
    <w:rsid w:val="002162AB"/>
    <w:rsid w:val="0022090B"/>
    <w:rsid w:val="0022254F"/>
    <w:rsid w:val="002251D4"/>
    <w:rsid w:val="00227EF4"/>
    <w:rsid w:val="00230E62"/>
    <w:rsid w:val="00232EB0"/>
    <w:rsid w:val="0023345B"/>
    <w:rsid w:val="0023442D"/>
    <w:rsid w:val="00240930"/>
    <w:rsid w:val="00240975"/>
    <w:rsid w:val="00247A42"/>
    <w:rsid w:val="00250B2B"/>
    <w:rsid w:val="00251DFF"/>
    <w:rsid w:val="002533B5"/>
    <w:rsid w:val="00254519"/>
    <w:rsid w:val="00254F3E"/>
    <w:rsid w:val="002556B2"/>
    <w:rsid w:val="0025697C"/>
    <w:rsid w:val="00257E05"/>
    <w:rsid w:val="002621BA"/>
    <w:rsid w:val="002631F1"/>
    <w:rsid w:val="00263D09"/>
    <w:rsid w:val="00265DF3"/>
    <w:rsid w:val="002667D4"/>
    <w:rsid w:val="0027143A"/>
    <w:rsid w:val="00271634"/>
    <w:rsid w:val="0027365D"/>
    <w:rsid w:val="002749BD"/>
    <w:rsid w:val="00274CB4"/>
    <w:rsid w:val="002753A5"/>
    <w:rsid w:val="00277164"/>
    <w:rsid w:val="00280CED"/>
    <w:rsid w:val="0028114C"/>
    <w:rsid w:val="0028182A"/>
    <w:rsid w:val="00286950"/>
    <w:rsid w:val="00287C63"/>
    <w:rsid w:val="00290C45"/>
    <w:rsid w:val="00291BA1"/>
    <w:rsid w:val="002920A5"/>
    <w:rsid w:val="002962CC"/>
    <w:rsid w:val="0029704F"/>
    <w:rsid w:val="002A185B"/>
    <w:rsid w:val="002A2241"/>
    <w:rsid w:val="002A5749"/>
    <w:rsid w:val="002B2D5D"/>
    <w:rsid w:val="002B5406"/>
    <w:rsid w:val="002B6FAA"/>
    <w:rsid w:val="002C0CAC"/>
    <w:rsid w:val="002C7FBC"/>
    <w:rsid w:val="002D0554"/>
    <w:rsid w:val="002D0648"/>
    <w:rsid w:val="002D1450"/>
    <w:rsid w:val="002D36FE"/>
    <w:rsid w:val="002D3BB7"/>
    <w:rsid w:val="002D3E56"/>
    <w:rsid w:val="002D402B"/>
    <w:rsid w:val="002D4465"/>
    <w:rsid w:val="002D4861"/>
    <w:rsid w:val="002D5942"/>
    <w:rsid w:val="002D6A67"/>
    <w:rsid w:val="002D7477"/>
    <w:rsid w:val="002E1C7B"/>
    <w:rsid w:val="002E1DDC"/>
    <w:rsid w:val="002E524B"/>
    <w:rsid w:val="002E5A73"/>
    <w:rsid w:val="002E6DCF"/>
    <w:rsid w:val="002F09D0"/>
    <w:rsid w:val="002F17C8"/>
    <w:rsid w:val="002F2779"/>
    <w:rsid w:val="002F281C"/>
    <w:rsid w:val="002F4EDC"/>
    <w:rsid w:val="002F6704"/>
    <w:rsid w:val="002F7BF3"/>
    <w:rsid w:val="003038EC"/>
    <w:rsid w:val="00305160"/>
    <w:rsid w:val="00305616"/>
    <w:rsid w:val="00306AE7"/>
    <w:rsid w:val="0031013E"/>
    <w:rsid w:val="0031246B"/>
    <w:rsid w:val="00312D2A"/>
    <w:rsid w:val="0031584A"/>
    <w:rsid w:val="00315B0B"/>
    <w:rsid w:val="00316500"/>
    <w:rsid w:val="00316674"/>
    <w:rsid w:val="00316DAA"/>
    <w:rsid w:val="00316F7D"/>
    <w:rsid w:val="0031716E"/>
    <w:rsid w:val="003204D1"/>
    <w:rsid w:val="00320DB9"/>
    <w:rsid w:val="00320FC5"/>
    <w:rsid w:val="00321A0C"/>
    <w:rsid w:val="00321FC0"/>
    <w:rsid w:val="00324004"/>
    <w:rsid w:val="00326485"/>
    <w:rsid w:val="00326A33"/>
    <w:rsid w:val="0032753A"/>
    <w:rsid w:val="003324FB"/>
    <w:rsid w:val="00333DED"/>
    <w:rsid w:val="00333F63"/>
    <w:rsid w:val="00334F9E"/>
    <w:rsid w:val="00336A1F"/>
    <w:rsid w:val="003417D2"/>
    <w:rsid w:val="003428E7"/>
    <w:rsid w:val="00342A77"/>
    <w:rsid w:val="00344E77"/>
    <w:rsid w:val="00345980"/>
    <w:rsid w:val="0034649C"/>
    <w:rsid w:val="00346749"/>
    <w:rsid w:val="00347E0E"/>
    <w:rsid w:val="003506F7"/>
    <w:rsid w:val="00350B1F"/>
    <w:rsid w:val="003609CF"/>
    <w:rsid w:val="00360FDE"/>
    <w:rsid w:val="0036212C"/>
    <w:rsid w:val="003629ED"/>
    <w:rsid w:val="00363E9B"/>
    <w:rsid w:val="003644AD"/>
    <w:rsid w:val="00365646"/>
    <w:rsid w:val="003657C8"/>
    <w:rsid w:val="003664AC"/>
    <w:rsid w:val="00366989"/>
    <w:rsid w:val="00366E79"/>
    <w:rsid w:val="00367005"/>
    <w:rsid w:val="0036732A"/>
    <w:rsid w:val="0037089F"/>
    <w:rsid w:val="00371E39"/>
    <w:rsid w:val="00374CFE"/>
    <w:rsid w:val="00375C3C"/>
    <w:rsid w:val="00377733"/>
    <w:rsid w:val="003803DD"/>
    <w:rsid w:val="0038281F"/>
    <w:rsid w:val="00382C74"/>
    <w:rsid w:val="00384F02"/>
    <w:rsid w:val="00386A5A"/>
    <w:rsid w:val="00386B6B"/>
    <w:rsid w:val="00387068"/>
    <w:rsid w:val="003874D0"/>
    <w:rsid w:val="00387BA6"/>
    <w:rsid w:val="00387E7A"/>
    <w:rsid w:val="003915F0"/>
    <w:rsid w:val="00396835"/>
    <w:rsid w:val="00396FD9"/>
    <w:rsid w:val="00396FFF"/>
    <w:rsid w:val="003A118A"/>
    <w:rsid w:val="003A17A0"/>
    <w:rsid w:val="003A1869"/>
    <w:rsid w:val="003A190D"/>
    <w:rsid w:val="003A4246"/>
    <w:rsid w:val="003A42B0"/>
    <w:rsid w:val="003A4D86"/>
    <w:rsid w:val="003A5152"/>
    <w:rsid w:val="003A663B"/>
    <w:rsid w:val="003B14B4"/>
    <w:rsid w:val="003B2BA4"/>
    <w:rsid w:val="003B50BD"/>
    <w:rsid w:val="003B5414"/>
    <w:rsid w:val="003B5BAF"/>
    <w:rsid w:val="003C0075"/>
    <w:rsid w:val="003C0B66"/>
    <w:rsid w:val="003C0C13"/>
    <w:rsid w:val="003C21F2"/>
    <w:rsid w:val="003C36CA"/>
    <w:rsid w:val="003C4654"/>
    <w:rsid w:val="003C6FE7"/>
    <w:rsid w:val="003C6FFC"/>
    <w:rsid w:val="003D14FE"/>
    <w:rsid w:val="003D2EF0"/>
    <w:rsid w:val="003D6722"/>
    <w:rsid w:val="003D6982"/>
    <w:rsid w:val="003E0BA1"/>
    <w:rsid w:val="003E1D2B"/>
    <w:rsid w:val="003E2D53"/>
    <w:rsid w:val="003E3FAC"/>
    <w:rsid w:val="003E4678"/>
    <w:rsid w:val="003E55F7"/>
    <w:rsid w:val="003E585B"/>
    <w:rsid w:val="003F009A"/>
    <w:rsid w:val="003F081D"/>
    <w:rsid w:val="003F1379"/>
    <w:rsid w:val="003F1FA2"/>
    <w:rsid w:val="003F5371"/>
    <w:rsid w:val="003F6350"/>
    <w:rsid w:val="003F6F1A"/>
    <w:rsid w:val="003F72CF"/>
    <w:rsid w:val="003F73CA"/>
    <w:rsid w:val="00400379"/>
    <w:rsid w:val="004003DC"/>
    <w:rsid w:val="004012BF"/>
    <w:rsid w:val="00401D6B"/>
    <w:rsid w:val="0040328B"/>
    <w:rsid w:val="0040415D"/>
    <w:rsid w:val="00406195"/>
    <w:rsid w:val="00406B87"/>
    <w:rsid w:val="004102EA"/>
    <w:rsid w:val="00412173"/>
    <w:rsid w:val="00412FE4"/>
    <w:rsid w:val="00414136"/>
    <w:rsid w:val="00414852"/>
    <w:rsid w:val="004151BC"/>
    <w:rsid w:val="0042291A"/>
    <w:rsid w:val="00424AC9"/>
    <w:rsid w:val="00425119"/>
    <w:rsid w:val="0042585D"/>
    <w:rsid w:val="00425D98"/>
    <w:rsid w:val="00425E6C"/>
    <w:rsid w:val="0042626B"/>
    <w:rsid w:val="00434798"/>
    <w:rsid w:val="004349F3"/>
    <w:rsid w:val="00435C62"/>
    <w:rsid w:val="004403C8"/>
    <w:rsid w:val="00440574"/>
    <w:rsid w:val="00440D5B"/>
    <w:rsid w:val="004418AD"/>
    <w:rsid w:val="00441E1B"/>
    <w:rsid w:val="004421EB"/>
    <w:rsid w:val="00442994"/>
    <w:rsid w:val="004434A4"/>
    <w:rsid w:val="00445C90"/>
    <w:rsid w:val="00446D40"/>
    <w:rsid w:val="004509D7"/>
    <w:rsid w:val="00451203"/>
    <w:rsid w:val="004537FB"/>
    <w:rsid w:val="0045613A"/>
    <w:rsid w:val="00456F03"/>
    <w:rsid w:val="00462C72"/>
    <w:rsid w:val="00463ADB"/>
    <w:rsid w:val="00466139"/>
    <w:rsid w:val="0046616A"/>
    <w:rsid w:val="004666D1"/>
    <w:rsid w:val="004669DD"/>
    <w:rsid w:val="00466D1B"/>
    <w:rsid w:val="00466D74"/>
    <w:rsid w:val="00466F23"/>
    <w:rsid w:val="00472FEF"/>
    <w:rsid w:val="00473F44"/>
    <w:rsid w:val="00480065"/>
    <w:rsid w:val="00480D70"/>
    <w:rsid w:val="00484175"/>
    <w:rsid w:val="00484788"/>
    <w:rsid w:val="004865D9"/>
    <w:rsid w:val="004868EE"/>
    <w:rsid w:val="00486F4F"/>
    <w:rsid w:val="004870D0"/>
    <w:rsid w:val="00487AF6"/>
    <w:rsid w:val="004902E5"/>
    <w:rsid w:val="00490531"/>
    <w:rsid w:val="00490B0F"/>
    <w:rsid w:val="00491BB0"/>
    <w:rsid w:val="0049268B"/>
    <w:rsid w:val="00493224"/>
    <w:rsid w:val="0049457B"/>
    <w:rsid w:val="00495BF7"/>
    <w:rsid w:val="00495C25"/>
    <w:rsid w:val="00495FCD"/>
    <w:rsid w:val="00496364"/>
    <w:rsid w:val="0049765A"/>
    <w:rsid w:val="004978AE"/>
    <w:rsid w:val="004A36A7"/>
    <w:rsid w:val="004A4A89"/>
    <w:rsid w:val="004A5591"/>
    <w:rsid w:val="004B192A"/>
    <w:rsid w:val="004B1991"/>
    <w:rsid w:val="004B2875"/>
    <w:rsid w:val="004C0C89"/>
    <w:rsid w:val="004C27F6"/>
    <w:rsid w:val="004C4C3F"/>
    <w:rsid w:val="004C76C5"/>
    <w:rsid w:val="004D049E"/>
    <w:rsid w:val="004D20D6"/>
    <w:rsid w:val="004D2C08"/>
    <w:rsid w:val="004D3B64"/>
    <w:rsid w:val="004D5646"/>
    <w:rsid w:val="004D7D7A"/>
    <w:rsid w:val="004D7E8A"/>
    <w:rsid w:val="004E1E71"/>
    <w:rsid w:val="004E297E"/>
    <w:rsid w:val="004E32E3"/>
    <w:rsid w:val="004E5B85"/>
    <w:rsid w:val="004E717C"/>
    <w:rsid w:val="004E7807"/>
    <w:rsid w:val="004E7A60"/>
    <w:rsid w:val="004E7EC1"/>
    <w:rsid w:val="004F1988"/>
    <w:rsid w:val="004F1E52"/>
    <w:rsid w:val="004F273B"/>
    <w:rsid w:val="004F3532"/>
    <w:rsid w:val="004F4895"/>
    <w:rsid w:val="004F5332"/>
    <w:rsid w:val="004F5E91"/>
    <w:rsid w:val="004F6943"/>
    <w:rsid w:val="004F698F"/>
    <w:rsid w:val="004F6A68"/>
    <w:rsid w:val="004F6DC5"/>
    <w:rsid w:val="004F6FDE"/>
    <w:rsid w:val="004F771B"/>
    <w:rsid w:val="004F79B1"/>
    <w:rsid w:val="005014EB"/>
    <w:rsid w:val="00506467"/>
    <w:rsid w:val="00507632"/>
    <w:rsid w:val="00507ABA"/>
    <w:rsid w:val="005130F9"/>
    <w:rsid w:val="00513DC3"/>
    <w:rsid w:val="005146E5"/>
    <w:rsid w:val="005153B5"/>
    <w:rsid w:val="005154B6"/>
    <w:rsid w:val="00515D52"/>
    <w:rsid w:val="005177B0"/>
    <w:rsid w:val="00521373"/>
    <w:rsid w:val="00525C6D"/>
    <w:rsid w:val="00526EC7"/>
    <w:rsid w:val="0052779E"/>
    <w:rsid w:val="005304E8"/>
    <w:rsid w:val="005305C3"/>
    <w:rsid w:val="00530D72"/>
    <w:rsid w:val="00531269"/>
    <w:rsid w:val="00532F73"/>
    <w:rsid w:val="00533284"/>
    <w:rsid w:val="00533845"/>
    <w:rsid w:val="00533B77"/>
    <w:rsid w:val="00537601"/>
    <w:rsid w:val="00540954"/>
    <w:rsid w:val="00540E13"/>
    <w:rsid w:val="00541102"/>
    <w:rsid w:val="0054249F"/>
    <w:rsid w:val="00544F50"/>
    <w:rsid w:val="00551A6B"/>
    <w:rsid w:val="00551FA1"/>
    <w:rsid w:val="00553CEE"/>
    <w:rsid w:val="00556961"/>
    <w:rsid w:val="0055721D"/>
    <w:rsid w:val="00560CBD"/>
    <w:rsid w:val="00560DC8"/>
    <w:rsid w:val="00561067"/>
    <w:rsid w:val="00562039"/>
    <w:rsid w:val="00562EEF"/>
    <w:rsid w:val="00563B3B"/>
    <w:rsid w:val="00564315"/>
    <w:rsid w:val="00565E67"/>
    <w:rsid w:val="00566028"/>
    <w:rsid w:val="00566906"/>
    <w:rsid w:val="00567391"/>
    <w:rsid w:val="00567E0E"/>
    <w:rsid w:val="00567ECF"/>
    <w:rsid w:val="00570A3F"/>
    <w:rsid w:val="005712D5"/>
    <w:rsid w:val="0057176D"/>
    <w:rsid w:val="00571783"/>
    <w:rsid w:val="005720F0"/>
    <w:rsid w:val="005736FF"/>
    <w:rsid w:val="00573CF9"/>
    <w:rsid w:val="00576783"/>
    <w:rsid w:val="00577241"/>
    <w:rsid w:val="005774C7"/>
    <w:rsid w:val="005808D5"/>
    <w:rsid w:val="00581399"/>
    <w:rsid w:val="00581A01"/>
    <w:rsid w:val="00582721"/>
    <w:rsid w:val="005828D5"/>
    <w:rsid w:val="00583DA5"/>
    <w:rsid w:val="005842ED"/>
    <w:rsid w:val="0058515C"/>
    <w:rsid w:val="00585477"/>
    <w:rsid w:val="00590376"/>
    <w:rsid w:val="00590B0A"/>
    <w:rsid w:val="00590CA3"/>
    <w:rsid w:val="005910BB"/>
    <w:rsid w:val="00591A9E"/>
    <w:rsid w:val="005927BF"/>
    <w:rsid w:val="00594486"/>
    <w:rsid w:val="00594E4A"/>
    <w:rsid w:val="0059637D"/>
    <w:rsid w:val="0059700D"/>
    <w:rsid w:val="0059718C"/>
    <w:rsid w:val="005A057E"/>
    <w:rsid w:val="005A10F9"/>
    <w:rsid w:val="005A15A6"/>
    <w:rsid w:val="005A224A"/>
    <w:rsid w:val="005A3FD6"/>
    <w:rsid w:val="005A6D5C"/>
    <w:rsid w:val="005A73A9"/>
    <w:rsid w:val="005A751F"/>
    <w:rsid w:val="005A779A"/>
    <w:rsid w:val="005A7CE6"/>
    <w:rsid w:val="005B033B"/>
    <w:rsid w:val="005B2456"/>
    <w:rsid w:val="005B4FA2"/>
    <w:rsid w:val="005B5C03"/>
    <w:rsid w:val="005B6783"/>
    <w:rsid w:val="005C1DEB"/>
    <w:rsid w:val="005C45FA"/>
    <w:rsid w:val="005C4E81"/>
    <w:rsid w:val="005C51D5"/>
    <w:rsid w:val="005C655B"/>
    <w:rsid w:val="005C6E73"/>
    <w:rsid w:val="005C7B43"/>
    <w:rsid w:val="005D182B"/>
    <w:rsid w:val="005D301A"/>
    <w:rsid w:val="005D4842"/>
    <w:rsid w:val="005D4C78"/>
    <w:rsid w:val="005D59EF"/>
    <w:rsid w:val="005D6D27"/>
    <w:rsid w:val="005D6E6D"/>
    <w:rsid w:val="005E3AE7"/>
    <w:rsid w:val="005E57A1"/>
    <w:rsid w:val="005E5B30"/>
    <w:rsid w:val="005F0593"/>
    <w:rsid w:val="005F05D2"/>
    <w:rsid w:val="005F1374"/>
    <w:rsid w:val="005F2162"/>
    <w:rsid w:val="005F4C9A"/>
    <w:rsid w:val="005F54E0"/>
    <w:rsid w:val="005F68C6"/>
    <w:rsid w:val="005F734B"/>
    <w:rsid w:val="00601D08"/>
    <w:rsid w:val="00602DD0"/>
    <w:rsid w:val="00603115"/>
    <w:rsid w:val="00603B09"/>
    <w:rsid w:val="006045F5"/>
    <w:rsid w:val="00607CFA"/>
    <w:rsid w:val="00610052"/>
    <w:rsid w:val="00611C07"/>
    <w:rsid w:val="00612D65"/>
    <w:rsid w:val="0061783B"/>
    <w:rsid w:val="006209D7"/>
    <w:rsid w:val="00620B2D"/>
    <w:rsid w:val="00621B7F"/>
    <w:rsid w:val="00622EBA"/>
    <w:rsid w:val="00623C7C"/>
    <w:rsid w:val="0062481F"/>
    <w:rsid w:val="0062541B"/>
    <w:rsid w:val="00625429"/>
    <w:rsid w:val="00626142"/>
    <w:rsid w:val="00626D90"/>
    <w:rsid w:val="006279E8"/>
    <w:rsid w:val="0063060B"/>
    <w:rsid w:val="00630A8E"/>
    <w:rsid w:val="00631DB6"/>
    <w:rsid w:val="00632002"/>
    <w:rsid w:val="00634A00"/>
    <w:rsid w:val="00643D39"/>
    <w:rsid w:val="00644F1F"/>
    <w:rsid w:val="0064724A"/>
    <w:rsid w:val="006516B3"/>
    <w:rsid w:val="00651E28"/>
    <w:rsid w:val="0065395C"/>
    <w:rsid w:val="00654691"/>
    <w:rsid w:val="00654986"/>
    <w:rsid w:val="00654A87"/>
    <w:rsid w:val="00654D02"/>
    <w:rsid w:val="00655BEF"/>
    <w:rsid w:val="00657C7E"/>
    <w:rsid w:val="0066076B"/>
    <w:rsid w:val="00660FA8"/>
    <w:rsid w:val="006623F2"/>
    <w:rsid w:val="00663D75"/>
    <w:rsid w:val="00664228"/>
    <w:rsid w:val="00672E55"/>
    <w:rsid w:val="006732CC"/>
    <w:rsid w:val="006734D1"/>
    <w:rsid w:val="00673B6C"/>
    <w:rsid w:val="00674513"/>
    <w:rsid w:val="006753E5"/>
    <w:rsid w:val="00675EBC"/>
    <w:rsid w:val="00676960"/>
    <w:rsid w:val="0068268E"/>
    <w:rsid w:val="0068400C"/>
    <w:rsid w:val="00684348"/>
    <w:rsid w:val="00684380"/>
    <w:rsid w:val="006851B2"/>
    <w:rsid w:val="006864BD"/>
    <w:rsid w:val="00686AEC"/>
    <w:rsid w:val="00686E1E"/>
    <w:rsid w:val="0068769E"/>
    <w:rsid w:val="00690DC3"/>
    <w:rsid w:val="00692B0E"/>
    <w:rsid w:val="00693B99"/>
    <w:rsid w:val="00695C15"/>
    <w:rsid w:val="00696C61"/>
    <w:rsid w:val="006976CC"/>
    <w:rsid w:val="006A1EBF"/>
    <w:rsid w:val="006A1ED0"/>
    <w:rsid w:val="006A2508"/>
    <w:rsid w:val="006A4F86"/>
    <w:rsid w:val="006A6172"/>
    <w:rsid w:val="006B208F"/>
    <w:rsid w:val="006B2720"/>
    <w:rsid w:val="006B58B9"/>
    <w:rsid w:val="006B6559"/>
    <w:rsid w:val="006C0A3D"/>
    <w:rsid w:val="006C13E3"/>
    <w:rsid w:val="006C4D00"/>
    <w:rsid w:val="006C7863"/>
    <w:rsid w:val="006D56C2"/>
    <w:rsid w:val="006D607B"/>
    <w:rsid w:val="006D7416"/>
    <w:rsid w:val="006E02BB"/>
    <w:rsid w:val="006E1CB1"/>
    <w:rsid w:val="006E59CD"/>
    <w:rsid w:val="006E6E5C"/>
    <w:rsid w:val="006E7DE9"/>
    <w:rsid w:val="006F15DF"/>
    <w:rsid w:val="006F2A2E"/>
    <w:rsid w:val="006F3E6C"/>
    <w:rsid w:val="006F3E9D"/>
    <w:rsid w:val="006F4A1C"/>
    <w:rsid w:val="006F5B52"/>
    <w:rsid w:val="006F66EB"/>
    <w:rsid w:val="00701065"/>
    <w:rsid w:val="007011C5"/>
    <w:rsid w:val="007015AA"/>
    <w:rsid w:val="00704631"/>
    <w:rsid w:val="00704767"/>
    <w:rsid w:val="00705F26"/>
    <w:rsid w:val="00706FB0"/>
    <w:rsid w:val="0070740A"/>
    <w:rsid w:val="007076A3"/>
    <w:rsid w:val="00710395"/>
    <w:rsid w:val="007108E6"/>
    <w:rsid w:val="0071187C"/>
    <w:rsid w:val="00720BF8"/>
    <w:rsid w:val="00721090"/>
    <w:rsid w:val="007220D0"/>
    <w:rsid w:val="0072353C"/>
    <w:rsid w:val="00726F1B"/>
    <w:rsid w:val="0072765B"/>
    <w:rsid w:val="0072783B"/>
    <w:rsid w:val="00730A4B"/>
    <w:rsid w:val="00730D80"/>
    <w:rsid w:val="007364E5"/>
    <w:rsid w:val="00736A02"/>
    <w:rsid w:val="00740358"/>
    <w:rsid w:val="007406BD"/>
    <w:rsid w:val="00740AE6"/>
    <w:rsid w:val="007424DA"/>
    <w:rsid w:val="00742680"/>
    <w:rsid w:val="00742C38"/>
    <w:rsid w:val="007442A4"/>
    <w:rsid w:val="00744686"/>
    <w:rsid w:val="00745D9A"/>
    <w:rsid w:val="00747155"/>
    <w:rsid w:val="00747CBC"/>
    <w:rsid w:val="00750A48"/>
    <w:rsid w:val="00751A30"/>
    <w:rsid w:val="00752373"/>
    <w:rsid w:val="00754B84"/>
    <w:rsid w:val="0075550B"/>
    <w:rsid w:val="00760E10"/>
    <w:rsid w:val="00761B71"/>
    <w:rsid w:val="00764291"/>
    <w:rsid w:val="00765303"/>
    <w:rsid w:val="007656BD"/>
    <w:rsid w:val="00765B94"/>
    <w:rsid w:val="007708AA"/>
    <w:rsid w:val="00772AD4"/>
    <w:rsid w:val="007734A4"/>
    <w:rsid w:val="00773C19"/>
    <w:rsid w:val="0077465D"/>
    <w:rsid w:val="00774B9B"/>
    <w:rsid w:val="00777724"/>
    <w:rsid w:val="00780981"/>
    <w:rsid w:val="00780FEB"/>
    <w:rsid w:val="007829F4"/>
    <w:rsid w:val="00782E5E"/>
    <w:rsid w:val="0078363F"/>
    <w:rsid w:val="00785D38"/>
    <w:rsid w:val="00786AA6"/>
    <w:rsid w:val="0078748D"/>
    <w:rsid w:val="007875D4"/>
    <w:rsid w:val="00787C21"/>
    <w:rsid w:val="0079178A"/>
    <w:rsid w:val="00791C42"/>
    <w:rsid w:val="00797576"/>
    <w:rsid w:val="007A059B"/>
    <w:rsid w:val="007A0CEC"/>
    <w:rsid w:val="007A30A3"/>
    <w:rsid w:val="007A3EA3"/>
    <w:rsid w:val="007A6929"/>
    <w:rsid w:val="007A707B"/>
    <w:rsid w:val="007B0408"/>
    <w:rsid w:val="007B1726"/>
    <w:rsid w:val="007B319B"/>
    <w:rsid w:val="007B33C9"/>
    <w:rsid w:val="007B4607"/>
    <w:rsid w:val="007B4640"/>
    <w:rsid w:val="007B4D97"/>
    <w:rsid w:val="007B548A"/>
    <w:rsid w:val="007B5691"/>
    <w:rsid w:val="007B6BA1"/>
    <w:rsid w:val="007B7273"/>
    <w:rsid w:val="007B7C60"/>
    <w:rsid w:val="007C0568"/>
    <w:rsid w:val="007C0F9A"/>
    <w:rsid w:val="007C40C6"/>
    <w:rsid w:val="007C42B5"/>
    <w:rsid w:val="007C490C"/>
    <w:rsid w:val="007C4D72"/>
    <w:rsid w:val="007C72DB"/>
    <w:rsid w:val="007D026F"/>
    <w:rsid w:val="007D05C1"/>
    <w:rsid w:val="007D0994"/>
    <w:rsid w:val="007D3F66"/>
    <w:rsid w:val="007D4B27"/>
    <w:rsid w:val="007D5186"/>
    <w:rsid w:val="007D5381"/>
    <w:rsid w:val="007D55C8"/>
    <w:rsid w:val="007D6CFD"/>
    <w:rsid w:val="007E24FB"/>
    <w:rsid w:val="007E49E0"/>
    <w:rsid w:val="007E76A3"/>
    <w:rsid w:val="007F140C"/>
    <w:rsid w:val="007F20C4"/>
    <w:rsid w:val="007F385E"/>
    <w:rsid w:val="007F3FAB"/>
    <w:rsid w:val="007F4F15"/>
    <w:rsid w:val="007F5771"/>
    <w:rsid w:val="007F6530"/>
    <w:rsid w:val="007F6E98"/>
    <w:rsid w:val="007F73F0"/>
    <w:rsid w:val="00800D02"/>
    <w:rsid w:val="008013D7"/>
    <w:rsid w:val="008014E8"/>
    <w:rsid w:val="0080344B"/>
    <w:rsid w:val="00805B85"/>
    <w:rsid w:val="0080761E"/>
    <w:rsid w:val="0081104D"/>
    <w:rsid w:val="0081115C"/>
    <w:rsid w:val="008139DC"/>
    <w:rsid w:val="0081563F"/>
    <w:rsid w:val="00817512"/>
    <w:rsid w:val="00825BF1"/>
    <w:rsid w:val="008260DB"/>
    <w:rsid w:val="00831A7C"/>
    <w:rsid w:val="00832DE4"/>
    <w:rsid w:val="0083322A"/>
    <w:rsid w:val="0083493B"/>
    <w:rsid w:val="008367A4"/>
    <w:rsid w:val="00844A43"/>
    <w:rsid w:val="00851A31"/>
    <w:rsid w:val="00852F61"/>
    <w:rsid w:val="00853C5A"/>
    <w:rsid w:val="00854BFC"/>
    <w:rsid w:val="0085574E"/>
    <w:rsid w:val="00855BE9"/>
    <w:rsid w:val="00855F1E"/>
    <w:rsid w:val="008571E8"/>
    <w:rsid w:val="008573F6"/>
    <w:rsid w:val="0085780B"/>
    <w:rsid w:val="00857A41"/>
    <w:rsid w:val="00864EE0"/>
    <w:rsid w:val="00866847"/>
    <w:rsid w:val="00866C03"/>
    <w:rsid w:val="00870467"/>
    <w:rsid w:val="00870F23"/>
    <w:rsid w:val="00871B6E"/>
    <w:rsid w:val="00872045"/>
    <w:rsid w:val="008728BC"/>
    <w:rsid w:val="00875978"/>
    <w:rsid w:val="00875AE5"/>
    <w:rsid w:val="00875F68"/>
    <w:rsid w:val="008825D4"/>
    <w:rsid w:val="00882F7E"/>
    <w:rsid w:val="00884505"/>
    <w:rsid w:val="0088508D"/>
    <w:rsid w:val="00887F1E"/>
    <w:rsid w:val="00890166"/>
    <w:rsid w:val="00891395"/>
    <w:rsid w:val="00891C37"/>
    <w:rsid w:val="00891FF0"/>
    <w:rsid w:val="00894CF0"/>
    <w:rsid w:val="00896182"/>
    <w:rsid w:val="008A0A59"/>
    <w:rsid w:val="008A1D6F"/>
    <w:rsid w:val="008A29EB"/>
    <w:rsid w:val="008A358E"/>
    <w:rsid w:val="008A55FF"/>
    <w:rsid w:val="008A56AF"/>
    <w:rsid w:val="008A66BD"/>
    <w:rsid w:val="008A6CAC"/>
    <w:rsid w:val="008A70EA"/>
    <w:rsid w:val="008B315F"/>
    <w:rsid w:val="008B5428"/>
    <w:rsid w:val="008B5599"/>
    <w:rsid w:val="008B6F4E"/>
    <w:rsid w:val="008B7BF7"/>
    <w:rsid w:val="008C0C31"/>
    <w:rsid w:val="008C0C62"/>
    <w:rsid w:val="008C0D1B"/>
    <w:rsid w:val="008C2904"/>
    <w:rsid w:val="008C33C2"/>
    <w:rsid w:val="008C7529"/>
    <w:rsid w:val="008D0277"/>
    <w:rsid w:val="008D2B53"/>
    <w:rsid w:val="008D2F7C"/>
    <w:rsid w:val="008D3A7E"/>
    <w:rsid w:val="008D432E"/>
    <w:rsid w:val="008D4ADF"/>
    <w:rsid w:val="008D4DDA"/>
    <w:rsid w:val="008D7954"/>
    <w:rsid w:val="008D7C44"/>
    <w:rsid w:val="008E03D7"/>
    <w:rsid w:val="008E04DD"/>
    <w:rsid w:val="008E095A"/>
    <w:rsid w:val="008E1E07"/>
    <w:rsid w:val="008E2A03"/>
    <w:rsid w:val="008E3680"/>
    <w:rsid w:val="008E4613"/>
    <w:rsid w:val="008E56D5"/>
    <w:rsid w:val="008E635B"/>
    <w:rsid w:val="008E65CC"/>
    <w:rsid w:val="008E7629"/>
    <w:rsid w:val="008F5BB3"/>
    <w:rsid w:val="008F60E6"/>
    <w:rsid w:val="008F65C2"/>
    <w:rsid w:val="00903F1A"/>
    <w:rsid w:val="00904060"/>
    <w:rsid w:val="009041AC"/>
    <w:rsid w:val="0090614D"/>
    <w:rsid w:val="00910EBC"/>
    <w:rsid w:val="009112A9"/>
    <w:rsid w:val="009121E1"/>
    <w:rsid w:val="00913083"/>
    <w:rsid w:val="0091396E"/>
    <w:rsid w:val="00913BE7"/>
    <w:rsid w:val="00914C50"/>
    <w:rsid w:val="009150BB"/>
    <w:rsid w:val="00920EF5"/>
    <w:rsid w:val="0092661A"/>
    <w:rsid w:val="00930921"/>
    <w:rsid w:val="009316B0"/>
    <w:rsid w:val="0093292B"/>
    <w:rsid w:val="00933B0E"/>
    <w:rsid w:val="009347FC"/>
    <w:rsid w:val="00935A54"/>
    <w:rsid w:val="009367C5"/>
    <w:rsid w:val="009376F0"/>
    <w:rsid w:val="00937A63"/>
    <w:rsid w:val="009403F7"/>
    <w:rsid w:val="00942315"/>
    <w:rsid w:val="009464E1"/>
    <w:rsid w:val="0094781A"/>
    <w:rsid w:val="00952321"/>
    <w:rsid w:val="0095361B"/>
    <w:rsid w:val="00955612"/>
    <w:rsid w:val="0095667C"/>
    <w:rsid w:val="00956AC5"/>
    <w:rsid w:val="00957536"/>
    <w:rsid w:val="009578DC"/>
    <w:rsid w:val="00957CEC"/>
    <w:rsid w:val="0096015B"/>
    <w:rsid w:val="00960681"/>
    <w:rsid w:val="009610E0"/>
    <w:rsid w:val="0096243B"/>
    <w:rsid w:val="009632EB"/>
    <w:rsid w:val="00964815"/>
    <w:rsid w:val="0096558F"/>
    <w:rsid w:val="00971C5A"/>
    <w:rsid w:val="00973CAD"/>
    <w:rsid w:val="00973E42"/>
    <w:rsid w:val="00974EC9"/>
    <w:rsid w:val="009763F5"/>
    <w:rsid w:val="009771DA"/>
    <w:rsid w:val="0098350A"/>
    <w:rsid w:val="0098466D"/>
    <w:rsid w:val="00985A72"/>
    <w:rsid w:val="00985D36"/>
    <w:rsid w:val="00990E8B"/>
    <w:rsid w:val="009933DD"/>
    <w:rsid w:val="009936A9"/>
    <w:rsid w:val="00995C5C"/>
    <w:rsid w:val="0099658A"/>
    <w:rsid w:val="0099681F"/>
    <w:rsid w:val="0099798E"/>
    <w:rsid w:val="009A0FF6"/>
    <w:rsid w:val="009A1767"/>
    <w:rsid w:val="009A1B56"/>
    <w:rsid w:val="009A3882"/>
    <w:rsid w:val="009A4FCA"/>
    <w:rsid w:val="009A7043"/>
    <w:rsid w:val="009A7337"/>
    <w:rsid w:val="009B04A6"/>
    <w:rsid w:val="009B1357"/>
    <w:rsid w:val="009B141C"/>
    <w:rsid w:val="009B149A"/>
    <w:rsid w:val="009B14AD"/>
    <w:rsid w:val="009B2B64"/>
    <w:rsid w:val="009B7F1A"/>
    <w:rsid w:val="009C1A73"/>
    <w:rsid w:val="009C2DBA"/>
    <w:rsid w:val="009C5649"/>
    <w:rsid w:val="009C564E"/>
    <w:rsid w:val="009C5E8D"/>
    <w:rsid w:val="009D0DA3"/>
    <w:rsid w:val="009D1C55"/>
    <w:rsid w:val="009D536A"/>
    <w:rsid w:val="009D6AE0"/>
    <w:rsid w:val="009D71CD"/>
    <w:rsid w:val="009E1153"/>
    <w:rsid w:val="009E21CB"/>
    <w:rsid w:val="009E3908"/>
    <w:rsid w:val="009E4BF7"/>
    <w:rsid w:val="009E532A"/>
    <w:rsid w:val="009E6851"/>
    <w:rsid w:val="009E71CD"/>
    <w:rsid w:val="009E75F5"/>
    <w:rsid w:val="009E7741"/>
    <w:rsid w:val="009F0113"/>
    <w:rsid w:val="009F082D"/>
    <w:rsid w:val="009F3F26"/>
    <w:rsid w:val="009F51FF"/>
    <w:rsid w:val="009F57F2"/>
    <w:rsid w:val="009F659F"/>
    <w:rsid w:val="009F6B57"/>
    <w:rsid w:val="009F7026"/>
    <w:rsid w:val="009F7CF9"/>
    <w:rsid w:val="00A00B39"/>
    <w:rsid w:val="00A04A57"/>
    <w:rsid w:val="00A04DE8"/>
    <w:rsid w:val="00A05BBC"/>
    <w:rsid w:val="00A11ECE"/>
    <w:rsid w:val="00A1305D"/>
    <w:rsid w:val="00A143BE"/>
    <w:rsid w:val="00A20B0F"/>
    <w:rsid w:val="00A22D11"/>
    <w:rsid w:val="00A23462"/>
    <w:rsid w:val="00A25C7B"/>
    <w:rsid w:val="00A262FB"/>
    <w:rsid w:val="00A304AB"/>
    <w:rsid w:val="00A30D12"/>
    <w:rsid w:val="00A30EB7"/>
    <w:rsid w:val="00A31D97"/>
    <w:rsid w:val="00A32641"/>
    <w:rsid w:val="00A334F7"/>
    <w:rsid w:val="00A33CDA"/>
    <w:rsid w:val="00A33E84"/>
    <w:rsid w:val="00A4211E"/>
    <w:rsid w:val="00A42328"/>
    <w:rsid w:val="00A44ED3"/>
    <w:rsid w:val="00A45AF4"/>
    <w:rsid w:val="00A47085"/>
    <w:rsid w:val="00A51EFE"/>
    <w:rsid w:val="00A524E5"/>
    <w:rsid w:val="00A52869"/>
    <w:rsid w:val="00A530FC"/>
    <w:rsid w:val="00A54341"/>
    <w:rsid w:val="00A54675"/>
    <w:rsid w:val="00A54DFF"/>
    <w:rsid w:val="00A56258"/>
    <w:rsid w:val="00A56286"/>
    <w:rsid w:val="00A60935"/>
    <w:rsid w:val="00A617E4"/>
    <w:rsid w:val="00A66C99"/>
    <w:rsid w:val="00A7064F"/>
    <w:rsid w:val="00A72444"/>
    <w:rsid w:val="00A72778"/>
    <w:rsid w:val="00A73E1C"/>
    <w:rsid w:val="00A759EA"/>
    <w:rsid w:val="00A768A1"/>
    <w:rsid w:val="00A80629"/>
    <w:rsid w:val="00A8535E"/>
    <w:rsid w:val="00A86B18"/>
    <w:rsid w:val="00A92AF7"/>
    <w:rsid w:val="00A92F0D"/>
    <w:rsid w:val="00A93879"/>
    <w:rsid w:val="00A93D0D"/>
    <w:rsid w:val="00A94116"/>
    <w:rsid w:val="00A953EA"/>
    <w:rsid w:val="00A9642E"/>
    <w:rsid w:val="00A975B8"/>
    <w:rsid w:val="00AA14EF"/>
    <w:rsid w:val="00AA2431"/>
    <w:rsid w:val="00AA3916"/>
    <w:rsid w:val="00AA3FBD"/>
    <w:rsid w:val="00AA552D"/>
    <w:rsid w:val="00AA6CBA"/>
    <w:rsid w:val="00AA6DB3"/>
    <w:rsid w:val="00AB0ED1"/>
    <w:rsid w:val="00AB1A5B"/>
    <w:rsid w:val="00AB63C4"/>
    <w:rsid w:val="00AB678C"/>
    <w:rsid w:val="00AB701B"/>
    <w:rsid w:val="00AC2110"/>
    <w:rsid w:val="00AC3602"/>
    <w:rsid w:val="00AC3F8A"/>
    <w:rsid w:val="00AC4714"/>
    <w:rsid w:val="00AC511E"/>
    <w:rsid w:val="00AC516E"/>
    <w:rsid w:val="00AC5891"/>
    <w:rsid w:val="00AC7D74"/>
    <w:rsid w:val="00AD24AC"/>
    <w:rsid w:val="00AD2975"/>
    <w:rsid w:val="00AD459B"/>
    <w:rsid w:val="00AD47D1"/>
    <w:rsid w:val="00AD51E8"/>
    <w:rsid w:val="00AD55EA"/>
    <w:rsid w:val="00AD664F"/>
    <w:rsid w:val="00AD694B"/>
    <w:rsid w:val="00AD69FA"/>
    <w:rsid w:val="00AD6A24"/>
    <w:rsid w:val="00AD78FD"/>
    <w:rsid w:val="00AE0130"/>
    <w:rsid w:val="00AE0201"/>
    <w:rsid w:val="00AE0D36"/>
    <w:rsid w:val="00AE0E21"/>
    <w:rsid w:val="00AE22B4"/>
    <w:rsid w:val="00AE50DF"/>
    <w:rsid w:val="00AE5441"/>
    <w:rsid w:val="00AE60AF"/>
    <w:rsid w:val="00AF0CC0"/>
    <w:rsid w:val="00AF200F"/>
    <w:rsid w:val="00AF230E"/>
    <w:rsid w:val="00AF3137"/>
    <w:rsid w:val="00AF31C1"/>
    <w:rsid w:val="00AF3599"/>
    <w:rsid w:val="00AF5686"/>
    <w:rsid w:val="00AF6038"/>
    <w:rsid w:val="00AF6E19"/>
    <w:rsid w:val="00B007F9"/>
    <w:rsid w:val="00B00CFE"/>
    <w:rsid w:val="00B020A8"/>
    <w:rsid w:val="00B02E0E"/>
    <w:rsid w:val="00B0344D"/>
    <w:rsid w:val="00B04B72"/>
    <w:rsid w:val="00B053DC"/>
    <w:rsid w:val="00B05DE7"/>
    <w:rsid w:val="00B0693A"/>
    <w:rsid w:val="00B06B84"/>
    <w:rsid w:val="00B107F4"/>
    <w:rsid w:val="00B12579"/>
    <w:rsid w:val="00B15B46"/>
    <w:rsid w:val="00B15CCC"/>
    <w:rsid w:val="00B167A0"/>
    <w:rsid w:val="00B17DB3"/>
    <w:rsid w:val="00B200B0"/>
    <w:rsid w:val="00B20BF4"/>
    <w:rsid w:val="00B22F33"/>
    <w:rsid w:val="00B237F5"/>
    <w:rsid w:val="00B24B0D"/>
    <w:rsid w:val="00B25F2B"/>
    <w:rsid w:val="00B2647B"/>
    <w:rsid w:val="00B30E5C"/>
    <w:rsid w:val="00B33E8F"/>
    <w:rsid w:val="00B34384"/>
    <w:rsid w:val="00B34658"/>
    <w:rsid w:val="00B34815"/>
    <w:rsid w:val="00B3586D"/>
    <w:rsid w:val="00B4199D"/>
    <w:rsid w:val="00B41D05"/>
    <w:rsid w:val="00B43B92"/>
    <w:rsid w:val="00B440FC"/>
    <w:rsid w:val="00B4444A"/>
    <w:rsid w:val="00B44FE3"/>
    <w:rsid w:val="00B45328"/>
    <w:rsid w:val="00B4572A"/>
    <w:rsid w:val="00B4700E"/>
    <w:rsid w:val="00B47EF8"/>
    <w:rsid w:val="00B51452"/>
    <w:rsid w:val="00B5259B"/>
    <w:rsid w:val="00B55733"/>
    <w:rsid w:val="00B562ED"/>
    <w:rsid w:val="00B569A5"/>
    <w:rsid w:val="00B6023A"/>
    <w:rsid w:val="00B622F4"/>
    <w:rsid w:val="00B628DA"/>
    <w:rsid w:val="00B629B4"/>
    <w:rsid w:val="00B63CEC"/>
    <w:rsid w:val="00B7044D"/>
    <w:rsid w:val="00B707F5"/>
    <w:rsid w:val="00B71587"/>
    <w:rsid w:val="00B71605"/>
    <w:rsid w:val="00B726AC"/>
    <w:rsid w:val="00B7285D"/>
    <w:rsid w:val="00B7605E"/>
    <w:rsid w:val="00B81FCE"/>
    <w:rsid w:val="00B82AC4"/>
    <w:rsid w:val="00B82FBA"/>
    <w:rsid w:val="00B83B62"/>
    <w:rsid w:val="00B84620"/>
    <w:rsid w:val="00B8621D"/>
    <w:rsid w:val="00B870CB"/>
    <w:rsid w:val="00B8776D"/>
    <w:rsid w:val="00B90AB8"/>
    <w:rsid w:val="00B90D13"/>
    <w:rsid w:val="00B910D3"/>
    <w:rsid w:val="00B91670"/>
    <w:rsid w:val="00B922D8"/>
    <w:rsid w:val="00B927EE"/>
    <w:rsid w:val="00B93748"/>
    <w:rsid w:val="00B95E21"/>
    <w:rsid w:val="00B96D92"/>
    <w:rsid w:val="00B97225"/>
    <w:rsid w:val="00BA002E"/>
    <w:rsid w:val="00BA147A"/>
    <w:rsid w:val="00BA1491"/>
    <w:rsid w:val="00BA19F2"/>
    <w:rsid w:val="00BA22C5"/>
    <w:rsid w:val="00BA372F"/>
    <w:rsid w:val="00BA3BE9"/>
    <w:rsid w:val="00BA4E31"/>
    <w:rsid w:val="00BA5221"/>
    <w:rsid w:val="00BA53FB"/>
    <w:rsid w:val="00BB18EF"/>
    <w:rsid w:val="00BB3DF4"/>
    <w:rsid w:val="00BB3F26"/>
    <w:rsid w:val="00BB50AE"/>
    <w:rsid w:val="00BB5190"/>
    <w:rsid w:val="00BB51A7"/>
    <w:rsid w:val="00BB58BB"/>
    <w:rsid w:val="00BB7F51"/>
    <w:rsid w:val="00BC020B"/>
    <w:rsid w:val="00BC2785"/>
    <w:rsid w:val="00BC415E"/>
    <w:rsid w:val="00BC45A6"/>
    <w:rsid w:val="00BD09DB"/>
    <w:rsid w:val="00BD1D06"/>
    <w:rsid w:val="00BD273F"/>
    <w:rsid w:val="00BD3725"/>
    <w:rsid w:val="00BD401E"/>
    <w:rsid w:val="00BD5CDC"/>
    <w:rsid w:val="00BD6110"/>
    <w:rsid w:val="00BD6C94"/>
    <w:rsid w:val="00BE0F4F"/>
    <w:rsid w:val="00BF1BA6"/>
    <w:rsid w:val="00BF33D8"/>
    <w:rsid w:val="00BF3A8A"/>
    <w:rsid w:val="00BF3C94"/>
    <w:rsid w:val="00BF5E90"/>
    <w:rsid w:val="00BF6072"/>
    <w:rsid w:val="00BF6A1F"/>
    <w:rsid w:val="00BF71DE"/>
    <w:rsid w:val="00BF7520"/>
    <w:rsid w:val="00C00AEE"/>
    <w:rsid w:val="00C00E4C"/>
    <w:rsid w:val="00C02F0F"/>
    <w:rsid w:val="00C034B3"/>
    <w:rsid w:val="00C06621"/>
    <w:rsid w:val="00C06DD1"/>
    <w:rsid w:val="00C11832"/>
    <w:rsid w:val="00C13CF8"/>
    <w:rsid w:val="00C1479F"/>
    <w:rsid w:val="00C177E7"/>
    <w:rsid w:val="00C22A8D"/>
    <w:rsid w:val="00C25995"/>
    <w:rsid w:val="00C32DE7"/>
    <w:rsid w:val="00C34B6D"/>
    <w:rsid w:val="00C34BAE"/>
    <w:rsid w:val="00C35F75"/>
    <w:rsid w:val="00C402A4"/>
    <w:rsid w:val="00C40F5E"/>
    <w:rsid w:val="00C41170"/>
    <w:rsid w:val="00C44C31"/>
    <w:rsid w:val="00C45C21"/>
    <w:rsid w:val="00C52256"/>
    <w:rsid w:val="00C53EF1"/>
    <w:rsid w:val="00C55773"/>
    <w:rsid w:val="00C56C5F"/>
    <w:rsid w:val="00C5708B"/>
    <w:rsid w:val="00C570C7"/>
    <w:rsid w:val="00C61835"/>
    <w:rsid w:val="00C62578"/>
    <w:rsid w:val="00C62C11"/>
    <w:rsid w:val="00C62D23"/>
    <w:rsid w:val="00C636A5"/>
    <w:rsid w:val="00C650E8"/>
    <w:rsid w:val="00C6692F"/>
    <w:rsid w:val="00C712AC"/>
    <w:rsid w:val="00C72420"/>
    <w:rsid w:val="00C74794"/>
    <w:rsid w:val="00C753B0"/>
    <w:rsid w:val="00C76C41"/>
    <w:rsid w:val="00C807AD"/>
    <w:rsid w:val="00C829F1"/>
    <w:rsid w:val="00C82EA5"/>
    <w:rsid w:val="00C83D9E"/>
    <w:rsid w:val="00C84003"/>
    <w:rsid w:val="00C85659"/>
    <w:rsid w:val="00C91512"/>
    <w:rsid w:val="00C91E30"/>
    <w:rsid w:val="00C927FD"/>
    <w:rsid w:val="00C92EB5"/>
    <w:rsid w:val="00C938FC"/>
    <w:rsid w:val="00C94FAC"/>
    <w:rsid w:val="00C95E06"/>
    <w:rsid w:val="00C966D6"/>
    <w:rsid w:val="00CA0880"/>
    <w:rsid w:val="00CA13C9"/>
    <w:rsid w:val="00CA180B"/>
    <w:rsid w:val="00CA1A22"/>
    <w:rsid w:val="00CA1FAA"/>
    <w:rsid w:val="00CA21B2"/>
    <w:rsid w:val="00CA2A55"/>
    <w:rsid w:val="00CA44C6"/>
    <w:rsid w:val="00CA4EA0"/>
    <w:rsid w:val="00CA4FBA"/>
    <w:rsid w:val="00CA5F81"/>
    <w:rsid w:val="00CA78CF"/>
    <w:rsid w:val="00CB0671"/>
    <w:rsid w:val="00CB0C6A"/>
    <w:rsid w:val="00CB1C5F"/>
    <w:rsid w:val="00CB4565"/>
    <w:rsid w:val="00CB4DFE"/>
    <w:rsid w:val="00CB59A4"/>
    <w:rsid w:val="00CB5FA8"/>
    <w:rsid w:val="00CC1181"/>
    <w:rsid w:val="00CC121A"/>
    <w:rsid w:val="00CC172C"/>
    <w:rsid w:val="00CC2613"/>
    <w:rsid w:val="00CC286F"/>
    <w:rsid w:val="00CC29E6"/>
    <w:rsid w:val="00CC4818"/>
    <w:rsid w:val="00CC7944"/>
    <w:rsid w:val="00CD3304"/>
    <w:rsid w:val="00CD5E81"/>
    <w:rsid w:val="00CD664A"/>
    <w:rsid w:val="00CD697F"/>
    <w:rsid w:val="00CE3507"/>
    <w:rsid w:val="00CE48DD"/>
    <w:rsid w:val="00CE4A07"/>
    <w:rsid w:val="00CE4E88"/>
    <w:rsid w:val="00CE56E8"/>
    <w:rsid w:val="00CE66A3"/>
    <w:rsid w:val="00CE6DA2"/>
    <w:rsid w:val="00CF0D01"/>
    <w:rsid w:val="00CF161D"/>
    <w:rsid w:val="00CF3AD2"/>
    <w:rsid w:val="00CF40E2"/>
    <w:rsid w:val="00CF4A04"/>
    <w:rsid w:val="00CF5521"/>
    <w:rsid w:val="00CF5D54"/>
    <w:rsid w:val="00CF5DF8"/>
    <w:rsid w:val="00CF6099"/>
    <w:rsid w:val="00CF733B"/>
    <w:rsid w:val="00D001C6"/>
    <w:rsid w:val="00D021D2"/>
    <w:rsid w:val="00D0223E"/>
    <w:rsid w:val="00D02893"/>
    <w:rsid w:val="00D035EE"/>
    <w:rsid w:val="00D03710"/>
    <w:rsid w:val="00D04891"/>
    <w:rsid w:val="00D0795A"/>
    <w:rsid w:val="00D0799D"/>
    <w:rsid w:val="00D121A6"/>
    <w:rsid w:val="00D17467"/>
    <w:rsid w:val="00D1748B"/>
    <w:rsid w:val="00D17C60"/>
    <w:rsid w:val="00D17D3A"/>
    <w:rsid w:val="00D20192"/>
    <w:rsid w:val="00D202CE"/>
    <w:rsid w:val="00D20842"/>
    <w:rsid w:val="00D21065"/>
    <w:rsid w:val="00D21BD6"/>
    <w:rsid w:val="00D26725"/>
    <w:rsid w:val="00D2692F"/>
    <w:rsid w:val="00D27652"/>
    <w:rsid w:val="00D30644"/>
    <w:rsid w:val="00D31587"/>
    <w:rsid w:val="00D33B2D"/>
    <w:rsid w:val="00D344E5"/>
    <w:rsid w:val="00D34FDD"/>
    <w:rsid w:val="00D34FF1"/>
    <w:rsid w:val="00D35B5B"/>
    <w:rsid w:val="00D35BBC"/>
    <w:rsid w:val="00D36AE9"/>
    <w:rsid w:val="00D41603"/>
    <w:rsid w:val="00D42063"/>
    <w:rsid w:val="00D422DA"/>
    <w:rsid w:val="00D42E0C"/>
    <w:rsid w:val="00D43D67"/>
    <w:rsid w:val="00D44EE7"/>
    <w:rsid w:val="00D47E89"/>
    <w:rsid w:val="00D500A5"/>
    <w:rsid w:val="00D504AD"/>
    <w:rsid w:val="00D50FF3"/>
    <w:rsid w:val="00D51274"/>
    <w:rsid w:val="00D51553"/>
    <w:rsid w:val="00D51D54"/>
    <w:rsid w:val="00D536E9"/>
    <w:rsid w:val="00D54510"/>
    <w:rsid w:val="00D55BD7"/>
    <w:rsid w:val="00D56770"/>
    <w:rsid w:val="00D56A62"/>
    <w:rsid w:val="00D57A27"/>
    <w:rsid w:val="00D57E6C"/>
    <w:rsid w:val="00D6231B"/>
    <w:rsid w:val="00D62EFA"/>
    <w:rsid w:val="00D645C7"/>
    <w:rsid w:val="00D6469D"/>
    <w:rsid w:val="00D6558B"/>
    <w:rsid w:val="00D65CB9"/>
    <w:rsid w:val="00D6744C"/>
    <w:rsid w:val="00D7174A"/>
    <w:rsid w:val="00D72EA0"/>
    <w:rsid w:val="00D74A30"/>
    <w:rsid w:val="00D75939"/>
    <w:rsid w:val="00D75F96"/>
    <w:rsid w:val="00D7646F"/>
    <w:rsid w:val="00D847A3"/>
    <w:rsid w:val="00D84F04"/>
    <w:rsid w:val="00D9025B"/>
    <w:rsid w:val="00D90B64"/>
    <w:rsid w:val="00D91ADF"/>
    <w:rsid w:val="00D926C0"/>
    <w:rsid w:val="00D92C20"/>
    <w:rsid w:val="00D9302F"/>
    <w:rsid w:val="00D942D1"/>
    <w:rsid w:val="00D942E9"/>
    <w:rsid w:val="00D947DD"/>
    <w:rsid w:val="00D979B9"/>
    <w:rsid w:val="00DA0696"/>
    <w:rsid w:val="00DA1759"/>
    <w:rsid w:val="00DA4997"/>
    <w:rsid w:val="00DA545A"/>
    <w:rsid w:val="00DA613A"/>
    <w:rsid w:val="00DB01EA"/>
    <w:rsid w:val="00DB0F5E"/>
    <w:rsid w:val="00DB0F8F"/>
    <w:rsid w:val="00DB19FE"/>
    <w:rsid w:val="00DB3D27"/>
    <w:rsid w:val="00DB4081"/>
    <w:rsid w:val="00DB4347"/>
    <w:rsid w:val="00DB49BB"/>
    <w:rsid w:val="00DB59CD"/>
    <w:rsid w:val="00DC0527"/>
    <w:rsid w:val="00DC109A"/>
    <w:rsid w:val="00DC25FE"/>
    <w:rsid w:val="00DC4A34"/>
    <w:rsid w:val="00DC5A1C"/>
    <w:rsid w:val="00DC5FD7"/>
    <w:rsid w:val="00DC6D87"/>
    <w:rsid w:val="00DC6F22"/>
    <w:rsid w:val="00DC6FBA"/>
    <w:rsid w:val="00DD34A6"/>
    <w:rsid w:val="00DD3551"/>
    <w:rsid w:val="00DD4066"/>
    <w:rsid w:val="00DD5F8E"/>
    <w:rsid w:val="00DE07B3"/>
    <w:rsid w:val="00DE15D4"/>
    <w:rsid w:val="00DE1B73"/>
    <w:rsid w:val="00DE1D12"/>
    <w:rsid w:val="00DE31C1"/>
    <w:rsid w:val="00DE3616"/>
    <w:rsid w:val="00DE3A99"/>
    <w:rsid w:val="00DE47E2"/>
    <w:rsid w:val="00DE6DE4"/>
    <w:rsid w:val="00DE719B"/>
    <w:rsid w:val="00DF02C5"/>
    <w:rsid w:val="00DF2FB6"/>
    <w:rsid w:val="00DF3588"/>
    <w:rsid w:val="00DF3DBB"/>
    <w:rsid w:val="00DF50CE"/>
    <w:rsid w:val="00DF69DF"/>
    <w:rsid w:val="00DF6DD6"/>
    <w:rsid w:val="00DF7369"/>
    <w:rsid w:val="00E0029D"/>
    <w:rsid w:val="00E0190F"/>
    <w:rsid w:val="00E02FA2"/>
    <w:rsid w:val="00E032C9"/>
    <w:rsid w:val="00E03494"/>
    <w:rsid w:val="00E0745E"/>
    <w:rsid w:val="00E1084B"/>
    <w:rsid w:val="00E11CA7"/>
    <w:rsid w:val="00E13FC7"/>
    <w:rsid w:val="00E142B1"/>
    <w:rsid w:val="00E151C3"/>
    <w:rsid w:val="00E15FDB"/>
    <w:rsid w:val="00E20328"/>
    <w:rsid w:val="00E20DFC"/>
    <w:rsid w:val="00E26103"/>
    <w:rsid w:val="00E30A73"/>
    <w:rsid w:val="00E36526"/>
    <w:rsid w:val="00E37BB9"/>
    <w:rsid w:val="00E414E4"/>
    <w:rsid w:val="00E41604"/>
    <w:rsid w:val="00E41A89"/>
    <w:rsid w:val="00E4252B"/>
    <w:rsid w:val="00E43AA5"/>
    <w:rsid w:val="00E43AD5"/>
    <w:rsid w:val="00E43D59"/>
    <w:rsid w:val="00E44DF8"/>
    <w:rsid w:val="00E45749"/>
    <w:rsid w:val="00E45941"/>
    <w:rsid w:val="00E47A8C"/>
    <w:rsid w:val="00E50179"/>
    <w:rsid w:val="00E534EF"/>
    <w:rsid w:val="00E53E36"/>
    <w:rsid w:val="00E54781"/>
    <w:rsid w:val="00E60F0D"/>
    <w:rsid w:val="00E61F67"/>
    <w:rsid w:val="00E63591"/>
    <w:rsid w:val="00E63AF1"/>
    <w:rsid w:val="00E63EF0"/>
    <w:rsid w:val="00E64968"/>
    <w:rsid w:val="00E6563B"/>
    <w:rsid w:val="00E669C6"/>
    <w:rsid w:val="00E7104C"/>
    <w:rsid w:val="00E71917"/>
    <w:rsid w:val="00E720E6"/>
    <w:rsid w:val="00E723A5"/>
    <w:rsid w:val="00E73AF8"/>
    <w:rsid w:val="00E73C3B"/>
    <w:rsid w:val="00E76066"/>
    <w:rsid w:val="00E77118"/>
    <w:rsid w:val="00E7798F"/>
    <w:rsid w:val="00E814C1"/>
    <w:rsid w:val="00E82CD1"/>
    <w:rsid w:val="00E83714"/>
    <w:rsid w:val="00E8515B"/>
    <w:rsid w:val="00E8774F"/>
    <w:rsid w:val="00E91F78"/>
    <w:rsid w:val="00E92F72"/>
    <w:rsid w:val="00E9424F"/>
    <w:rsid w:val="00E9632A"/>
    <w:rsid w:val="00E96650"/>
    <w:rsid w:val="00E97849"/>
    <w:rsid w:val="00EA36F7"/>
    <w:rsid w:val="00EA3A2C"/>
    <w:rsid w:val="00EA6632"/>
    <w:rsid w:val="00EA67F9"/>
    <w:rsid w:val="00EA75E1"/>
    <w:rsid w:val="00EA7706"/>
    <w:rsid w:val="00EB0136"/>
    <w:rsid w:val="00EB13C0"/>
    <w:rsid w:val="00EB2F37"/>
    <w:rsid w:val="00EB5732"/>
    <w:rsid w:val="00EB5DB3"/>
    <w:rsid w:val="00EC0049"/>
    <w:rsid w:val="00EC026C"/>
    <w:rsid w:val="00EC13B4"/>
    <w:rsid w:val="00EC39D8"/>
    <w:rsid w:val="00EC3B2C"/>
    <w:rsid w:val="00EC6C59"/>
    <w:rsid w:val="00ED0DB9"/>
    <w:rsid w:val="00ED2CFD"/>
    <w:rsid w:val="00ED7484"/>
    <w:rsid w:val="00EE0E59"/>
    <w:rsid w:val="00EE37B4"/>
    <w:rsid w:val="00EE5676"/>
    <w:rsid w:val="00EE6B81"/>
    <w:rsid w:val="00EE71AB"/>
    <w:rsid w:val="00EE783C"/>
    <w:rsid w:val="00EF309A"/>
    <w:rsid w:val="00EF4E16"/>
    <w:rsid w:val="00EF5A26"/>
    <w:rsid w:val="00F033E1"/>
    <w:rsid w:val="00F04069"/>
    <w:rsid w:val="00F0460E"/>
    <w:rsid w:val="00F050CC"/>
    <w:rsid w:val="00F0563F"/>
    <w:rsid w:val="00F065FC"/>
    <w:rsid w:val="00F140B0"/>
    <w:rsid w:val="00F205EF"/>
    <w:rsid w:val="00F20D21"/>
    <w:rsid w:val="00F20D5A"/>
    <w:rsid w:val="00F20FC1"/>
    <w:rsid w:val="00F21A51"/>
    <w:rsid w:val="00F22B05"/>
    <w:rsid w:val="00F30CDE"/>
    <w:rsid w:val="00F3244D"/>
    <w:rsid w:val="00F32B36"/>
    <w:rsid w:val="00F33FA6"/>
    <w:rsid w:val="00F35243"/>
    <w:rsid w:val="00F41FCB"/>
    <w:rsid w:val="00F42A80"/>
    <w:rsid w:val="00F434D1"/>
    <w:rsid w:val="00F4564E"/>
    <w:rsid w:val="00F45F22"/>
    <w:rsid w:val="00F46400"/>
    <w:rsid w:val="00F46A7D"/>
    <w:rsid w:val="00F51064"/>
    <w:rsid w:val="00F51BA5"/>
    <w:rsid w:val="00F52968"/>
    <w:rsid w:val="00F53A13"/>
    <w:rsid w:val="00F5568B"/>
    <w:rsid w:val="00F55D1E"/>
    <w:rsid w:val="00F56398"/>
    <w:rsid w:val="00F60733"/>
    <w:rsid w:val="00F639A4"/>
    <w:rsid w:val="00F64744"/>
    <w:rsid w:val="00F6785A"/>
    <w:rsid w:val="00F7224B"/>
    <w:rsid w:val="00F731DA"/>
    <w:rsid w:val="00F751E3"/>
    <w:rsid w:val="00F76166"/>
    <w:rsid w:val="00F7635E"/>
    <w:rsid w:val="00F7675A"/>
    <w:rsid w:val="00F77AA1"/>
    <w:rsid w:val="00F81D55"/>
    <w:rsid w:val="00F82362"/>
    <w:rsid w:val="00F8236E"/>
    <w:rsid w:val="00F8272B"/>
    <w:rsid w:val="00F83480"/>
    <w:rsid w:val="00F8379D"/>
    <w:rsid w:val="00F840A9"/>
    <w:rsid w:val="00F852F3"/>
    <w:rsid w:val="00F8577B"/>
    <w:rsid w:val="00F90242"/>
    <w:rsid w:val="00F903AB"/>
    <w:rsid w:val="00F92519"/>
    <w:rsid w:val="00F93B1C"/>
    <w:rsid w:val="00F944D4"/>
    <w:rsid w:val="00F954F1"/>
    <w:rsid w:val="00F97CC3"/>
    <w:rsid w:val="00FA14F6"/>
    <w:rsid w:val="00FA1E8A"/>
    <w:rsid w:val="00FA21FF"/>
    <w:rsid w:val="00FA2DAF"/>
    <w:rsid w:val="00FA4AB7"/>
    <w:rsid w:val="00FA6429"/>
    <w:rsid w:val="00FB032A"/>
    <w:rsid w:val="00FB1329"/>
    <w:rsid w:val="00FB1A50"/>
    <w:rsid w:val="00FB4723"/>
    <w:rsid w:val="00FB4FC6"/>
    <w:rsid w:val="00FB7954"/>
    <w:rsid w:val="00FC12C3"/>
    <w:rsid w:val="00FC26BA"/>
    <w:rsid w:val="00FC26C4"/>
    <w:rsid w:val="00FC2EAB"/>
    <w:rsid w:val="00FC2F49"/>
    <w:rsid w:val="00FC396A"/>
    <w:rsid w:val="00FC41AE"/>
    <w:rsid w:val="00FC4AD0"/>
    <w:rsid w:val="00FC5FEE"/>
    <w:rsid w:val="00FC6E36"/>
    <w:rsid w:val="00FD051B"/>
    <w:rsid w:val="00FD0CD0"/>
    <w:rsid w:val="00FD240C"/>
    <w:rsid w:val="00FD4B40"/>
    <w:rsid w:val="00FD4D83"/>
    <w:rsid w:val="00FD56F0"/>
    <w:rsid w:val="00FD7A38"/>
    <w:rsid w:val="00FE0EE5"/>
    <w:rsid w:val="00FE0F45"/>
    <w:rsid w:val="00FE325C"/>
    <w:rsid w:val="00FE3732"/>
    <w:rsid w:val="00FE3A48"/>
    <w:rsid w:val="00FE7B91"/>
    <w:rsid w:val="00FF2161"/>
    <w:rsid w:val="00FF4E12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53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BB58B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8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/>
    </w:rPr>
  </w:style>
  <w:style w:type="table" w:customStyle="1" w:styleId="LightList1">
    <w:name w:val="Light List1"/>
    <w:basedOn w:val="Tablanormal"/>
    <w:uiPriority w:val="61"/>
    <w:rsid w:val="003428E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3428E7"/>
    <w:pPr>
      <w:tabs>
        <w:tab w:val="decimal" w:pos="360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styleId="nfasissutil">
    <w:name w:val="Subtle Emphasis"/>
    <w:basedOn w:val="Fuentedeprrafopredeter"/>
    <w:uiPriority w:val="19"/>
    <w:qFormat/>
    <w:rsid w:val="003428E7"/>
    <w:rPr>
      <w:i/>
      <w:iCs/>
    </w:rPr>
  </w:style>
  <w:style w:type="table" w:styleId="Sombreadomedio2-nfasis5">
    <w:name w:val="Medium Shading 2 Accent 5"/>
    <w:basedOn w:val="Tablanormal"/>
    <w:uiPriority w:val="64"/>
    <w:rsid w:val="003428E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3664A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0B273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083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AA6C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CBA"/>
    <w:rPr>
      <w:rFonts w:eastAsiaTheme="minorEastAsia"/>
      <w:sz w:val="24"/>
      <w:szCs w:val="24"/>
      <w:lang w:val="en-US" w:eastAsia="ja-JP"/>
    </w:rPr>
  </w:style>
  <w:style w:type="paragraph" w:styleId="Piedepgina">
    <w:name w:val="footer"/>
    <w:basedOn w:val="Normal"/>
    <w:link w:val="PiedepginaCar"/>
    <w:uiPriority w:val="99"/>
    <w:unhideWhenUsed/>
    <w:rsid w:val="00AA6C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CBA"/>
    <w:rPr>
      <w:rFonts w:eastAsiaTheme="minorEastAsia"/>
      <w:sz w:val="24"/>
      <w:szCs w:val="24"/>
      <w:lang w:val="en-US" w:eastAsia="ja-JP"/>
    </w:rPr>
  </w:style>
  <w:style w:type="table" w:customStyle="1" w:styleId="MediumShading11">
    <w:name w:val="Medium Shading 11"/>
    <w:basedOn w:val="Tablanormal"/>
    <w:uiPriority w:val="63"/>
    <w:rsid w:val="00320DB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844A4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3C36C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3C36C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anormal"/>
    <w:uiPriority w:val="63"/>
    <w:rsid w:val="003C36C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3C36C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ha_rosales@uabc.edu.mx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ed.unne.edu.ar/revista/revista165/4_16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selo069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utierrez32@uabc.edu.mx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Mascotas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Hoja3!$AM$56</c:f>
              <c:strCache>
                <c:ptCount val="1"/>
                <c:pt idx="0">
                  <c:v>Mascotas</c:v>
                </c:pt>
              </c:strCache>
            </c:strRef>
          </c:tx>
          <c:invertIfNegative val="0"/>
          <c:cat>
            <c:strRef>
              <c:f>Hoja3!$AL$57:$AL$62</c:f>
              <c:strCache>
                <c:ptCount val="5"/>
                <c:pt idx="0">
                  <c:v>perros y gato</c:v>
                </c:pt>
                <c:pt idx="1">
                  <c:v> gato</c:v>
                </c:pt>
                <c:pt idx="2">
                  <c:v>gatos y peces</c:v>
                </c:pt>
                <c:pt idx="3">
                  <c:v>gato y aves</c:v>
                </c:pt>
                <c:pt idx="4">
                  <c:v>No Tienen</c:v>
                </c:pt>
              </c:strCache>
            </c:strRef>
          </c:cat>
          <c:val>
            <c:numRef>
              <c:f>Hoja3!$AM$57:$AM$62</c:f>
              <c:numCache>
                <c:formatCode>0%</c:formatCode>
                <c:ptCount val="6"/>
                <c:pt idx="0" formatCode="0.00%">
                  <c:v>0.51700000000000002</c:v>
                </c:pt>
                <c:pt idx="1">
                  <c:v>7.0000000000000034E-2</c:v>
                </c:pt>
                <c:pt idx="2" formatCode="0.00%">
                  <c:v>2.300000000000001E-2</c:v>
                </c:pt>
                <c:pt idx="3">
                  <c:v>4.0000000000000091E-2</c:v>
                </c:pt>
                <c:pt idx="4">
                  <c:v>0.35000000000000031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8737024"/>
        <c:axId val="298739200"/>
      </c:barChart>
      <c:catAx>
        <c:axId val="29873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MX"/>
          </a:p>
        </c:txPr>
        <c:crossAx val="298739200"/>
        <c:crosses val="autoZero"/>
        <c:auto val="1"/>
        <c:lblAlgn val="ctr"/>
        <c:lblOffset val="100"/>
        <c:noMultiLvlLbl val="0"/>
      </c:catAx>
      <c:valAx>
        <c:axId val="298739200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MX"/>
          </a:p>
        </c:txPr>
        <c:crossAx val="298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7AA53-DE4C-4ECD-9367-AB3F5DA9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2956</Words>
  <Characters>16263</Characters>
  <Application>Microsoft Office Word</Application>
  <DocSecurity>0</DocSecurity>
  <Lines>135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Gustavo Toledo Andrade</cp:lastModifiedBy>
  <cp:revision>6</cp:revision>
  <cp:lastPrinted>2016-05-23T19:09:00Z</cp:lastPrinted>
  <dcterms:created xsi:type="dcterms:W3CDTF">2016-07-22T00:00:00Z</dcterms:created>
  <dcterms:modified xsi:type="dcterms:W3CDTF">2017-03-13T19:59:00Z</dcterms:modified>
</cp:coreProperties>
</file>