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0BBFC" w14:textId="0093FE1A" w:rsidR="0018154D" w:rsidRPr="008B6226" w:rsidRDefault="008B6226" w:rsidP="0018154D">
      <w:pPr>
        <w:spacing w:before="240" w:line="360" w:lineRule="auto"/>
        <w:jc w:val="right"/>
        <w:rPr>
          <w:rFonts w:ascii="Times New Roman" w:hAnsi="Times New Roman" w:cs="Times New Roman"/>
          <w:b/>
          <w:i/>
          <w:iCs/>
          <w:sz w:val="24"/>
          <w:szCs w:val="24"/>
          <w:lang w:val="es-CL"/>
        </w:rPr>
      </w:pPr>
      <w:r w:rsidRPr="008B6226">
        <w:rPr>
          <w:rFonts w:ascii="Times New Roman" w:hAnsi="Times New Roman" w:cs="Times New Roman"/>
          <w:b/>
          <w:i/>
          <w:iCs/>
          <w:sz w:val="24"/>
          <w:szCs w:val="24"/>
          <w:lang w:val="es-CL"/>
        </w:rPr>
        <w:t>https://doi.org/10.23913/rics.v13i25.126</w:t>
      </w:r>
    </w:p>
    <w:p w14:paraId="608EC5DA" w14:textId="277835E0" w:rsidR="0018154D" w:rsidRPr="003E284C" w:rsidRDefault="0018154D" w:rsidP="0018154D">
      <w:pPr>
        <w:spacing w:before="240" w:line="360" w:lineRule="auto"/>
        <w:jc w:val="right"/>
        <w:rPr>
          <w:rFonts w:ascii="Times New Roman" w:hAnsi="Times New Roman" w:cs="Times New Roman"/>
          <w:b/>
          <w:sz w:val="32"/>
          <w:szCs w:val="32"/>
          <w:lang w:val="es-ES"/>
        </w:rPr>
      </w:pPr>
      <w:r w:rsidRPr="003E284C">
        <w:rPr>
          <w:rFonts w:ascii="Times New Roman" w:hAnsi="Times New Roman" w:cs="Times New Roman"/>
          <w:b/>
          <w:i/>
          <w:iCs/>
          <w:sz w:val="24"/>
          <w:szCs w:val="24"/>
          <w:lang w:val="es-CL"/>
        </w:rPr>
        <w:t>Artículos científicos</w:t>
      </w:r>
    </w:p>
    <w:p w14:paraId="663F20EF" w14:textId="3B986606" w:rsidR="00BD6DD5" w:rsidRPr="003E284C" w:rsidRDefault="00BD6DD5" w:rsidP="0018154D">
      <w:pPr>
        <w:spacing w:after="0" w:line="276" w:lineRule="auto"/>
        <w:jc w:val="right"/>
        <w:rPr>
          <w:rFonts w:ascii="Calibri" w:eastAsia="Times New Roman" w:hAnsi="Calibri" w:cs="Calibri"/>
          <w:b/>
          <w:sz w:val="32"/>
          <w:szCs w:val="32"/>
          <w:lang w:eastAsia="es-MX"/>
        </w:rPr>
      </w:pPr>
      <w:r w:rsidRPr="003E284C">
        <w:rPr>
          <w:rFonts w:ascii="Calibri" w:eastAsia="Times New Roman" w:hAnsi="Calibri" w:cs="Calibri"/>
          <w:b/>
          <w:sz w:val="32"/>
          <w:szCs w:val="32"/>
          <w:lang w:eastAsia="es-MX"/>
        </w:rPr>
        <w:t>F</w:t>
      </w:r>
      <w:r w:rsidR="00995A46" w:rsidRPr="003E284C">
        <w:rPr>
          <w:rFonts w:ascii="Calibri" w:eastAsia="Times New Roman" w:hAnsi="Calibri" w:cs="Calibri"/>
          <w:b/>
          <w:sz w:val="32"/>
          <w:szCs w:val="32"/>
          <w:lang w:eastAsia="es-MX"/>
        </w:rPr>
        <w:t>actores de riesgo de la enfermedad renal oculta en pacientes diabéticos</w:t>
      </w:r>
    </w:p>
    <w:p w14:paraId="70FCEDF9" w14:textId="5B29B1D4" w:rsidR="0067407A" w:rsidRPr="003E284C" w:rsidRDefault="0018154D" w:rsidP="0018154D">
      <w:pPr>
        <w:spacing w:after="0" w:line="276" w:lineRule="auto"/>
        <w:jc w:val="right"/>
        <w:rPr>
          <w:rFonts w:ascii="Calibri" w:eastAsia="Times New Roman" w:hAnsi="Calibri" w:cs="Calibri"/>
          <w:b/>
          <w:i/>
          <w:iCs/>
          <w:sz w:val="28"/>
          <w:szCs w:val="28"/>
          <w:lang w:val="en-US" w:eastAsia="es-MX"/>
        </w:rPr>
      </w:pPr>
      <w:r w:rsidRPr="003E284C">
        <w:rPr>
          <w:rFonts w:ascii="Calibri" w:eastAsia="Times New Roman" w:hAnsi="Calibri" w:cs="Calibri"/>
          <w:b/>
          <w:i/>
          <w:iCs/>
          <w:sz w:val="28"/>
          <w:szCs w:val="28"/>
          <w:lang w:val="en-US" w:eastAsia="es-MX"/>
        </w:rPr>
        <w:br/>
        <w:t>Risk factors that trigger the disease of hidden renal failure in diabetic patients</w:t>
      </w:r>
    </w:p>
    <w:p w14:paraId="259182F9" w14:textId="6997E6AF" w:rsidR="0018154D" w:rsidRPr="003E284C" w:rsidRDefault="0018154D" w:rsidP="0018154D">
      <w:pPr>
        <w:spacing w:after="0" w:line="276" w:lineRule="auto"/>
        <w:jc w:val="right"/>
        <w:rPr>
          <w:rFonts w:ascii="Calibri" w:eastAsia="Times New Roman" w:hAnsi="Calibri" w:cs="Calibri"/>
          <w:b/>
          <w:i/>
          <w:iCs/>
          <w:sz w:val="28"/>
          <w:szCs w:val="28"/>
          <w:lang w:eastAsia="es-MX"/>
        </w:rPr>
      </w:pPr>
      <w:r w:rsidRPr="003E284C">
        <w:rPr>
          <w:rFonts w:ascii="Calibri" w:eastAsia="Times New Roman" w:hAnsi="Calibri" w:cs="Calibri"/>
          <w:b/>
          <w:i/>
          <w:iCs/>
          <w:sz w:val="28"/>
          <w:szCs w:val="28"/>
          <w:lang w:eastAsia="es-MX"/>
        </w:rPr>
        <w:br/>
        <w:t>Fatores de risco para doença renal oculta em pacientes diabéticos</w:t>
      </w:r>
    </w:p>
    <w:p w14:paraId="28C3D656" w14:textId="0379AB28" w:rsidR="0079005D" w:rsidRPr="003E284C" w:rsidRDefault="0018154D" w:rsidP="0018154D">
      <w:pPr>
        <w:spacing w:after="0" w:line="276" w:lineRule="auto"/>
        <w:jc w:val="right"/>
        <w:rPr>
          <w:rFonts w:cstheme="minorHAnsi"/>
          <w:b/>
          <w:sz w:val="24"/>
          <w:szCs w:val="24"/>
        </w:rPr>
      </w:pPr>
      <w:r w:rsidRPr="003E284C">
        <w:rPr>
          <w:rFonts w:ascii="Times New Roman" w:hAnsi="Times New Roman" w:cs="Times New Roman"/>
          <w:b/>
          <w:sz w:val="24"/>
          <w:szCs w:val="24"/>
        </w:rPr>
        <w:br/>
      </w:r>
      <w:r w:rsidR="0079005D" w:rsidRPr="003E284C">
        <w:rPr>
          <w:rFonts w:cstheme="minorHAnsi"/>
          <w:b/>
          <w:sz w:val="24"/>
          <w:szCs w:val="24"/>
        </w:rPr>
        <w:t>Rebeca Sotelo Aldama</w:t>
      </w:r>
    </w:p>
    <w:p w14:paraId="7C02681F" w14:textId="7109A44D" w:rsidR="0079005D" w:rsidRPr="003E284C" w:rsidRDefault="0079005D" w:rsidP="0018154D">
      <w:pPr>
        <w:spacing w:after="0" w:line="276" w:lineRule="auto"/>
        <w:jc w:val="right"/>
        <w:rPr>
          <w:rFonts w:ascii="Times New Roman" w:hAnsi="Times New Roman" w:cs="Times New Roman"/>
          <w:bCs/>
          <w:sz w:val="24"/>
          <w:szCs w:val="24"/>
        </w:rPr>
      </w:pPr>
      <w:r w:rsidRPr="003E284C">
        <w:rPr>
          <w:rFonts w:ascii="Times New Roman" w:hAnsi="Times New Roman" w:cs="Times New Roman"/>
          <w:bCs/>
          <w:sz w:val="24"/>
          <w:szCs w:val="24"/>
        </w:rPr>
        <w:t>Universidad Autónoma de Guerrero, Facultad de Ciencias Naturales, México</w:t>
      </w:r>
    </w:p>
    <w:p w14:paraId="03616706" w14:textId="7771E163" w:rsidR="0079005D" w:rsidRPr="003E284C" w:rsidRDefault="0079005D" w:rsidP="0018154D">
      <w:pPr>
        <w:spacing w:after="0" w:line="276" w:lineRule="auto"/>
        <w:jc w:val="right"/>
        <w:rPr>
          <w:rFonts w:cstheme="minorHAnsi"/>
          <w:bCs/>
          <w:sz w:val="24"/>
          <w:szCs w:val="24"/>
        </w:rPr>
      </w:pPr>
      <w:r w:rsidRPr="003E284C">
        <w:rPr>
          <w:rFonts w:cstheme="minorHAnsi"/>
          <w:bCs/>
          <w:color w:val="FF0000"/>
          <w:sz w:val="24"/>
          <w:szCs w:val="24"/>
        </w:rPr>
        <w:t>16375337@uagro.mx</w:t>
      </w:r>
    </w:p>
    <w:p w14:paraId="4ABA0B19" w14:textId="77777777" w:rsidR="0079005D" w:rsidRPr="003E284C" w:rsidRDefault="0079005D" w:rsidP="0018154D">
      <w:pPr>
        <w:spacing w:after="0" w:line="276" w:lineRule="auto"/>
        <w:jc w:val="right"/>
        <w:rPr>
          <w:rFonts w:ascii="Times New Roman" w:hAnsi="Times New Roman" w:cs="Times New Roman"/>
          <w:bCs/>
          <w:sz w:val="24"/>
          <w:szCs w:val="24"/>
        </w:rPr>
      </w:pPr>
      <w:r w:rsidRPr="003E284C">
        <w:rPr>
          <w:rFonts w:ascii="Times New Roman" w:hAnsi="Times New Roman" w:cs="Times New Roman"/>
          <w:bCs/>
          <w:sz w:val="24"/>
          <w:szCs w:val="24"/>
        </w:rPr>
        <w:t>https://orcid.org/0009-0007-9517-0721</w:t>
      </w:r>
    </w:p>
    <w:p w14:paraId="5E48A794" w14:textId="4A95DC35" w:rsidR="0079005D" w:rsidRPr="003E284C" w:rsidRDefault="0018154D" w:rsidP="0018154D">
      <w:pPr>
        <w:spacing w:after="0" w:line="276" w:lineRule="auto"/>
        <w:jc w:val="right"/>
        <w:rPr>
          <w:rFonts w:cstheme="minorHAnsi"/>
          <w:b/>
          <w:sz w:val="24"/>
          <w:szCs w:val="24"/>
        </w:rPr>
      </w:pPr>
      <w:r w:rsidRPr="003E284C">
        <w:rPr>
          <w:rFonts w:cstheme="minorHAnsi"/>
          <w:b/>
          <w:sz w:val="24"/>
          <w:szCs w:val="24"/>
        </w:rPr>
        <w:br/>
      </w:r>
      <w:r w:rsidR="0079005D" w:rsidRPr="003E284C">
        <w:rPr>
          <w:rFonts w:cstheme="minorHAnsi"/>
          <w:b/>
          <w:sz w:val="24"/>
          <w:szCs w:val="24"/>
        </w:rPr>
        <w:t>Rafaela Villanueva Ramos</w:t>
      </w:r>
    </w:p>
    <w:p w14:paraId="2451CF61" w14:textId="7883BD7F" w:rsidR="0079005D" w:rsidRPr="003E284C" w:rsidRDefault="0079005D" w:rsidP="0018154D">
      <w:pPr>
        <w:spacing w:after="0" w:line="276" w:lineRule="auto"/>
        <w:jc w:val="right"/>
        <w:rPr>
          <w:rFonts w:ascii="Times New Roman" w:hAnsi="Times New Roman" w:cs="Times New Roman"/>
          <w:bCs/>
          <w:sz w:val="24"/>
          <w:szCs w:val="24"/>
        </w:rPr>
      </w:pPr>
      <w:r w:rsidRPr="003E284C">
        <w:rPr>
          <w:rFonts w:ascii="Times New Roman" w:hAnsi="Times New Roman" w:cs="Times New Roman"/>
          <w:bCs/>
          <w:sz w:val="24"/>
          <w:szCs w:val="24"/>
        </w:rPr>
        <w:t>Universidad Autónoma de Guerrero, Facultad de Ciencias Naturales, México</w:t>
      </w:r>
    </w:p>
    <w:p w14:paraId="718D8451" w14:textId="4C923D6F" w:rsidR="0079005D" w:rsidRPr="003E284C" w:rsidRDefault="0079005D" w:rsidP="0018154D">
      <w:pPr>
        <w:spacing w:after="0" w:line="276" w:lineRule="auto"/>
        <w:jc w:val="right"/>
        <w:rPr>
          <w:rFonts w:cstheme="minorHAnsi"/>
          <w:bCs/>
          <w:color w:val="FF0000"/>
          <w:sz w:val="24"/>
          <w:szCs w:val="24"/>
        </w:rPr>
      </w:pPr>
      <w:r w:rsidRPr="003E284C">
        <w:rPr>
          <w:rFonts w:cstheme="minorHAnsi"/>
          <w:bCs/>
          <w:color w:val="FF0000"/>
          <w:sz w:val="24"/>
          <w:szCs w:val="24"/>
        </w:rPr>
        <w:t>19430445@uagro.mx</w:t>
      </w:r>
    </w:p>
    <w:p w14:paraId="5D1A0D96" w14:textId="77777777" w:rsidR="0079005D" w:rsidRPr="003E284C" w:rsidRDefault="0079005D" w:rsidP="0018154D">
      <w:pPr>
        <w:spacing w:after="0" w:line="276" w:lineRule="auto"/>
        <w:jc w:val="right"/>
        <w:rPr>
          <w:rFonts w:ascii="Times New Roman" w:hAnsi="Times New Roman" w:cs="Times New Roman"/>
          <w:bCs/>
          <w:sz w:val="24"/>
          <w:szCs w:val="24"/>
        </w:rPr>
      </w:pPr>
      <w:r w:rsidRPr="003E284C">
        <w:rPr>
          <w:rFonts w:ascii="Times New Roman" w:hAnsi="Times New Roman" w:cs="Times New Roman"/>
          <w:bCs/>
          <w:sz w:val="24"/>
          <w:szCs w:val="24"/>
        </w:rPr>
        <w:t>https://orcid.org/0009-0004-8839-0724</w:t>
      </w:r>
    </w:p>
    <w:p w14:paraId="4B881E90" w14:textId="722DC913" w:rsidR="0079005D" w:rsidRPr="003E284C" w:rsidRDefault="0018154D" w:rsidP="0018154D">
      <w:pPr>
        <w:spacing w:after="0" w:line="276" w:lineRule="auto"/>
        <w:jc w:val="right"/>
        <w:rPr>
          <w:rFonts w:cstheme="minorHAnsi"/>
          <w:b/>
          <w:sz w:val="24"/>
          <w:szCs w:val="24"/>
        </w:rPr>
      </w:pPr>
      <w:r w:rsidRPr="003E284C">
        <w:rPr>
          <w:rFonts w:cstheme="minorHAnsi"/>
          <w:b/>
          <w:sz w:val="24"/>
          <w:szCs w:val="24"/>
        </w:rPr>
        <w:br/>
      </w:r>
      <w:r w:rsidR="0079005D" w:rsidRPr="003E284C">
        <w:rPr>
          <w:rFonts w:cstheme="minorHAnsi"/>
          <w:b/>
          <w:sz w:val="24"/>
          <w:szCs w:val="24"/>
        </w:rPr>
        <w:t>Sandra Quintana Ponce</w:t>
      </w:r>
    </w:p>
    <w:p w14:paraId="400969CE" w14:textId="0A339910" w:rsidR="0079005D" w:rsidRPr="003E284C" w:rsidRDefault="0079005D" w:rsidP="0018154D">
      <w:pPr>
        <w:spacing w:after="0" w:line="276" w:lineRule="auto"/>
        <w:jc w:val="right"/>
        <w:rPr>
          <w:rFonts w:ascii="Times New Roman" w:hAnsi="Times New Roman" w:cs="Times New Roman"/>
          <w:b/>
          <w:sz w:val="24"/>
          <w:szCs w:val="24"/>
        </w:rPr>
      </w:pPr>
      <w:r w:rsidRPr="003E284C">
        <w:rPr>
          <w:rFonts w:ascii="Times New Roman" w:hAnsi="Times New Roman" w:cs="Times New Roman"/>
          <w:bCs/>
          <w:sz w:val="24"/>
          <w:szCs w:val="24"/>
        </w:rPr>
        <w:t>Universidad Autónoma de Guerrero, Facultad de Ciencias Naturales, México</w:t>
      </w:r>
    </w:p>
    <w:p w14:paraId="442CE877" w14:textId="6CFAFA37" w:rsidR="0079005D" w:rsidRPr="003E284C" w:rsidRDefault="0079005D" w:rsidP="0018154D">
      <w:pPr>
        <w:spacing w:after="0" w:line="276" w:lineRule="auto"/>
        <w:jc w:val="right"/>
        <w:rPr>
          <w:rFonts w:cstheme="minorHAnsi"/>
          <w:bCs/>
          <w:color w:val="FF0000"/>
          <w:sz w:val="24"/>
          <w:szCs w:val="24"/>
        </w:rPr>
      </w:pPr>
      <w:r w:rsidRPr="003E284C">
        <w:rPr>
          <w:rFonts w:cstheme="minorHAnsi"/>
          <w:bCs/>
          <w:color w:val="FF0000"/>
          <w:sz w:val="24"/>
          <w:szCs w:val="24"/>
        </w:rPr>
        <w:t xml:space="preserve">squintanap@uagrovirtual.mx </w:t>
      </w:r>
    </w:p>
    <w:p w14:paraId="09DEF4E6" w14:textId="77777777" w:rsidR="0079005D" w:rsidRPr="003E284C" w:rsidRDefault="0079005D" w:rsidP="0018154D">
      <w:pPr>
        <w:spacing w:after="0" w:line="276" w:lineRule="auto"/>
        <w:jc w:val="right"/>
        <w:rPr>
          <w:rFonts w:ascii="Times New Roman" w:hAnsi="Times New Roman" w:cs="Times New Roman"/>
          <w:bCs/>
          <w:sz w:val="24"/>
          <w:szCs w:val="24"/>
        </w:rPr>
      </w:pPr>
      <w:r w:rsidRPr="003E284C">
        <w:rPr>
          <w:rFonts w:ascii="Times New Roman" w:hAnsi="Times New Roman" w:cs="Times New Roman"/>
          <w:bCs/>
          <w:sz w:val="24"/>
          <w:szCs w:val="24"/>
        </w:rPr>
        <w:t>https://orcid.org/0000-0001-7184-994X</w:t>
      </w:r>
    </w:p>
    <w:p w14:paraId="4965E2F6" w14:textId="6187C65A" w:rsidR="0079005D" w:rsidRPr="003E284C" w:rsidRDefault="0018154D" w:rsidP="0018154D">
      <w:pPr>
        <w:spacing w:after="0" w:line="276" w:lineRule="auto"/>
        <w:jc w:val="right"/>
        <w:rPr>
          <w:rFonts w:cstheme="minorHAnsi"/>
          <w:b/>
          <w:sz w:val="24"/>
          <w:szCs w:val="24"/>
        </w:rPr>
      </w:pPr>
      <w:r w:rsidRPr="003E284C">
        <w:rPr>
          <w:rFonts w:ascii="Times New Roman" w:hAnsi="Times New Roman" w:cs="Times New Roman"/>
          <w:b/>
          <w:sz w:val="24"/>
          <w:szCs w:val="24"/>
        </w:rPr>
        <w:br/>
      </w:r>
      <w:r w:rsidR="0079005D" w:rsidRPr="003E284C">
        <w:rPr>
          <w:rFonts w:cstheme="minorHAnsi"/>
          <w:b/>
          <w:sz w:val="24"/>
          <w:szCs w:val="24"/>
        </w:rPr>
        <w:t>Rocío Guadalupe Hernández Nava</w:t>
      </w:r>
    </w:p>
    <w:p w14:paraId="64C0D52D" w14:textId="667DFBD9" w:rsidR="0079005D" w:rsidRPr="003E284C" w:rsidRDefault="0079005D" w:rsidP="0018154D">
      <w:pPr>
        <w:spacing w:after="0" w:line="276" w:lineRule="auto"/>
        <w:jc w:val="right"/>
        <w:rPr>
          <w:rFonts w:ascii="Times New Roman" w:hAnsi="Times New Roman" w:cs="Times New Roman"/>
          <w:bCs/>
          <w:sz w:val="24"/>
          <w:szCs w:val="24"/>
        </w:rPr>
      </w:pPr>
      <w:r w:rsidRPr="003E284C">
        <w:rPr>
          <w:rFonts w:ascii="Times New Roman" w:hAnsi="Times New Roman" w:cs="Times New Roman"/>
          <w:bCs/>
          <w:sz w:val="24"/>
          <w:szCs w:val="24"/>
        </w:rPr>
        <w:t xml:space="preserve">Universidad Autónoma de Guerrero, Escuela Superior de Nutrición y Ciencia de los Alimentos, México </w:t>
      </w:r>
    </w:p>
    <w:p w14:paraId="54BF0912" w14:textId="7C797CE1" w:rsidR="0079005D" w:rsidRPr="003E284C" w:rsidRDefault="0079005D" w:rsidP="0018154D">
      <w:pPr>
        <w:spacing w:after="0" w:line="276" w:lineRule="auto"/>
        <w:jc w:val="right"/>
        <w:rPr>
          <w:rFonts w:cstheme="minorHAnsi"/>
          <w:bCs/>
          <w:color w:val="FF0000"/>
          <w:sz w:val="24"/>
          <w:szCs w:val="24"/>
        </w:rPr>
      </w:pPr>
      <w:r w:rsidRPr="003E284C">
        <w:rPr>
          <w:rFonts w:cstheme="minorHAnsi"/>
          <w:bCs/>
          <w:color w:val="FF0000"/>
          <w:sz w:val="24"/>
          <w:szCs w:val="24"/>
        </w:rPr>
        <w:t>rociohernandez@uagro.mx</w:t>
      </w:r>
    </w:p>
    <w:p w14:paraId="3FCBDCB1" w14:textId="77777777" w:rsidR="0079005D" w:rsidRPr="003E284C" w:rsidRDefault="0079005D" w:rsidP="0018154D">
      <w:pPr>
        <w:spacing w:after="0" w:line="276" w:lineRule="auto"/>
        <w:jc w:val="right"/>
        <w:rPr>
          <w:rFonts w:ascii="Times New Roman" w:hAnsi="Times New Roman" w:cs="Times New Roman"/>
          <w:bCs/>
          <w:sz w:val="24"/>
          <w:szCs w:val="24"/>
        </w:rPr>
      </w:pPr>
      <w:r w:rsidRPr="003E284C">
        <w:rPr>
          <w:rFonts w:ascii="Times New Roman" w:hAnsi="Times New Roman" w:cs="Times New Roman"/>
          <w:bCs/>
          <w:sz w:val="24"/>
          <w:szCs w:val="24"/>
        </w:rPr>
        <w:t>https://orcid.org/0000-0002-3239-2059</w:t>
      </w:r>
    </w:p>
    <w:p w14:paraId="0ADE5463" w14:textId="30D14CA1" w:rsidR="0079005D" w:rsidRPr="003E284C" w:rsidRDefault="0018154D" w:rsidP="0018154D">
      <w:pPr>
        <w:spacing w:after="0" w:line="276" w:lineRule="auto"/>
        <w:jc w:val="right"/>
        <w:rPr>
          <w:rFonts w:cstheme="minorHAnsi"/>
          <w:b/>
          <w:sz w:val="24"/>
          <w:szCs w:val="24"/>
        </w:rPr>
      </w:pPr>
      <w:r w:rsidRPr="003E284C">
        <w:rPr>
          <w:rFonts w:ascii="Times New Roman" w:hAnsi="Times New Roman" w:cs="Times New Roman"/>
          <w:b/>
          <w:sz w:val="24"/>
          <w:szCs w:val="24"/>
        </w:rPr>
        <w:br/>
      </w:r>
      <w:r w:rsidR="0079005D" w:rsidRPr="003E284C">
        <w:rPr>
          <w:rFonts w:cstheme="minorHAnsi"/>
          <w:b/>
          <w:sz w:val="24"/>
          <w:szCs w:val="24"/>
        </w:rPr>
        <w:t>Nicolás Rogelio Eric Barlandas Rendón</w:t>
      </w:r>
    </w:p>
    <w:p w14:paraId="0E580487" w14:textId="4125E98F" w:rsidR="0079005D" w:rsidRPr="003E284C" w:rsidRDefault="0079005D" w:rsidP="0018154D">
      <w:pPr>
        <w:spacing w:after="0" w:line="276" w:lineRule="auto"/>
        <w:jc w:val="right"/>
        <w:rPr>
          <w:rFonts w:ascii="Times New Roman" w:hAnsi="Times New Roman" w:cs="Times New Roman"/>
          <w:bCs/>
          <w:sz w:val="24"/>
          <w:szCs w:val="24"/>
        </w:rPr>
      </w:pPr>
      <w:r w:rsidRPr="003E284C">
        <w:rPr>
          <w:rFonts w:ascii="Times New Roman" w:hAnsi="Times New Roman" w:cs="Times New Roman"/>
          <w:bCs/>
          <w:sz w:val="24"/>
          <w:szCs w:val="24"/>
        </w:rPr>
        <w:t>Universidad Autónoma de Guerrero, Facultad de Ciencias Naturales, México</w:t>
      </w:r>
    </w:p>
    <w:p w14:paraId="61B2691C" w14:textId="58649BC4" w:rsidR="0079005D" w:rsidRPr="003E284C" w:rsidRDefault="0079005D" w:rsidP="0018154D">
      <w:pPr>
        <w:spacing w:after="0" w:line="276" w:lineRule="auto"/>
        <w:jc w:val="right"/>
        <w:rPr>
          <w:rFonts w:cstheme="minorHAnsi"/>
          <w:color w:val="FF0000"/>
        </w:rPr>
      </w:pPr>
      <w:r w:rsidRPr="003E284C">
        <w:rPr>
          <w:rFonts w:cstheme="minorHAnsi"/>
          <w:bCs/>
          <w:color w:val="FF0000"/>
          <w:sz w:val="24"/>
          <w:szCs w:val="24"/>
        </w:rPr>
        <w:t>barlandas@outlook.com</w:t>
      </w:r>
    </w:p>
    <w:p w14:paraId="0DD3C643" w14:textId="76C90CFB" w:rsidR="0079005D" w:rsidRPr="003E284C" w:rsidRDefault="0079005D" w:rsidP="0018154D">
      <w:pPr>
        <w:spacing w:after="0" w:line="276" w:lineRule="auto"/>
        <w:jc w:val="right"/>
        <w:rPr>
          <w:rFonts w:ascii="Times New Roman" w:hAnsi="Times New Roman" w:cs="Times New Roman"/>
          <w:b/>
          <w:sz w:val="16"/>
          <w:szCs w:val="16"/>
        </w:rPr>
      </w:pPr>
      <w:r w:rsidRPr="003E284C">
        <w:rPr>
          <w:rFonts w:ascii="Times New Roman" w:hAnsi="Times New Roman" w:cs="Times New Roman"/>
          <w:bCs/>
          <w:sz w:val="24"/>
          <w:szCs w:val="24"/>
        </w:rPr>
        <w:t>https://orcid.org/0000-0003-0196-886</w:t>
      </w:r>
      <w:r w:rsidR="008B6226">
        <w:rPr>
          <w:rFonts w:ascii="Times New Roman" w:hAnsi="Times New Roman" w:cs="Times New Roman"/>
          <w:bCs/>
          <w:sz w:val="24"/>
          <w:szCs w:val="24"/>
        </w:rPr>
        <w:t>8</w:t>
      </w:r>
    </w:p>
    <w:p w14:paraId="57B9A25E" w14:textId="77777777" w:rsidR="0018154D" w:rsidRPr="003E284C" w:rsidRDefault="0018154D" w:rsidP="00BD6DD5">
      <w:pPr>
        <w:spacing w:line="360" w:lineRule="auto"/>
        <w:rPr>
          <w:rFonts w:cstheme="minorHAnsi"/>
          <w:b/>
          <w:sz w:val="28"/>
          <w:szCs w:val="28"/>
          <w:lang w:val="es-ES"/>
        </w:rPr>
      </w:pPr>
    </w:p>
    <w:p w14:paraId="3E14E8FD" w14:textId="77777777" w:rsidR="0018154D" w:rsidRPr="003E284C" w:rsidRDefault="0018154D" w:rsidP="00BD6DD5">
      <w:pPr>
        <w:spacing w:line="360" w:lineRule="auto"/>
        <w:rPr>
          <w:rFonts w:cstheme="minorHAnsi"/>
          <w:b/>
          <w:sz w:val="28"/>
          <w:szCs w:val="28"/>
          <w:lang w:val="es-ES"/>
        </w:rPr>
      </w:pPr>
    </w:p>
    <w:p w14:paraId="728B142C" w14:textId="0796C51F" w:rsidR="00BD6DD5" w:rsidRPr="003E284C" w:rsidRDefault="00BD6DD5" w:rsidP="0018154D">
      <w:pPr>
        <w:spacing w:after="0" w:line="360" w:lineRule="auto"/>
        <w:rPr>
          <w:rFonts w:cstheme="minorHAnsi"/>
          <w:b/>
          <w:sz w:val="28"/>
          <w:szCs w:val="28"/>
          <w:lang w:val="es-ES"/>
        </w:rPr>
      </w:pPr>
      <w:r w:rsidRPr="003E284C">
        <w:rPr>
          <w:rFonts w:cstheme="minorHAnsi"/>
          <w:b/>
          <w:sz w:val="28"/>
          <w:szCs w:val="28"/>
          <w:lang w:val="es-ES"/>
        </w:rPr>
        <w:lastRenderedPageBreak/>
        <w:t>Resumen</w:t>
      </w:r>
    </w:p>
    <w:p w14:paraId="2F880277" w14:textId="078AE033" w:rsidR="00825FFA" w:rsidRPr="003E284C" w:rsidRDefault="00BD6DD5" w:rsidP="00BD6DD5">
      <w:pPr>
        <w:pStyle w:val="Normal1"/>
        <w:ind w:firstLine="0"/>
        <w:rPr>
          <w:rStyle w:val="selectable-text"/>
          <w:color w:val="auto"/>
          <w:lang w:val="es-ES"/>
        </w:rPr>
      </w:pPr>
      <w:r w:rsidRPr="003E284C">
        <w:rPr>
          <w:b/>
          <w:bCs/>
          <w:color w:val="auto"/>
          <w:lang w:val="es-ES"/>
        </w:rPr>
        <w:t>Introducción:</w:t>
      </w:r>
      <w:r w:rsidRPr="003E284C">
        <w:rPr>
          <w:color w:val="auto"/>
          <w:lang w:val="es-ES"/>
        </w:rPr>
        <w:t xml:space="preserve"> </w:t>
      </w:r>
      <w:r w:rsidRPr="003E284C">
        <w:rPr>
          <w:rStyle w:val="selectable-text"/>
          <w:color w:val="auto"/>
          <w:lang w:val="es-ES"/>
        </w:rPr>
        <w:t>La insuficiencia renal (IR) ha emergido como un significativo problema de salud pública en México. El Instituto Nacional de Estadística y Geografía (INEGI) la ha clasificado como la décima causa de mortalidad en el país</w:t>
      </w:r>
      <w:r w:rsidR="00344FD0" w:rsidRPr="003E284C">
        <w:rPr>
          <w:rStyle w:val="selectable-text"/>
          <w:color w:val="auto"/>
          <w:lang w:val="es-ES"/>
        </w:rPr>
        <w:t xml:space="preserve"> en la población femenina</w:t>
      </w:r>
      <w:r w:rsidRPr="003E284C">
        <w:rPr>
          <w:rStyle w:val="selectable-text"/>
          <w:color w:val="auto"/>
          <w:lang w:val="es-ES"/>
        </w:rPr>
        <w:t xml:space="preserve">. Por ende, la detección temprana se ha vuelto esencial, especialmente en el caso de la </w:t>
      </w:r>
      <w:r w:rsidR="00995A46" w:rsidRPr="003E284C">
        <w:rPr>
          <w:rStyle w:val="selectable-text"/>
          <w:color w:val="auto"/>
          <w:lang w:val="es-ES"/>
        </w:rPr>
        <w:t xml:space="preserve">enfermedad renal oculta </w:t>
      </w:r>
      <w:r w:rsidRPr="003E284C">
        <w:rPr>
          <w:rStyle w:val="selectable-text"/>
          <w:color w:val="auto"/>
          <w:lang w:val="es-ES"/>
        </w:rPr>
        <w:t xml:space="preserve">(ERO), que afecta de manera notable a la población diabética. </w:t>
      </w:r>
      <w:r w:rsidRPr="003E284C">
        <w:rPr>
          <w:b/>
          <w:bCs/>
          <w:color w:val="auto"/>
          <w:lang w:val="es-ES"/>
        </w:rPr>
        <w:t>Objetivo:</w:t>
      </w:r>
      <w:r w:rsidRPr="003E284C">
        <w:rPr>
          <w:color w:val="auto"/>
          <w:lang w:val="es-ES"/>
        </w:rPr>
        <w:t xml:space="preserve"> </w:t>
      </w:r>
      <w:r w:rsidRPr="003E284C">
        <w:rPr>
          <w:rStyle w:val="selectable-text"/>
          <w:color w:val="auto"/>
          <w:lang w:val="es-ES"/>
        </w:rPr>
        <w:t xml:space="preserve">Identificar los factores de riesgo que inciden en la presencia de ERO en pacientes con diabetes tipo II (DM2). </w:t>
      </w:r>
      <w:r w:rsidRPr="003E284C">
        <w:rPr>
          <w:b/>
          <w:bCs/>
          <w:color w:val="auto"/>
          <w:lang w:val="es-ES"/>
        </w:rPr>
        <w:t>Metodología:</w:t>
      </w:r>
      <w:r w:rsidRPr="003E284C">
        <w:rPr>
          <w:color w:val="auto"/>
          <w:lang w:val="es-ES"/>
        </w:rPr>
        <w:t xml:space="preserve"> Se llev</w:t>
      </w:r>
      <w:r w:rsidR="00995A46" w:rsidRPr="003E284C">
        <w:rPr>
          <w:color w:val="auto"/>
          <w:lang w:val="es-ES"/>
        </w:rPr>
        <w:t>ó</w:t>
      </w:r>
      <w:r w:rsidRPr="003E284C">
        <w:rPr>
          <w:color w:val="auto"/>
          <w:lang w:val="es-ES"/>
        </w:rPr>
        <w:t xml:space="preserve"> a cabo un</w:t>
      </w:r>
      <w:r w:rsidRPr="003E284C">
        <w:rPr>
          <w:rStyle w:val="selectable-text"/>
          <w:color w:val="auto"/>
          <w:lang w:val="es-ES"/>
        </w:rPr>
        <w:t xml:space="preserve"> estudio transversal, analítico y descriptivo en un</w:t>
      </w:r>
      <w:r w:rsidR="00911106" w:rsidRPr="003E284C">
        <w:rPr>
          <w:rStyle w:val="selectable-text"/>
          <w:color w:val="auto"/>
          <w:lang w:val="es-ES"/>
        </w:rPr>
        <w:t xml:space="preserve"> muestreo </w:t>
      </w:r>
      <w:r w:rsidRPr="003E284C">
        <w:rPr>
          <w:rStyle w:val="selectable-text"/>
          <w:color w:val="auto"/>
          <w:lang w:val="es-ES"/>
        </w:rPr>
        <w:t>de 352 pacientes</w:t>
      </w:r>
      <w:r w:rsidR="00C07318" w:rsidRPr="003E284C">
        <w:rPr>
          <w:rStyle w:val="selectable-text"/>
          <w:color w:val="auto"/>
          <w:lang w:val="es-ES"/>
        </w:rPr>
        <w:t>,</w:t>
      </w:r>
      <w:r w:rsidR="00995A46" w:rsidRPr="003E284C">
        <w:rPr>
          <w:rStyle w:val="selectable-text"/>
          <w:color w:val="auto"/>
          <w:lang w:val="es-ES"/>
        </w:rPr>
        <w:t xml:space="preserve"> </w:t>
      </w:r>
      <w:r w:rsidR="00C07318" w:rsidRPr="003E284C">
        <w:rPr>
          <w:rStyle w:val="selectable-text"/>
          <w:color w:val="auto"/>
          <w:lang w:val="es-ES"/>
        </w:rPr>
        <w:t>de los cuales 149</w:t>
      </w:r>
      <w:r w:rsidR="00995A46" w:rsidRPr="003E284C">
        <w:rPr>
          <w:rStyle w:val="selectable-text"/>
          <w:color w:val="auto"/>
          <w:lang w:val="es-ES"/>
        </w:rPr>
        <w:t xml:space="preserve"> </w:t>
      </w:r>
      <w:r w:rsidR="00166FF7" w:rsidRPr="003E284C">
        <w:rPr>
          <w:rStyle w:val="selectable-text"/>
          <w:color w:val="auto"/>
          <w:lang w:val="es-ES"/>
        </w:rPr>
        <w:t>procedían</w:t>
      </w:r>
      <w:r w:rsidRPr="003E284C">
        <w:rPr>
          <w:rStyle w:val="selectable-text"/>
          <w:color w:val="auto"/>
          <w:lang w:val="es-ES"/>
        </w:rPr>
        <w:t xml:space="preserve"> de </w:t>
      </w:r>
      <w:r w:rsidR="002360EC" w:rsidRPr="003E284C">
        <w:rPr>
          <w:rStyle w:val="selectable-text"/>
          <w:color w:val="auto"/>
          <w:lang w:val="es-ES"/>
        </w:rPr>
        <w:t xml:space="preserve">la ciudad </w:t>
      </w:r>
      <w:r w:rsidR="00C07318" w:rsidRPr="003E284C">
        <w:rPr>
          <w:rStyle w:val="selectable-text"/>
          <w:color w:val="auto"/>
          <w:lang w:val="es-ES"/>
        </w:rPr>
        <w:t xml:space="preserve">de </w:t>
      </w:r>
      <w:r w:rsidRPr="003E284C">
        <w:rPr>
          <w:rStyle w:val="selectable-text"/>
          <w:color w:val="auto"/>
          <w:lang w:val="es-ES"/>
        </w:rPr>
        <w:t>Chilpancingo de los Bravo, Guerrero, y</w:t>
      </w:r>
      <w:r w:rsidR="00995A46" w:rsidRPr="003E284C">
        <w:rPr>
          <w:rStyle w:val="selectable-text"/>
          <w:color w:val="auto"/>
          <w:lang w:val="es-ES"/>
        </w:rPr>
        <w:t xml:space="preserve"> </w:t>
      </w:r>
      <w:r w:rsidR="00C07318" w:rsidRPr="003E284C">
        <w:rPr>
          <w:rStyle w:val="selectable-text"/>
          <w:color w:val="auto"/>
          <w:lang w:val="es-ES"/>
        </w:rPr>
        <w:t>206</w:t>
      </w:r>
      <w:r w:rsidR="00995A46" w:rsidRPr="003E284C">
        <w:rPr>
          <w:rStyle w:val="selectable-text"/>
          <w:color w:val="auto"/>
          <w:lang w:val="es-ES"/>
        </w:rPr>
        <w:t xml:space="preserve"> </w:t>
      </w:r>
      <w:r w:rsidRPr="003E284C">
        <w:rPr>
          <w:rStyle w:val="selectable-text"/>
          <w:color w:val="auto"/>
          <w:lang w:val="es-ES"/>
        </w:rPr>
        <w:t xml:space="preserve">del </w:t>
      </w:r>
      <w:r w:rsidR="00995A46" w:rsidRPr="003E284C">
        <w:rPr>
          <w:rStyle w:val="selectable-text"/>
          <w:color w:val="auto"/>
          <w:lang w:val="es-ES"/>
        </w:rPr>
        <w:t>m</w:t>
      </w:r>
      <w:r w:rsidRPr="003E284C">
        <w:rPr>
          <w:rStyle w:val="selectable-text"/>
          <w:color w:val="auto"/>
          <w:lang w:val="es-ES"/>
        </w:rPr>
        <w:t>unicipio de Olinalá, en la Región Montaña del Estado de Guerrero</w:t>
      </w:r>
      <w:r w:rsidR="00825FFA" w:rsidRPr="003E284C">
        <w:rPr>
          <w:rStyle w:val="selectable-text"/>
          <w:color w:val="auto"/>
          <w:lang w:val="es-ES"/>
        </w:rPr>
        <w:t>.</w:t>
      </w:r>
      <w:r w:rsidR="00995A46" w:rsidRPr="003E284C">
        <w:rPr>
          <w:rStyle w:val="selectable-text"/>
          <w:color w:val="auto"/>
          <w:lang w:val="es-ES"/>
        </w:rPr>
        <w:t xml:space="preserve"> </w:t>
      </w:r>
      <w:r w:rsidR="00C07318" w:rsidRPr="003E284C">
        <w:rPr>
          <w:rStyle w:val="selectable-text"/>
          <w:color w:val="auto"/>
          <w:lang w:val="es-ES"/>
        </w:rPr>
        <w:t>L</w:t>
      </w:r>
      <w:r w:rsidR="00790516" w:rsidRPr="003E284C">
        <w:rPr>
          <w:rStyle w:val="selectable-text"/>
          <w:color w:val="auto"/>
          <w:lang w:val="es-ES"/>
        </w:rPr>
        <w:t xml:space="preserve">os </w:t>
      </w:r>
      <w:r w:rsidR="00C07318" w:rsidRPr="003E284C">
        <w:rPr>
          <w:rStyle w:val="selectable-text"/>
          <w:color w:val="auto"/>
          <w:lang w:val="es-ES"/>
        </w:rPr>
        <w:t>pacientes que</w:t>
      </w:r>
      <w:r w:rsidR="003436A2" w:rsidRPr="003E284C">
        <w:rPr>
          <w:rStyle w:val="selectable-text"/>
          <w:color w:val="auto"/>
          <w:lang w:val="es-ES"/>
        </w:rPr>
        <w:t xml:space="preserve"> aceptaron </w:t>
      </w:r>
      <w:r w:rsidR="00166FF7" w:rsidRPr="003E284C">
        <w:rPr>
          <w:rStyle w:val="selectable-text"/>
          <w:color w:val="auto"/>
          <w:lang w:val="es-ES"/>
        </w:rPr>
        <w:t>participar</w:t>
      </w:r>
      <w:r w:rsidR="003436A2" w:rsidRPr="003E284C">
        <w:rPr>
          <w:rStyle w:val="selectable-text"/>
          <w:color w:val="auto"/>
          <w:lang w:val="es-ES"/>
        </w:rPr>
        <w:t xml:space="preserve"> </w:t>
      </w:r>
      <w:r w:rsidR="00C07318" w:rsidRPr="003E284C">
        <w:rPr>
          <w:rStyle w:val="selectable-text"/>
          <w:color w:val="auto"/>
          <w:lang w:val="es-ES"/>
        </w:rPr>
        <w:t>lo ratificaron</w:t>
      </w:r>
      <w:r w:rsidR="003436A2" w:rsidRPr="003E284C">
        <w:rPr>
          <w:rStyle w:val="selectable-text"/>
          <w:color w:val="auto"/>
          <w:lang w:val="es-ES"/>
        </w:rPr>
        <w:t xml:space="preserve"> </w:t>
      </w:r>
      <w:r w:rsidR="00790516" w:rsidRPr="003E284C">
        <w:rPr>
          <w:rStyle w:val="selectable-text"/>
          <w:color w:val="auto"/>
          <w:lang w:val="es-ES"/>
        </w:rPr>
        <w:t xml:space="preserve">a través de </w:t>
      </w:r>
      <w:r w:rsidR="003436A2" w:rsidRPr="003E284C">
        <w:rPr>
          <w:rStyle w:val="selectable-text"/>
          <w:color w:val="auto"/>
          <w:lang w:val="es-ES"/>
        </w:rPr>
        <w:t>la firma de la</w:t>
      </w:r>
      <w:r w:rsidR="00995A46" w:rsidRPr="003E284C">
        <w:rPr>
          <w:rStyle w:val="selectable-text"/>
          <w:color w:val="auto"/>
          <w:lang w:val="es-ES"/>
        </w:rPr>
        <w:t xml:space="preserve"> </w:t>
      </w:r>
      <w:r w:rsidR="00790516" w:rsidRPr="003E284C">
        <w:rPr>
          <w:rStyle w:val="selectable-text"/>
          <w:color w:val="auto"/>
          <w:lang w:val="es-ES"/>
        </w:rPr>
        <w:t>carta de consentimiento informado.</w:t>
      </w:r>
    </w:p>
    <w:p w14:paraId="416CAD92" w14:textId="032C13B1" w:rsidR="00BD6DD5" w:rsidRPr="003E284C" w:rsidRDefault="00BD6DD5" w:rsidP="00BD6DD5">
      <w:pPr>
        <w:pStyle w:val="Normal1"/>
        <w:ind w:firstLine="0"/>
        <w:rPr>
          <w:color w:val="auto"/>
          <w:lang w:val="es-ES"/>
        </w:rPr>
      </w:pPr>
      <w:r w:rsidRPr="003E284C">
        <w:rPr>
          <w:rStyle w:val="selectable-text"/>
          <w:color w:val="auto"/>
          <w:lang w:val="es-ES"/>
        </w:rPr>
        <w:t xml:space="preserve">En este estudio, se realizaron mediciones antropométricas, se midió la presión arterial y se recopilaron parámetros bioquímicos. Los resultados se registraron en una hoja de cálculo de Excel 2021 y </w:t>
      </w:r>
      <w:r w:rsidR="009A6AA1" w:rsidRPr="003E284C">
        <w:rPr>
          <w:rStyle w:val="selectable-text"/>
          <w:color w:val="auto"/>
          <w:lang w:val="es-ES"/>
        </w:rPr>
        <w:t xml:space="preserve">para el análisis estadístico </w:t>
      </w:r>
      <w:r w:rsidRPr="003E284C">
        <w:rPr>
          <w:rStyle w:val="selectable-text"/>
          <w:color w:val="auto"/>
          <w:lang w:val="es-ES"/>
        </w:rPr>
        <w:t xml:space="preserve">se utilizó el </w:t>
      </w:r>
      <w:r w:rsidRPr="003E284C">
        <w:rPr>
          <w:rStyle w:val="selectable-text"/>
          <w:i/>
          <w:iCs/>
          <w:color w:val="auto"/>
          <w:lang w:val="es-ES"/>
        </w:rPr>
        <w:t>software</w:t>
      </w:r>
      <w:r w:rsidRPr="003E284C">
        <w:rPr>
          <w:rStyle w:val="selectable-text"/>
          <w:color w:val="auto"/>
          <w:lang w:val="es-ES"/>
        </w:rPr>
        <w:t xml:space="preserve"> STATA</w:t>
      </w:r>
      <w:r w:rsidR="00995A46" w:rsidRPr="003E284C">
        <w:rPr>
          <w:rStyle w:val="selectable-text"/>
          <w:color w:val="auto"/>
          <w:lang w:val="es-ES"/>
        </w:rPr>
        <w:t>,</w:t>
      </w:r>
      <w:r w:rsidRPr="003E284C">
        <w:rPr>
          <w:rStyle w:val="selectable-text"/>
          <w:color w:val="auto"/>
          <w:lang w:val="es-ES"/>
        </w:rPr>
        <w:t xml:space="preserve"> versión 16.</w:t>
      </w:r>
      <w:r w:rsidR="006E2873" w:rsidRPr="003E284C">
        <w:rPr>
          <w:rStyle w:val="selectable-text"/>
          <w:color w:val="auto"/>
          <w:lang w:val="es-ES"/>
        </w:rPr>
        <w:t xml:space="preserve"> </w:t>
      </w:r>
    </w:p>
    <w:p w14:paraId="0DDF2441" w14:textId="1B922F92" w:rsidR="00BD6DD5" w:rsidRPr="003E284C" w:rsidRDefault="00BD6DD5" w:rsidP="002360EC">
      <w:pPr>
        <w:pStyle w:val="Normal1"/>
        <w:ind w:firstLine="0"/>
        <w:rPr>
          <w:color w:val="auto"/>
          <w:lang w:val="es-ES"/>
        </w:rPr>
      </w:pPr>
      <w:r w:rsidRPr="003E284C">
        <w:rPr>
          <w:b/>
          <w:bCs/>
          <w:color w:val="auto"/>
          <w:lang w:val="es-ES"/>
        </w:rPr>
        <w:t>Resultados:</w:t>
      </w:r>
      <w:r w:rsidRPr="003E284C">
        <w:rPr>
          <w:color w:val="auto"/>
          <w:lang w:val="es-ES"/>
        </w:rPr>
        <w:t xml:space="preserve"> </w:t>
      </w:r>
      <w:r w:rsidRPr="003E284C">
        <w:rPr>
          <w:rStyle w:val="selectable-text"/>
          <w:color w:val="auto"/>
          <w:lang w:val="es-ES"/>
        </w:rPr>
        <w:t xml:space="preserve">De la población estudiada, el 3.5 % (12 pacientes) presentó ERO, de los cuales el 50 % eran diabéticos. Entre los factores de riesgo identificados en la población </w:t>
      </w:r>
      <w:r w:rsidR="006E2873" w:rsidRPr="003E284C">
        <w:rPr>
          <w:rStyle w:val="selectable-text"/>
          <w:color w:val="auto"/>
          <w:lang w:val="es-ES"/>
        </w:rPr>
        <w:t xml:space="preserve">con </w:t>
      </w:r>
      <w:r w:rsidRPr="003E284C">
        <w:rPr>
          <w:rStyle w:val="selectable-text"/>
          <w:color w:val="auto"/>
          <w:lang w:val="es-ES"/>
        </w:rPr>
        <w:t>diab</w:t>
      </w:r>
      <w:r w:rsidR="00911106" w:rsidRPr="003E284C">
        <w:rPr>
          <w:rStyle w:val="selectable-text"/>
          <w:color w:val="auto"/>
          <w:lang w:val="es-ES"/>
        </w:rPr>
        <w:t>etes</w:t>
      </w:r>
      <w:r w:rsidR="00995A46" w:rsidRPr="003E284C">
        <w:rPr>
          <w:rStyle w:val="selectable-text"/>
          <w:color w:val="auto"/>
          <w:lang w:val="es-ES"/>
        </w:rPr>
        <w:t xml:space="preserve"> </w:t>
      </w:r>
      <w:r w:rsidRPr="003E284C">
        <w:rPr>
          <w:rStyle w:val="selectable-text"/>
          <w:color w:val="auto"/>
          <w:lang w:val="es-ES"/>
        </w:rPr>
        <w:t xml:space="preserve">se incluyeron la edad mayor de 60 años (11.29 %), niveles elevados de albumina (16 %), urea (42.8 %) y ácido úrico (30.76 %). </w:t>
      </w:r>
      <w:r w:rsidRPr="003E284C">
        <w:rPr>
          <w:b/>
          <w:bCs/>
          <w:color w:val="auto"/>
          <w:lang w:val="es-ES"/>
        </w:rPr>
        <w:t>Conclusión</w:t>
      </w:r>
      <w:r w:rsidRPr="003E284C">
        <w:rPr>
          <w:color w:val="auto"/>
          <w:lang w:val="es-ES"/>
        </w:rPr>
        <w:t xml:space="preserve">: </w:t>
      </w:r>
      <w:r w:rsidRPr="003E284C">
        <w:rPr>
          <w:rStyle w:val="selectable-text"/>
          <w:color w:val="auto"/>
          <w:lang w:val="es-ES"/>
        </w:rPr>
        <w:t xml:space="preserve">La </w:t>
      </w:r>
      <w:r w:rsidR="00995A46" w:rsidRPr="003E284C">
        <w:rPr>
          <w:rStyle w:val="selectable-text"/>
          <w:color w:val="auto"/>
          <w:lang w:val="es-ES"/>
        </w:rPr>
        <w:t xml:space="preserve">enfermedad renal oculta </w:t>
      </w:r>
      <w:r w:rsidRPr="003E284C">
        <w:rPr>
          <w:rStyle w:val="selectable-text"/>
          <w:color w:val="auto"/>
          <w:lang w:val="es-ES"/>
        </w:rPr>
        <w:t>afecta tanto a comunidades rurales como urbanas</w:t>
      </w:r>
      <w:r w:rsidR="002360EC" w:rsidRPr="003E284C">
        <w:rPr>
          <w:rStyle w:val="selectable-text"/>
          <w:color w:val="auto"/>
          <w:lang w:val="es-ES"/>
        </w:rPr>
        <w:t xml:space="preserve">. </w:t>
      </w:r>
      <w:r w:rsidR="002360EC" w:rsidRPr="003E284C">
        <w:rPr>
          <w:color w:val="auto"/>
          <w:lang w:val="es-ES"/>
        </w:rPr>
        <w:t xml:space="preserve">Encontrándose un total de 12 pacientes con presencia de ERO, de los cuales el 25 % </w:t>
      </w:r>
      <w:r w:rsidR="00C07318" w:rsidRPr="003E284C">
        <w:rPr>
          <w:color w:val="auto"/>
          <w:lang w:val="es-ES"/>
        </w:rPr>
        <w:t>proceden de</w:t>
      </w:r>
      <w:r w:rsidR="002360EC" w:rsidRPr="003E284C">
        <w:rPr>
          <w:color w:val="auto"/>
          <w:lang w:val="es-ES"/>
        </w:rPr>
        <w:t xml:space="preserve"> la </w:t>
      </w:r>
      <w:r w:rsidR="007F0CFA" w:rsidRPr="003E284C">
        <w:rPr>
          <w:color w:val="auto"/>
          <w:lang w:val="es-ES"/>
        </w:rPr>
        <w:t>ciudad de</w:t>
      </w:r>
      <w:r w:rsidR="00995A46" w:rsidRPr="003E284C">
        <w:rPr>
          <w:color w:val="auto"/>
          <w:lang w:val="es-ES"/>
        </w:rPr>
        <w:t xml:space="preserve"> </w:t>
      </w:r>
      <w:r w:rsidR="002360EC" w:rsidRPr="003E284C">
        <w:rPr>
          <w:color w:val="auto"/>
          <w:lang w:val="es-ES"/>
        </w:rPr>
        <w:t xml:space="preserve">Chilpancingo, y 75 % </w:t>
      </w:r>
      <w:r w:rsidR="007F0CFA" w:rsidRPr="003E284C">
        <w:rPr>
          <w:color w:val="auto"/>
          <w:lang w:val="es-ES"/>
        </w:rPr>
        <w:t xml:space="preserve">del poblado de </w:t>
      </w:r>
      <w:r w:rsidR="002360EC" w:rsidRPr="003E284C">
        <w:rPr>
          <w:color w:val="auto"/>
          <w:lang w:val="es-ES"/>
        </w:rPr>
        <w:t>Olinalá</w:t>
      </w:r>
      <w:r w:rsidR="007F0CFA" w:rsidRPr="003E284C">
        <w:rPr>
          <w:color w:val="auto"/>
          <w:lang w:val="es-ES"/>
        </w:rPr>
        <w:t xml:space="preserve"> (rural)</w:t>
      </w:r>
      <w:r w:rsidR="005B2D46" w:rsidRPr="003E284C">
        <w:rPr>
          <w:rStyle w:val="selectable-text"/>
          <w:color w:val="auto"/>
          <w:lang w:val="es-ES"/>
        </w:rPr>
        <w:t xml:space="preserve">, </w:t>
      </w:r>
      <w:r w:rsidRPr="003E284C">
        <w:rPr>
          <w:rStyle w:val="selectable-text"/>
          <w:color w:val="auto"/>
          <w:lang w:val="es-ES"/>
        </w:rPr>
        <w:t>lo que subraya la importancia de su detección temprana y un monitoreo oportuno. Esto es particularmente relevante en la población rural con diabetes mellitus.</w:t>
      </w:r>
    </w:p>
    <w:p w14:paraId="1649FB74" w14:textId="1B95F721" w:rsidR="00BD6DD5" w:rsidRPr="003E284C" w:rsidRDefault="00BD6DD5" w:rsidP="00995A46">
      <w:pPr>
        <w:pStyle w:val="Normal1"/>
        <w:ind w:firstLine="0"/>
        <w:rPr>
          <w:color w:val="auto"/>
          <w:lang w:val="es-ES"/>
        </w:rPr>
      </w:pPr>
      <w:r w:rsidRPr="003E284C">
        <w:rPr>
          <w:rFonts w:asciiTheme="minorHAnsi" w:eastAsiaTheme="minorHAnsi" w:hAnsiTheme="minorHAnsi" w:cstheme="minorHAnsi"/>
          <w:b/>
          <w:color w:val="auto"/>
          <w:sz w:val="28"/>
          <w:szCs w:val="28"/>
          <w:lang w:val="es-ES" w:eastAsia="en-US"/>
        </w:rPr>
        <w:t>Palabras clave:</w:t>
      </w:r>
      <w:r w:rsidRPr="003E284C">
        <w:rPr>
          <w:b/>
          <w:bCs/>
          <w:color w:val="auto"/>
          <w:sz w:val="28"/>
          <w:szCs w:val="28"/>
          <w:lang w:val="es-ES"/>
        </w:rPr>
        <w:t xml:space="preserve"> </w:t>
      </w:r>
      <w:r w:rsidR="00995A46" w:rsidRPr="003E284C">
        <w:rPr>
          <w:color w:val="auto"/>
          <w:lang w:val="es-ES"/>
        </w:rPr>
        <w:t>d</w:t>
      </w:r>
      <w:r w:rsidRPr="003E284C">
        <w:rPr>
          <w:color w:val="auto"/>
          <w:lang w:val="es-ES"/>
        </w:rPr>
        <w:t>iabetes mellitus</w:t>
      </w:r>
      <w:r w:rsidR="00995A46" w:rsidRPr="003E284C">
        <w:rPr>
          <w:color w:val="auto"/>
          <w:lang w:val="es-ES"/>
        </w:rPr>
        <w:t>, insuficiencia renal crónica, enfermedad renal oculta.</w:t>
      </w:r>
    </w:p>
    <w:p w14:paraId="6B2AE348" w14:textId="77777777" w:rsidR="008E69DA" w:rsidRPr="003E284C" w:rsidRDefault="008E69DA" w:rsidP="008E69DA">
      <w:pPr>
        <w:pStyle w:val="Normal1"/>
        <w:ind w:firstLine="0"/>
        <w:rPr>
          <w:b/>
          <w:bCs/>
          <w:color w:val="auto"/>
          <w:lang w:val="es-ES"/>
        </w:rPr>
      </w:pPr>
    </w:p>
    <w:p w14:paraId="675E3239" w14:textId="5631D0F0" w:rsidR="008E69DA" w:rsidRPr="003E284C" w:rsidRDefault="0018154D" w:rsidP="0018154D">
      <w:pPr>
        <w:spacing w:after="0" w:line="360" w:lineRule="auto"/>
        <w:rPr>
          <w:rFonts w:cstheme="minorHAnsi"/>
          <w:b/>
          <w:sz w:val="28"/>
          <w:szCs w:val="28"/>
          <w:lang w:val="en-US"/>
        </w:rPr>
      </w:pPr>
      <w:r w:rsidRPr="003E284C">
        <w:rPr>
          <w:rFonts w:cstheme="minorHAnsi"/>
          <w:b/>
          <w:sz w:val="28"/>
          <w:szCs w:val="28"/>
          <w:lang w:val="en-US"/>
        </w:rPr>
        <w:t>Abstract</w:t>
      </w:r>
    </w:p>
    <w:p w14:paraId="23B9924B" w14:textId="51D2F9A1" w:rsidR="008E69DA" w:rsidRPr="003E284C" w:rsidRDefault="008E69DA" w:rsidP="008E69DA">
      <w:pPr>
        <w:pStyle w:val="Normal1"/>
        <w:ind w:firstLine="0"/>
        <w:rPr>
          <w:color w:val="auto"/>
          <w:lang w:val="en-US"/>
        </w:rPr>
      </w:pPr>
      <w:r w:rsidRPr="003E284C">
        <w:rPr>
          <w:b/>
          <w:bCs/>
          <w:color w:val="auto"/>
          <w:lang w:val="en-US"/>
        </w:rPr>
        <w:t>Introduction:</w:t>
      </w:r>
      <w:r w:rsidRPr="003E284C">
        <w:rPr>
          <w:color w:val="auto"/>
          <w:lang w:val="en-US"/>
        </w:rPr>
        <w:t xml:space="preserve"> Renal insufficiency (RI) has emerged as a significant public health problem in Mexico. The National Institute of Statistics and Geography (INEGI) has classified it as the tenth leading cause of mortality in the country</w:t>
      </w:r>
      <w:r w:rsidR="00344FD0" w:rsidRPr="003E284C">
        <w:rPr>
          <w:color w:val="auto"/>
          <w:lang w:val="en-US"/>
        </w:rPr>
        <w:t xml:space="preserve"> in the female population</w:t>
      </w:r>
      <w:r w:rsidRPr="003E284C">
        <w:rPr>
          <w:color w:val="auto"/>
          <w:lang w:val="en-US"/>
        </w:rPr>
        <w:t>. Early detection has become essential, especially in the case of Occult Renal Disease (ORD) which significantly affects the diabetic population. RI is ranked tenth among causes of mortality in Mexico and is associated with various medical conditions</w:t>
      </w:r>
      <w:r w:rsidRPr="003E284C">
        <w:rPr>
          <w:rStyle w:val="selectable-text"/>
          <w:color w:val="auto"/>
          <w:lang w:val="en-US"/>
        </w:rPr>
        <w:t xml:space="preserve">. </w:t>
      </w:r>
      <w:r w:rsidRPr="003E284C">
        <w:rPr>
          <w:b/>
          <w:bCs/>
          <w:color w:val="auto"/>
          <w:lang w:val="en-US"/>
        </w:rPr>
        <w:t>Objective:</w:t>
      </w:r>
      <w:r w:rsidRPr="003E284C">
        <w:rPr>
          <w:color w:val="auto"/>
          <w:lang w:val="en-US"/>
        </w:rPr>
        <w:t xml:space="preserve"> </w:t>
      </w:r>
      <w:r w:rsidRPr="003E284C">
        <w:rPr>
          <w:rStyle w:val="selectable-text"/>
          <w:color w:val="auto"/>
          <w:lang w:val="en-US"/>
        </w:rPr>
        <w:t xml:space="preserve">To </w:t>
      </w:r>
      <w:r w:rsidRPr="003E284C">
        <w:rPr>
          <w:color w:val="auto"/>
          <w:lang w:val="en-US"/>
        </w:rPr>
        <w:t xml:space="preserve">identify the risk factors that contribute to the presence of ORD in patients with type II diabetes (DM2). </w:t>
      </w:r>
      <w:r w:rsidR="00166FF7" w:rsidRPr="003E284C">
        <w:rPr>
          <w:b/>
          <w:bCs/>
          <w:color w:val="auto"/>
          <w:lang w:val="en-US"/>
        </w:rPr>
        <w:t>Methodolog</w:t>
      </w:r>
      <w:r w:rsidR="00166FF7" w:rsidRPr="003E284C">
        <w:rPr>
          <w:color w:val="auto"/>
          <w:lang w:val="en-US"/>
        </w:rPr>
        <w:t>y</w:t>
      </w:r>
      <w:r w:rsidRPr="003E284C">
        <w:rPr>
          <w:color w:val="auto"/>
          <w:lang w:val="en-US"/>
        </w:rPr>
        <w:t xml:space="preserve">: A </w:t>
      </w:r>
      <w:r w:rsidRPr="003E284C">
        <w:rPr>
          <w:color w:val="auto"/>
          <w:lang w:val="en-US"/>
        </w:rPr>
        <w:lastRenderedPageBreak/>
        <w:t>cross-sectional, analytical and descriptive study was carried out in a sample of 352 patients, of whom 149 came from the city of Chilpancingo de los Bravo, Guerrero, and 206 from the municipality of Olinalá, in the Montaña region of the State of Guerrero.</w:t>
      </w:r>
      <w:r w:rsidR="00995A46" w:rsidRPr="003E284C">
        <w:rPr>
          <w:color w:val="auto"/>
          <w:lang w:val="en-US"/>
        </w:rPr>
        <w:t xml:space="preserve"> </w:t>
      </w:r>
      <w:r w:rsidRPr="003E284C">
        <w:rPr>
          <w:color w:val="auto"/>
          <w:lang w:val="en-US"/>
        </w:rPr>
        <w:t>The patients who agreed to participate ratified their participation by signing the letter of informed consent.</w:t>
      </w:r>
    </w:p>
    <w:p w14:paraId="212E1C11" w14:textId="77777777" w:rsidR="008E69DA" w:rsidRPr="003E284C" w:rsidRDefault="008E69DA" w:rsidP="008E69DA">
      <w:pPr>
        <w:pStyle w:val="Normal1"/>
        <w:ind w:firstLine="0"/>
        <w:rPr>
          <w:color w:val="auto"/>
          <w:lang w:val="en-US"/>
        </w:rPr>
      </w:pPr>
      <w:r w:rsidRPr="003E284C">
        <w:rPr>
          <w:color w:val="auto"/>
          <w:lang w:val="en-US"/>
        </w:rPr>
        <w:t xml:space="preserve">In this study, anthropometric measurements were taken, blood pressure was measured and biochemical parameters were collected. The results were recorded in an Excel 2021 spreadsheet and STATA version 16 software was used for statistical analysis. </w:t>
      </w:r>
    </w:p>
    <w:p w14:paraId="00F78355" w14:textId="52D7AC45" w:rsidR="008E69DA" w:rsidRPr="003E284C" w:rsidRDefault="008E69DA" w:rsidP="008E69DA">
      <w:pPr>
        <w:pStyle w:val="Normal1"/>
        <w:ind w:firstLine="0"/>
        <w:rPr>
          <w:color w:val="auto"/>
          <w:lang w:val="en-US"/>
        </w:rPr>
      </w:pPr>
      <w:r w:rsidRPr="003E284C">
        <w:rPr>
          <w:b/>
          <w:bCs/>
          <w:color w:val="auto"/>
          <w:lang w:val="en-US"/>
        </w:rPr>
        <w:t>Results:</w:t>
      </w:r>
      <w:r w:rsidRPr="003E284C">
        <w:rPr>
          <w:color w:val="auto"/>
          <w:lang w:val="en-US"/>
        </w:rPr>
        <w:t xml:space="preserve"> Of the studied population, 3.5% (12 patients) presented with ORD, of whom 50% were diabetic. Among the risk factors identified in the diabetic population were age over 60 years (11.29%), high levels of albumin (16%), urea (42.8%), and uric acid (30.76%). </w:t>
      </w:r>
      <w:r w:rsidRPr="003E284C">
        <w:rPr>
          <w:b/>
          <w:bCs/>
          <w:color w:val="auto"/>
          <w:lang w:val="en-US"/>
        </w:rPr>
        <w:t>Conclusion</w:t>
      </w:r>
      <w:r w:rsidRPr="003E284C">
        <w:rPr>
          <w:color w:val="auto"/>
          <w:lang w:val="en-US"/>
        </w:rPr>
        <w:t>: Occult Renal Disease affects both rural and urban communities. A total of 12 patients with ORD were found, of which 25% were from the city of Chilpancingo and 75% from the rural area of Olinalá. This underscores the importance of early detection and timely monitoring, particularly in the rural population with diabetes mellitus.</w:t>
      </w:r>
    </w:p>
    <w:p w14:paraId="32760E79" w14:textId="77777777" w:rsidR="008E69DA" w:rsidRPr="003E284C" w:rsidRDefault="008E69DA" w:rsidP="0018154D">
      <w:pPr>
        <w:pStyle w:val="Normal1"/>
        <w:ind w:firstLine="0"/>
        <w:rPr>
          <w:b/>
          <w:bCs/>
          <w:i/>
          <w:iCs/>
          <w:color w:val="auto"/>
          <w:lang w:val="en-US"/>
        </w:rPr>
      </w:pPr>
      <w:r w:rsidRPr="003E284C">
        <w:rPr>
          <w:rFonts w:asciiTheme="minorHAnsi" w:eastAsiaTheme="minorHAnsi" w:hAnsiTheme="minorHAnsi" w:cstheme="minorHAnsi"/>
          <w:b/>
          <w:color w:val="auto"/>
          <w:sz w:val="28"/>
          <w:szCs w:val="28"/>
          <w:lang w:val="en-US" w:eastAsia="en-US"/>
        </w:rPr>
        <w:t>Keywords:</w:t>
      </w:r>
      <w:r w:rsidRPr="003E284C">
        <w:rPr>
          <w:b/>
          <w:bCs/>
          <w:color w:val="auto"/>
          <w:sz w:val="28"/>
          <w:szCs w:val="28"/>
          <w:lang w:val="en-US"/>
        </w:rPr>
        <w:t xml:space="preserve"> </w:t>
      </w:r>
      <w:r w:rsidRPr="003E284C">
        <w:rPr>
          <w:color w:val="auto"/>
          <w:lang w:val="en-US"/>
        </w:rPr>
        <w:t>Diabetes mellitus, Chronic Renal Failure, Occult Renal Disease.</w:t>
      </w:r>
    </w:p>
    <w:p w14:paraId="6C5DB72F" w14:textId="77777777" w:rsidR="0018154D" w:rsidRPr="003E284C" w:rsidRDefault="0018154D" w:rsidP="0018154D">
      <w:pPr>
        <w:pStyle w:val="Normal1"/>
        <w:ind w:firstLine="0"/>
        <w:rPr>
          <w:b/>
          <w:bCs/>
          <w:i/>
          <w:iCs/>
          <w:color w:val="auto"/>
          <w:lang w:val="en-US"/>
        </w:rPr>
      </w:pPr>
    </w:p>
    <w:p w14:paraId="3988E55A" w14:textId="59AE393E" w:rsidR="0018154D" w:rsidRPr="003E284C" w:rsidRDefault="0018154D" w:rsidP="0018154D">
      <w:pPr>
        <w:pStyle w:val="Normal1"/>
        <w:ind w:firstLine="0"/>
        <w:rPr>
          <w:rFonts w:asciiTheme="minorHAnsi" w:eastAsiaTheme="minorHAnsi" w:hAnsiTheme="minorHAnsi" w:cstheme="minorHAnsi"/>
          <w:b/>
          <w:color w:val="auto"/>
          <w:sz w:val="28"/>
          <w:szCs w:val="28"/>
          <w:lang w:val="es-ES" w:eastAsia="en-US"/>
        </w:rPr>
      </w:pPr>
      <w:r w:rsidRPr="003E284C">
        <w:rPr>
          <w:rFonts w:asciiTheme="minorHAnsi" w:eastAsiaTheme="minorHAnsi" w:hAnsiTheme="minorHAnsi" w:cstheme="minorHAnsi"/>
          <w:b/>
          <w:color w:val="auto"/>
          <w:sz w:val="28"/>
          <w:szCs w:val="28"/>
          <w:lang w:val="es-ES" w:eastAsia="en-US"/>
        </w:rPr>
        <w:t>Resumo</w:t>
      </w:r>
    </w:p>
    <w:p w14:paraId="5E9FAACF" w14:textId="7FE0B14D" w:rsidR="0018154D" w:rsidRPr="003E284C" w:rsidRDefault="0018154D" w:rsidP="0018154D">
      <w:pPr>
        <w:pStyle w:val="Normal1"/>
        <w:ind w:firstLine="0"/>
        <w:rPr>
          <w:color w:val="auto"/>
          <w:lang w:val="pt-PT"/>
        </w:rPr>
      </w:pPr>
      <w:r w:rsidRPr="003E284C">
        <w:rPr>
          <w:color w:val="auto"/>
          <w:lang w:val="pt-PT"/>
        </w:rPr>
        <w:t>Introdução: A insuficiência renal (IR) emergiu como um problema significativo de saúde pública no México. O Instituto Nacional de Estatística e Geografia (INEGI) classificou-a como a décima causa de mortalidade</w:t>
      </w:r>
      <w:r w:rsidR="00344FD0" w:rsidRPr="003E284C">
        <w:rPr>
          <w:color w:val="auto"/>
          <w:lang w:val="pt-PT"/>
        </w:rPr>
        <w:t xml:space="preserve"> na população feminina do país</w:t>
      </w:r>
      <w:r w:rsidRPr="003E284C">
        <w:rPr>
          <w:color w:val="auto"/>
          <w:lang w:val="pt-PT"/>
        </w:rPr>
        <w:t xml:space="preserve">. Portanto, a </w:t>
      </w:r>
      <w:r w:rsidR="005E06D4" w:rsidRPr="003E284C">
        <w:rPr>
          <w:color w:val="auto"/>
          <w:lang w:val="pt-PT"/>
        </w:rPr>
        <w:t>deteção</w:t>
      </w:r>
      <w:r w:rsidRPr="003E284C">
        <w:rPr>
          <w:color w:val="auto"/>
          <w:lang w:val="pt-PT"/>
        </w:rPr>
        <w:t xml:space="preserve"> precoce tornou-se essencial, especialmente no caso da doença renal oculta (ERO), que afeta notavelmente a população diabética. Objetivo: Identificar os fatores de risco que influenciam a presença de ERO em pacientes com diabetes tipo II (DM2). Metodologia: Foi realizado um estudo transversal, analítico e descritivo com uma amostra de 352 pacientes, dos quais 149 eram provenientes da cidade de Chilpancingo de los Bravo, Guerrero, e 206 do município de Olinalá, na Região Serrana do Estado de Guerreiro. Os pacientes que concordaram em participar ratificaram-no assinando a carta de consentimento informado.</w:t>
      </w:r>
    </w:p>
    <w:p w14:paraId="2E68B844" w14:textId="58A95610" w:rsidR="0018154D" w:rsidRPr="003E284C" w:rsidRDefault="0018154D" w:rsidP="0018154D">
      <w:pPr>
        <w:pStyle w:val="Normal1"/>
        <w:ind w:firstLine="0"/>
        <w:rPr>
          <w:color w:val="auto"/>
          <w:lang w:val="pt-PT"/>
        </w:rPr>
      </w:pPr>
      <w:r w:rsidRPr="003E284C">
        <w:rPr>
          <w:color w:val="auto"/>
          <w:lang w:val="pt-PT"/>
        </w:rPr>
        <w:t xml:space="preserve">Neste estudo foram realizadas medidas antropométricas, aferida a pressão arterial e coletados parâmetros bioquímicos. Os resultados foram </w:t>
      </w:r>
      <w:r w:rsidR="005E06D4" w:rsidRPr="003E284C">
        <w:rPr>
          <w:color w:val="auto"/>
          <w:lang w:val="pt-PT"/>
        </w:rPr>
        <w:t>registados</w:t>
      </w:r>
      <w:r w:rsidRPr="003E284C">
        <w:rPr>
          <w:color w:val="auto"/>
          <w:lang w:val="pt-PT"/>
        </w:rPr>
        <w:t xml:space="preserve"> em planilha Excel 2021 e foi utilizado o software STATA, versão 16, para análise estatística.</w:t>
      </w:r>
    </w:p>
    <w:p w14:paraId="0271E638" w14:textId="6EAEC0D2" w:rsidR="0018154D" w:rsidRPr="003E284C" w:rsidRDefault="0018154D" w:rsidP="0018154D">
      <w:pPr>
        <w:pStyle w:val="Normal1"/>
        <w:ind w:firstLine="0"/>
        <w:rPr>
          <w:color w:val="auto"/>
          <w:lang w:val="pt-PT"/>
        </w:rPr>
      </w:pPr>
      <w:r w:rsidRPr="003E284C">
        <w:rPr>
          <w:color w:val="auto"/>
          <w:lang w:val="pt-PT"/>
        </w:rPr>
        <w:t xml:space="preserve">Resultados: Da população estudada, 3,5% (12 pacientes) apresentavam ERO, dos quais 50% eram diabéticos. Os fatores de risco identificados na população com diabetes incluíram idade superior a 60 anos (11,29%), níveis elevados de albumina (16%), uréia (42,8%) e ácido úrico </w:t>
      </w:r>
      <w:r w:rsidRPr="003E284C">
        <w:rPr>
          <w:color w:val="auto"/>
          <w:lang w:val="pt-PT"/>
        </w:rPr>
        <w:lastRenderedPageBreak/>
        <w:t xml:space="preserve">(30,76%). Conclusão: A doença renal oculta afeta comunidades rurais e urbanas. Foram encontrados 12 pacientes com presença de ERO, dos quais 25% eram provenientes da cidade de Chilpancingo e 75% da cidade de Olinalá (rural), o que ressalta a importância da </w:t>
      </w:r>
      <w:r w:rsidR="005E06D4" w:rsidRPr="003E284C">
        <w:rPr>
          <w:color w:val="auto"/>
          <w:lang w:val="pt-PT"/>
        </w:rPr>
        <w:t>deteção</w:t>
      </w:r>
      <w:r w:rsidRPr="003E284C">
        <w:rPr>
          <w:color w:val="auto"/>
          <w:lang w:val="pt-PT"/>
        </w:rPr>
        <w:t xml:space="preserve"> precoce e do monitoramento oportuno. Isto é particularmente relevante na população rural com diabetes mellitus.</w:t>
      </w:r>
    </w:p>
    <w:p w14:paraId="4622544A" w14:textId="669999D4" w:rsidR="0018154D" w:rsidRPr="003E284C" w:rsidRDefault="0018154D" w:rsidP="0018154D">
      <w:pPr>
        <w:pStyle w:val="Normal1"/>
        <w:ind w:firstLine="0"/>
        <w:rPr>
          <w:color w:val="auto"/>
          <w:lang w:val="pt-PT"/>
        </w:rPr>
      </w:pPr>
      <w:r w:rsidRPr="003E284C">
        <w:rPr>
          <w:rFonts w:asciiTheme="minorHAnsi" w:eastAsiaTheme="minorHAnsi" w:hAnsiTheme="minorHAnsi" w:cstheme="minorHAnsi"/>
          <w:b/>
          <w:color w:val="auto"/>
          <w:sz w:val="28"/>
          <w:szCs w:val="28"/>
          <w:lang w:val="pt-PT" w:eastAsia="en-US"/>
        </w:rPr>
        <w:t>Palavras-chave:</w:t>
      </w:r>
      <w:r w:rsidRPr="003E284C">
        <w:rPr>
          <w:color w:val="auto"/>
          <w:lang w:val="pt-PT"/>
        </w:rPr>
        <w:t xml:space="preserve"> diabetes mellitus, insuficiência renal crônica, doença renal oculta.</w:t>
      </w:r>
    </w:p>
    <w:p w14:paraId="2AE9E8C0" w14:textId="5637DE9A" w:rsidR="0018154D" w:rsidRPr="003E284C" w:rsidRDefault="0018154D" w:rsidP="0018154D">
      <w:pPr>
        <w:pStyle w:val="HTMLconformatoprevio"/>
        <w:shd w:val="clear" w:color="auto" w:fill="FFFFFF"/>
        <w:spacing w:line="360" w:lineRule="auto"/>
        <w:rPr>
          <w:rFonts w:ascii="Times New Roman" w:hAnsi="Times New Roman" w:cs="Times New Roman"/>
          <w:sz w:val="24"/>
        </w:rPr>
      </w:pPr>
      <w:r w:rsidRPr="003E284C">
        <w:rPr>
          <w:rFonts w:ascii="Times New Roman" w:hAnsi="Times New Roman" w:cs="Times New Roman"/>
          <w:b/>
          <w:sz w:val="24"/>
        </w:rPr>
        <w:t>Fecha Recepción:</w:t>
      </w:r>
      <w:r w:rsidRPr="003E284C">
        <w:rPr>
          <w:rFonts w:ascii="Times New Roman" w:hAnsi="Times New Roman" w:cs="Times New Roman"/>
          <w:sz w:val="24"/>
        </w:rPr>
        <w:t xml:space="preserve"> Julio 2023                                      </w:t>
      </w:r>
      <w:r w:rsidRPr="003E284C">
        <w:rPr>
          <w:rFonts w:ascii="Times New Roman" w:hAnsi="Times New Roman" w:cs="Times New Roman"/>
          <w:b/>
          <w:sz w:val="24"/>
        </w:rPr>
        <w:t>Fecha Aceptación:</w:t>
      </w:r>
      <w:r w:rsidRPr="003E284C">
        <w:rPr>
          <w:rFonts w:ascii="Times New Roman" w:hAnsi="Times New Roman" w:cs="Times New Roman"/>
          <w:sz w:val="24"/>
        </w:rPr>
        <w:t xml:space="preserve"> Diciembre 2023</w:t>
      </w:r>
    </w:p>
    <w:p w14:paraId="138461EB" w14:textId="6A92DA66" w:rsidR="0018154D" w:rsidRPr="003E284C" w:rsidRDefault="00000000" w:rsidP="0018154D">
      <w:pPr>
        <w:pStyle w:val="Normal1"/>
        <w:ind w:firstLine="0"/>
        <w:rPr>
          <w:color w:val="auto"/>
          <w:lang w:val="en-US"/>
        </w:rPr>
      </w:pPr>
      <w:r w:rsidRPr="003E284C">
        <w:rPr>
          <w:noProof/>
          <w:color w:val="auto"/>
        </w:rPr>
        <w:pict w14:anchorId="763D5B71">
          <v:rect id="_x0000_i1025" alt="" style="width:425.2pt;height:.05pt;mso-width-percent:0;mso-height-percent:0;mso-width-percent:0;mso-height-percent:0" o:hralign="center" o:hrstd="t" o:hr="t" fillcolor="#a0a0a0" stroked="f"/>
        </w:pict>
      </w:r>
    </w:p>
    <w:p w14:paraId="3F830F0D" w14:textId="7D2DDB8B" w:rsidR="00667620" w:rsidRPr="003E284C" w:rsidRDefault="00667620" w:rsidP="0018154D">
      <w:pPr>
        <w:pStyle w:val="Ttulo1"/>
        <w:spacing w:before="0" w:after="0" w:line="360" w:lineRule="auto"/>
        <w:jc w:val="center"/>
        <w:rPr>
          <w:rFonts w:ascii="Times New Roman" w:hAnsi="Times New Roman" w:cs="Times New Roman"/>
          <w:sz w:val="32"/>
          <w:szCs w:val="32"/>
        </w:rPr>
      </w:pPr>
      <w:r w:rsidRPr="003E284C">
        <w:rPr>
          <w:rFonts w:ascii="Times New Roman" w:hAnsi="Times New Roman" w:cs="Times New Roman"/>
          <w:sz w:val="32"/>
          <w:szCs w:val="32"/>
        </w:rPr>
        <w:t>Introducción</w:t>
      </w:r>
    </w:p>
    <w:p w14:paraId="0E16AA4B" w14:textId="487D57AE" w:rsidR="00995A46" w:rsidRPr="003E284C" w:rsidRDefault="00667620" w:rsidP="00995A46">
      <w:pPr>
        <w:pStyle w:val="Normal1"/>
        <w:rPr>
          <w:color w:val="auto"/>
          <w:lang w:val="es-ES"/>
        </w:rPr>
      </w:pPr>
      <w:bookmarkStart w:id="0" w:name="_heading=h.6561732f91ya" w:colFirst="0" w:colLast="0"/>
      <w:bookmarkEnd w:id="0"/>
      <w:r w:rsidRPr="003E284C">
        <w:rPr>
          <w:color w:val="auto"/>
          <w:lang w:val="es-ES"/>
        </w:rPr>
        <w:t xml:space="preserve">La </w:t>
      </w:r>
      <w:r w:rsidR="00995A46" w:rsidRPr="003E284C">
        <w:rPr>
          <w:color w:val="auto"/>
          <w:lang w:val="es-ES"/>
        </w:rPr>
        <w:t xml:space="preserve">enfermedad renal </w:t>
      </w:r>
      <w:r w:rsidRPr="003E284C">
        <w:rPr>
          <w:color w:val="auto"/>
          <w:lang w:val="es-ES"/>
        </w:rPr>
        <w:t>(ER) se ha declarado un problema de salud pública</w:t>
      </w:r>
      <w:r w:rsidR="00785C47" w:rsidRPr="003E284C">
        <w:rPr>
          <w:color w:val="auto"/>
          <w:lang w:val="es-ES"/>
        </w:rPr>
        <w:t>, definiéndose</w:t>
      </w:r>
      <w:r w:rsidRPr="003E284C">
        <w:rPr>
          <w:color w:val="auto"/>
          <w:lang w:val="es-ES"/>
        </w:rPr>
        <w:t xml:space="preserve"> como la disminución de la función renal con </w:t>
      </w:r>
      <w:r w:rsidR="00995A46" w:rsidRPr="003E284C">
        <w:rPr>
          <w:color w:val="auto"/>
          <w:lang w:val="es-ES"/>
        </w:rPr>
        <w:t xml:space="preserve">filtrado glomerular </w:t>
      </w:r>
      <w:r w:rsidRPr="003E284C">
        <w:rPr>
          <w:color w:val="auto"/>
          <w:lang w:val="es-ES"/>
        </w:rPr>
        <w:t>(FG) menor a 60 ml/min/1,73 m</w:t>
      </w:r>
      <w:r w:rsidRPr="003E284C">
        <w:rPr>
          <w:color w:val="auto"/>
          <w:vertAlign w:val="superscript"/>
          <w:lang w:val="es-ES"/>
        </w:rPr>
        <w:t>2</w:t>
      </w:r>
      <w:r w:rsidRPr="003E284C">
        <w:rPr>
          <w:color w:val="auto"/>
          <w:lang w:val="es-ES"/>
        </w:rPr>
        <w:t xml:space="preserve"> con daño renal </w:t>
      </w:r>
      <w:r w:rsidR="00592190" w:rsidRPr="003E284C">
        <w:rPr>
          <w:color w:val="auto"/>
          <w:lang w:val="es-ES"/>
        </w:rPr>
        <w:t xml:space="preserve">persistente </w:t>
      </w:r>
      <w:r w:rsidRPr="003E284C">
        <w:rPr>
          <w:color w:val="auto"/>
          <w:lang w:val="es-ES"/>
        </w:rPr>
        <w:t xml:space="preserve">durante </w:t>
      </w:r>
      <w:r w:rsidR="00995A46" w:rsidRPr="003E284C">
        <w:rPr>
          <w:color w:val="auto"/>
          <w:lang w:val="es-ES"/>
        </w:rPr>
        <w:t>tres</w:t>
      </w:r>
      <w:r w:rsidRPr="003E284C">
        <w:rPr>
          <w:color w:val="auto"/>
          <w:lang w:val="es-ES"/>
        </w:rPr>
        <w:t xml:space="preserve"> meses</w:t>
      </w:r>
      <w:r w:rsidR="00785C47" w:rsidRPr="003E284C">
        <w:rPr>
          <w:color w:val="auto"/>
          <w:lang w:val="es-ES"/>
        </w:rPr>
        <w:t xml:space="preserve">, </w:t>
      </w:r>
      <w:r w:rsidRPr="003E284C">
        <w:rPr>
          <w:color w:val="auto"/>
          <w:lang w:val="es-ES"/>
        </w:rPr>
        <w:t xml:space="preserve">detectada por determinación de creatinina sérica y depuración de creatinina </w:t>
      </w:r>
      <w:r w:rsidR="00BD3722" w:rsidRPr="003E284C">
        <w:rPr>
          <w:noProof/>
          <w:color w:val="auto"/>
          <w:lang w:val="es-ES"/>
        </w:rPr>
        <w:t>(</w:t>
      </w:r>
      <w:r w:rsidR="0042553F" w:rsidRPr="003E284C">
        <w:rPr>
          <w:noProof/>
          <w:color w:val="auto"/>
          <w:lang w:val="es-ES"/>
        </w:rPr>
        <w:t xml:space="preserve">Fácila </w:t>
      </w:r>
      <w:r w:rsidR="006C597A" w:rsidRPr="003E284C">
        <w:rPr>
          <w:i/>
          <w:noProof/>
          <w:color w:val="auto"/>
          <w:lang w:val="es-ES"/>
        </w:rPr>
        <w:t>et a</w:t>
      </w:r>
      <w:r w:rsidR="0064789D" w:rsidRPr="003E284C">
        <w:rPr>
          <w:i/>
          <w:noProof/>
          <w:color w:val="auto"/>
          <w:lang w:val="es-ES"/>
        </w:rPr>
        <w:t>l</w:t>
      </w:r>
      <w:r w:rsidR="00BD3722" w:rsidRPr="003E284C">
        <w:rPr>
          <w:noProof/>
          <w:color w:val="auto"/>
          <w:lang w:val="es-ES"/>
        </w:rPr>
        <w:t>, 2009)</w:t>
      </w:r>
      <w:r w:rsidR="00BD3722" w:rsidRPr="003E284C">
        <w:rPr>
          <w:color w:val="auto"/>
          <w:lang w:val="es-ES"/>
        </w:rPr>
        <w:t xml:space="preserve">, </w:t>
      </w:r>
      <w:r w:rsidRPr="003E284C">
        <w:rPr>
          <w:color w:val="auto"/>
          <w:lang w:val="es-ES"/>
        </w:rPr>
        <w:t>mientras que la ERO incluye a pacientes con niveles</w:t>
      </w:r>
      <w:r w:rsidR="008F1FA5" w:rsidRPr="003E284C">
        <w:rPr>
          <w:color w:val="auto"/>
          <w:lang w:val="es-ES"/>
        </w:rPr>
        <w:t xml:space="preserve"> normales</w:t>
      </w:r>
      <w:r w:rsidRPr="003E284C">
        <w:rPr>
          <w:color w:val="auto"/>
          <w:lang w:val="es-ES"/>
        </w:rPr>
        <w:t xml:space="preserve"> de creatinina,</w:t>
      </w:r>
      <w:r w:rsidR="00D37E09" w:rsidRPr="003E284C">
        <w:rPr>
          <w:color w:val="auto"/>
          <w:lang w:val="es-ES"/>
        </w:rPr>
        <w:t xml:space="preserve"> y </w:t>
      </w:r>
      <w:r w:rsidRPr="003E284C">
        <w:rPr>
          <w:color w:val="auto"/>
          <w:lang w:val="es-ES"/>
        </w:rPr>
        <w:t>FG menor de 60 ml/min/1,73 m</w:t>
      </w:r>
      <w:r w:rsidRPr="003E284C">
        <w:rPr>
          <w:color w:val="auto"/>
          <w:vertAlign w:val="superscript"/>
          <w:lang w:val="es-ES"/>
        </w:rPr>
        <w:t>2</w:t>
      </w:r>
      <w:r w:rsidR="005B2D46" w:rsidRPr="003E284C">
        <w:rPr>
          <w:color w:val="auto"/>
          <w:lang w:val="es-ES"/>
        </w:rPr>
        <w:t xml:space="preserve"> </w:t>
      </w:r>
      <w:r w:rsidR="00D02B5F" w:rsidRPr="003E284C">
        <w:rPr>
          <w:color w:val="auto"/>
          <w:lang w:val="es-ES"/>
        </w:rPr>
        <w:t>(</w:t>
      </w:r>
      <w:r w:rsidR="0042553F" w:rsidRPr="003E284C">
        <w:rPr>
          <w:noProof/>
          <w:color w:val="auto"/>
          <w:lang w:val="es-ES"/>
        </w:rPr>
        <w:t>Labrador</w:t>
      </w:r>
      <w:r w:rsidR="006850E9" w:rsidRPr="003E284C">
        <w:rPr>
          <w:noProof/>
          <w:color w:val="auto"/>
          <w:lang w:val="es-ES"/>
        </w:rPr>
        <w:t xml:space="preserve"> </w:t>
      </w:r>
      <w:r w:rsidR="006C597A" w:rsidRPr="003E284C">
        <w:rPr>
          <w:i/>
          <w:noProof/>
          <w:color w:val="auto"/>
          <w:lang w:val="es-ES"/>
        </w:rPr>
        <w:t>et al.</w:t>
      </w:r>
      <w:r w:rsidR="00E41228" w:rsidRPr="003E284C">
        <w:rPr>
          <w:noProof/>
          <w:color w:val="auto"/>
          <w:lang w:val="es-ES"/>
        </w:rPr>
        <w:t>, 2007</w:t>
      </w:r>
      <w:r w:rsidR="00E74676" w:rsidRPr="003E284C">
        <w:rPr>
          <w:noProof/>
          <w:color w:val="auto"/>
          <w:lang w:val="es-ES"/>
        </w:rPr>
        <w:t>a).</w:t>
      </w:r>
      <w:r w:rsidR="00EC6AC4" w:rsidRPr="003E284C">
        <w:rPr>
          <w:noProof/>
          <w:color w:val="auto"/>
          <w:lang w:val="es-ES"/>
        </w:rPr>
        <w:t xml:space="preserve"> Las</w:t>
      </w:r>
      <w:r w:rsidR="00995A46" w:rsidRPr="003E284C">
        <w:rPr>
          <w:noProof/>
          <w:color w:val="auto"/>
          <w:lang w:val="es-ES"/>
        </w:rPr>
        <w:t xml:space="preserve"> </w:t>
      </w:r>
      <w:r w:rsidR="00EC6AC4" w:rsidRPr="003E284C">
        <w:rPr>
          <w:noProof/>
          <w:color w:val="auto"/>
          <w:lang w:val="es-ES"/>
        </w:rPr>
        <w:t>clasificaciones</w:t>
      </w:r>
      <w:r w:rsidR="00995A46" w:rsidRPr="003E284C">
        <w:rPr>
          <w:noProof/>
          <w:color w:val="auto"/>
          <w:lang w:val="es-ES"/>
        </w:rPr>
        <w:t xml:space="preserve"> </w:t>
      </w:r>
      <w:r w:rsidR="00EC6AC4" w:rsidRPr="003E284C">
        <w:rPr>
          <w:noProof/>
          <w:color w:val="auto"/>
          <w:lang w:val="es-ES"/>
        </w:rPr>
        <w:t>actuales</w:t>
      </w:r>
      <w:r w:rsidR="00995A46" w:rsidRPr="003E284C">
        <w:rPr>
          <w:noProof/>
          <w:color w:val="auto"/>
          <w:lang w:val="es-ES"/>
        </w:rPr>
        <w:t xml:space="preserve"> </w:t>
      </w:r>
      <w:r w:rsidR="00EC6AC4" w:rsidRPr="003E284C">
        <w:rPr>
          <w:noProof/>
          <w:color w:val="auto"/>
          <w:lang w:val="es-ES"/>
        </w:rPr>
        <w:t>por</w:t>
      </w:r>
      <w:r w:rsidR="00995A46" w:rsidRPr="003E284C">
        <w:rPr>
          <w:noProof/>
          <w:color w:val="auto"/>
          <w:lang w:val="es-ES"/>
        </w:rPr>
        <w:t xml:space="preserve"> </w:t>
      </w:r>
      <w:r w:rsidR="00EC6AC4" w:rsidRPr="003E284C">
        <w:rPr>
          <w:noProof/>
          <w:color w:val="auto"/>
          <w:lang w:val="es-ES"/>
        </w:rPr>
        <w:t>estadios</w:t>
      </w:r>
      <w:r w:rsidR="00995A46" w:rsidRPr="003E284C">
        <w:rPr>
          <w:noProof/>
          <w:color w:val="auto"/>
          <w:lang w:val="es-ES"/>
        </w:rPr>
        <w:t xml:space="preserve"> </w:t>
      </w:r>
      <w:r w:rsidR="00EC6AC4" w:rsidRPr="003E284C">
        <w:rPr>
          <w:noProof/>
          <w:color w:val="auto"/>
          <w:lang w:val="es-ES"/>
        </w:rPr>
        <w:t>en</w:t>
      </w:r>
      <w:r w:rsidR="00995A46" w:rsidRPr="003E284C">
        <w:rPr>
          <w:noProof/>
          <w:color w:val="auto"/>
          <w:lang w:val="es-ES"/>
        </w:rPr>
        <w:t xml:space="preserve"> enfermedad renal crónica </w:t>
      </w:r>
      <w:r w:rsidR="00EC6AC4" w:rsidRPr="003E284C">
        <w:rPr>
          <w:noProof/>
          <w:color w:val="auto"/>
          <w:lang w:val="es-ES"/>
        </w:rPr>
        <w:t>no contemplan el descenso fisiológico esperado en la tasa de filtración glomerular asociado al proceso de nefroenvejecimiento.</w:t>
      </w:r>
      <w:r w:rsidR="00995A46" w:rsidRPr="003E284C">
        <w:rPr>
          <w:noProof/>
          <w:color w:val="auto"/>
          <w:lang w:val="es-ES"/>
        </w:rPr>
        <w:t xml:space="preserve"> </w:t>
      </w:r>
      <w:r w:rsidR="00EC6AC4" w:rsidRPr="003E284C">
        <w:rPr>
          <w:noProof/>
          <w:color w:val="auto"/>
          <w:lang w:val="es-ES"/>
        </w:rPr>
        <w:t>El</w:t>
      </w:r>
      <w:r w:rsidR="00995A46" w:rsidRPr="003E284C">
        <w:rPr>
          <w:noProof/>
          <w:color w:val="auto"/>
          <w:lang w:val="es-ES"/>
        </w:rPr>
        <w:t xml:space="preserve"> </w:t>
      </w:r>
      <w:r w:rsidR="00EC6AC4" w:rsidRPr="003E284C">
        <w:rPr>
          <w:noProof/>
          <w:color w:val="auto"/>
          <w:lang w:val="es-ES"/>
        </w:rPr>
        <w:t>concepto</w:t>
      </w:r>
      <w:r w:rsidR="00995A46" w:rsidRPr="003E284C">
        <w:rPr>
          <w:noProof/>
          <w:color w:val="auto"/>
          <w:lang w:val="es-ES"/>
        </w:rPr>
        <w:t xml:space="preserve"> </w:t>
      </w:r>
      <w:r w:rsidR="00EC6AC4" w:rsidRPr="003E284C">
        <w:rPr>
          <w:noProof/>
          <w:color w:val="auto"/>
          <w:lang w:val="es-ES"/>
        </w:rPr>
        <w:t>de</w:t>
      </w:r>
      <w:r w:rsidR="00995A46" w:rsidRPr="003E284C">
        <w:rPr>
          <w:noProof/>
          <w:color w:val="auto"/>
          <w:lang w:val="es-ES"/>
        </w:rPr>
        <w:t xml:space="preserve"> </w:t>
      </w:r>
      <w:r w:rsidR="00EC6AC4" w:rsidRPr="003E284C">
        <w:rPr>
          <w:noProof/>
          <w:color w:val="auto"/>
          <w:lang w:val="es-ES"/>
        </w:rPr>
        <w:t>salud</w:t>
      </w:r>
      <w:r w:rsidR="00995A46" w:rsidRPr="003E284C">
        <w:rPr>
          <w:noProof/>
          <w:color w:val="auto"/>
          <w:lang w:val="es-ES"/>
        </w:rPr>
        <w:t xml:space="preserve"> </w:t>
      </w:r>
      <w:r w:rsidR="00EC6AC4" w:rsidRPr="003E284C">
        <w:rPr>
          <w:noProof/>
          <w:color w:val="auto"/>
          <w:lang w:val="es-ES"/>
        </w:rPr>
        <w:t>renal</w:t>
      </w:r>
      <w:r w:rsidR="00995A46" w:rsidRPr="003E284C">
        <w:rPr>
          <w:noProof/>
          <w:color w:val="auto"/>
          <w:lang w:val="es-ES"/>
        </w:rPr>
        <w:t xml:space="preserve"> </w:t>
      </w:r>
      <w:r w:rsidR="00EC6AC4" w:rsidRPr="003E284C">
        <w:rPr>
          <w:noProof/>
          <w:color w:val="auto"/>
          <w:lang w:val="es-ES"/>
        </w:rPr>
        <w:t>y</w:t>
      </w:r>
      <w:r w:rsidR="00995A46" w:rsidRPr="003E284C">
        <w:rPr>
          <w:noProof/>
          <w:color w:val="auto"/>
          <w:lang w:val="es-ES"/>
        </w:rPr>
        <w:t xml:space="preserve"> </w:t>
      </w:r>
      <w:r w:rsidR="00EC6AC4" w:rsidRPr="003E284C">
        <w:rPr>
          <w:noProof/>
          <w:color w:val="auto"/>
          <w:lang w:val="es-ES"/>
        </w:rPr>
        <w:t>nefroenvejecimiento</w:t>
      </w:r>
      <w:r w:rsidR="00995A46" w:rsidRPr="003E284C">
        <w:rPr>
          <w:noProof/>
          <w:color w:val="auto"/>
          <w:lang w:val="es-ES"/>
        </w:rPr>
        <w:t xml:space="preserve"> </w:t>
      </w:r>
      <w:r w:rsidR="00EC6AC4" w:rsidRPr="003E284C">
        <w:rPr>
          <w:noProof/>
          <w:color w:val="auto"/>
          <w:lang w:val="es-ES"/>
        </w:rPr>
        <w:t>no</w:t>
      </w:r>
      <w:r w:rsidR="00995A46" w:rsidRPr="003E284C">
        <w:rPr>
          <w:noProof/>
          <w:color w:val="auto"/>
          <w:lang w:val="es-ES"/>
        </w:rPr>
        <w:t xml:space="preserve"> </w:t>
      </w:r>
      <w:r w:rsidR="00EC6AC4" w:rsidRPr="003E284C">
        <w:rPr>
          <w:noProof/>
          <w:color w:val="auto"/>
          <w:lang w:val="es-ES"/>
        </w:rPr>
        <w:t>son</w:t>
      </w:r>
      <w:r w:rsidR="00995A46" w:rsidRPr="003E284C">
        <w:rPr>
          <w:noProof/>
          <w:color w:val="auto"/>
          <w:lang w:val="es-ES"/>
        </w:rPr>
        <w:t xml:space="preserve"> </w:t>
      </w:r>
      <w:r w:rsidR="00EC6AC4" w:rsidRPr="003E284C">
        <w:rPr>
          <w:noProof/>
          <w:color w:val="auto"/>
          <w:lang w:val="es-ES"/>
        </w:rPr>
        <w:t>excluyentes</w:t>
      </w:r>
      <w:r w:rsidR="00995A46" w:rsidRPr="003E284C">
        <w:rPr>
          <w:noProof/>
          <w:color w:val="auto"/>
          <w:lang w:val="es-ES"/>
        </w:rPr>
        <w:t xml:space="preserve">, </w:t>
      </w:r>
      <w:r w:rsidR="00EC6AC4" w:rsidRPr="003E284C">
        <w:rPr>
          <w:noProof/>
          <w:color w:val="auto"/>
          <w:lang w:val="es-ES"/>
        </w:rPr>
        <w:t>sino complemenetarios debido a que es un proceso complejo que abarca componentes biologicos, sociologicos, economicos e incluso politicos</w:t>
      </w:r>
      <w:r w:rsidR="00995A46" w:rsidRPr="003E284C">
        <w:rPr>
          <w:noProof/>
          <w:color w:val="auto"/>
          <w:lang w:val="es-ES"/>
        </w:rPr>
        <w:t>.</w:t>
      </w:r>
      <w:r w:rsidR="00EC6AC4" w:rsidRPr="003E284C">
        <w:rPr>
          <w:noProof/>
          <w:color w:val="auto"/>
          <w:lang w:val="es-ES"/>
        </w:rPr>
        <w:t xml:space="preserve"> </w:t>
      </w:r>
      <w:r w:rsidR="00995A46" w:rsidRPr="003E284C">
        <w:rPr>
          <w:noProof/>
          <w:color w:val="auto"/>
          <w:lang w:val="es-ES"/>
        </w:rPr>
        <w:t>P</w:t>
      </w:r>
      <w:proofErr w:type="spellStart"/>
      <w:r w:rsidR="00EC6AC4" w:rsidRPr="003E284C">
        <w:rPr>
          <w:color w:val="auto"/>
          <w:lang w:val="es-ES"/>
        </w:rPr>
        <w:t>or</w:t>
      </w:r>
      <w:proofErr w:type="spellEnd"/>
      <w:r w:rsidR="00EC6AC4" w:rsidRPr="003E284C">
        <w:rPr>
          <w:color w:val="auto"/>
          <w:lang w:val="es-ES"/>
        </w:rPr>
        <w:t xml:space="preserve"> esto</w:t>
      </w:r>
      <w:r w:rsidR="00995A46" w:rsidRPr="003E284C">
        <w:rPr>
          <w:color w:val="auto"/>
          <w:lang w:val="es-ES"/>
        </w:rPr>
        <w:t>,</w:t>
      </w:r>
      <w:r w:rsidR="00EC6AC4" w:rsidRPr="003E284C">
        <w:rPr>
          <w:color w:val="auto"/>
          <w:lang w:val="es-ES"/>
        </w:rPr>
        <w:t xml:space="preserve"> la definición de ERC sin el ajuste correspondiente a</w:t>
      </w:r>
      <w:r w:rsidR="00995A46" w:rsidRPr="003E284C">
        <w:rPr>
          <w:color w:val="auto"/>
          <w:lang w:val="es-ES"/>
        </w:rPr>
        <w:t xml:space="preserve"> </w:t>
      </w:r>
      <w:r w:rsidR="00EC6AC4" w:rsidRPr="003E284C">
        <w:rPr>
          <w:color w:val="auto"/>
          <w:lang w:val="es-ES"/>
        </w:rPr>
        <w:t>la</w:t>
      </w:r>
      <w:r w:rsidR="00995A46" w:rsidRPr="003E284C">
        <w:rPr>
          <w:color w:val="auto"/>
          <w:lang w:val="es-ES"/>
        </w:rPr>
        <w:t xml:space="preserve"> </w:t>
      </w:r>
      <w:r w:rsidR="00EC6AC4" w:rsidRPr="003E284C">
        <w:rPr>
          <w:color w:val="auto"/>
          <w:lang w:val="es-ES"/>
        </w:rPr>
        <w:t>disminución</w:t>
      </w:r>
      <w:r w:rsidR="00995A46" w:rsidRPr="003E284C">
        <w:rPr>
          <w:color w:val="auto"/>
          <w:lang w:val="es-ES"/>
        </w:rPr>
        <w:t xml:space="preserve"> </w:t>
      </w:r>
      <w:r w:rsidR="00EC6AC4" w:rsidRPr="003E284C">
        <w:rPr>
          <w:color w:val="auto"/>
          <w:lang w:val="es-ES"/>
        </w:rPr>
        <w:t>esperada</w:t>
      </w:r>
      <w:r w:rsidR="00995A46" w:rsidRPr="003E284C">
        <w:rPr>
          <w:color w:val="auto"/>
          <w:lang w:val="es-ES"/>
        </w:rPr>
        <w:t xml:space="preserve"> </w:t>
      </w:r>
      <w:r w:rsidR="00EC6AC4" w:rsidRPr="003E284C">
        <w:rPr>
          <w:color w:val="auto"/>
          <w:lang w:val="es-ES"/>
        </w:rPr>
        <w:t>según</w:t>
      </w:r>
      <w:r w:rsidR="00995A46" w:rsidRPr="003E284C">
        <w:rPr>
          <w:color w:val="auto"/>
          <w:lang w:val="es-ES"/>
        </w:rPr>
        <w:t xml:space="preserve"> </w:t>
      </w:r>
      <w:r w:rsidR="00EC6AC4" w:rsidRPr="003E284C">
        <w:rPr>
          <w:color w:val="auto"/>
          <w:lang w:val="es-ES"/>
        </w:rPr>
        <w:t>edad</w:t>
      </w:r>
      <w:r w:rsidR="00995A46" w:rsidRPr="003E284C">
        <w:rPr>
          <w:color w:val="auto"/>
          <w:lang w:val="es-ES"/>
        </w:rPr>
        <w:t xml:space="preserve"> </w:t>
      </w:r>
      <w:r w:rsidR="00EC6AC4" w:rsidRPr="003E284C">
        <w:rPr>
          <w:color w:val="auto"/>
          <w:lang w:val="es-ES"/>
        </w:rPr>
        <w:t>y</w:t>
      </w:r>
      <w:r w:rsidR="00995A46" w:rsidRPr="003E284C">
        <w:rPr>
          <w:color w:val="auto"/>
          <w:lang w:val="es-ES"/>
        </w:rPr>
        <w:t xml:space="preserve"> </w:t>
      </w:r>
      <w:r w:rsidR="00EC6AC4" w:rsidRPr="003E284C">
        <w:rPr>
          <w:color w:val="auto"/>
          <w:lang w:val="es-ES"/>
        </w:rPr>
        <w:t>estimada</w:t>
      </w:r>
      <w:r w:rsidR="00995A46" w:rsidRPr="003E284C">
        <w:rPr>
          <w:color w:val="auto"/>
          <w:lang w:val="es-ES"/>
        </w:rPr>
        <w:t xml:space="preserve"> </w:t>
      </w:r>
      <w:r w:rsidR="00EC6AC4" w:rsidRPr="003E284C">
        <w:rPr>
          <w:color w:val="auto"/>
          <w:lang w:val="es-ES"/>
        </w:rPr>
        <w:t>por</w:t>
      </w:r>
      <w:r w:rsidR="00995A46" w:rsidRPr="003E284C">
        <w:rPr>
          <w:color w:val="auto"/>
          <w:lang w:val="es-ES"/>
        </w:rPr>
        <w:t xml:space="preserve"> </w:t>
      </w:r>
      <w:r w:rsidR="00EC6AC4" w:rsidRPr="003E284C">
        <w:rPr>
          <w:color w:val="auto"/>
          <w:lang w:val="es-ES"/>
        </w:rPr>
        <w:t>las fórmulas</w:t>
      </w:r>
      <w:r w:rsidR="00995A46" w:rsidRPr="003E284C">
        <w:rPr>
          <w:color w:val="auto"/>
          <w:lang w:val="es-ES"/>
        </w:rPr>
        <w:t xml:space="preserve"> </w:t>
      </w:r>
      <w:r w:rsidR="00EC6AC4" w:rsidRPr="003E284C">
        <w:rPr>
          <w:color w:val="auto"/>
          <w:lang w:val="es-ES"/>
        </w:rPr>
        <w:t>que</w:t>
      </w:r>
      <w:r w:rsidR="00995A46" w:rsidRPr="003E284C">
        <w:rPr>
          <w:color w:val="auto"/>
          <w:lang w:val="es-ES"/>
        </w:rPr>
        <w:t xml:space="preserve"> </w:t>
      </w:r>
      <w:r w:rsidR="00EC6AC4" w:rsidRPr="003E284C">
        <w:rPr>
          <w:color w:val="auto"/>
          <w:lang w:val="es-ES"/>
        </w:rPr>
        <w:t>hoy</w:t>
      </w:r>
      <w:r w:rsidR="00995A46" w:rsidRPr="003E284C">
        <w:rPr>
          <w:color w:val="auto"/>
          <w:lang w:val="es-ES"/>
        </w:rPr>
        <w:t xml:space="preserve"> </w:t>
      </w:r>
      <w:r w:rsidR="00EC6AC4" w:rsidRPr="003E284C">
        <w:rPr>
          <w:color w:val="auto"/>
          <w:lang w:val="es-ES"/>
        </w:rPr>
        <w:t>usamos</w:t>
      </w:r>
      <w:r w:rsidR="00995A46" w:rsidRPr="003E284C">
        <w:rPr>
          <w:color w:val="auto"/>
          <w:lang w:val="es-ES"/>
        </w:rPr>
        <w:t xml:space="preserve"> </w:t>
      </w:r>
      <w:r w:rsidR="00EC6AC4" w:rsidRPr="003E284C">
        <w:rPr>
          <w:color w:val="auto"/>
          <w:lang w:val="es-ES"/>
        </w:rPr>
        <w:t>en</w:t>
      </w:r>
      <w:r w:rsidR="00995A46" w:rsidRPr="003E284C">
        <w:rPr>
          <w:color w:val="auto"/>
          <w:lang w:val="es-ES"/>
        </w:rPr>
        <w:t xml:space="preserve"> </w:t>
      </w:r>
      <w:r w:rsidR="00EC6AC4" w:rsidRPr="003E284C">
        <w:rPr>
          <w:color w:val="auto"/>
          <w:lang w:val="es-ES"/>
        </w:rPr>
        <w:t>práctica</w:t>
      </w:r>
      <w:r w:rsidR="00995A46" w:rsidRPr="003E284C">
        <w:rPr>
          <w:color w:val="auto"/>
          <w:lang w:val="es-ES"/>
        </w:rPr>
        <w:t xml:space="preserve"> </w:t>
      </w:r>
      <w:r w:rsidR="00EC6AC4" w:rsidRPr="003E284C">
        <w:rPr>
          <w:color w:val="auto"/>
          <w:lang w:val="es-ES"/>
        </w:rPr>
        <w:t>clínica</w:t>
      </w:r>
      <w:r w:rsidR="00995A46" w:rsidRPr="003E284C">
        <w:rPr>
          <w:color w:val="auto"/>
          <w:lang w:val="es-ES"/>
        </w:rPr>
        <w:t xml:space="preserve"> </w:t>
      </w:r>
      <w:r w:rsidR="00EC6AC4" w:rsidRPr="003E284C">
        <w:rPr>
          <w:color w:val="auto"/>
          <w:lang w:val="es-ES"/>
        </w:rPr>
        <w:t>hace</w:t>
      </w:r>
      <w:r w:rsidR="00995A46" w:rsidRPr="003E284C">
        <w:rPr>
          <w:color w:val="auto"/>
          <w:lang w:val="es-ES"/>
        </w:rPr>
        <w:t xml:space="preserve"> </w:t>
      </w:r>
      <w:r w:rsidR="00EC6AC4" w:rsidRPr="003E284C">
        <w:rPr>
          <w:color w:val="auto"/>
          <w:lang w:val="es-ES"/>
        </w:rPr>
        <w:t xml:space="preserve">difícil establecer </w:t>
      </w:r>
      <w:r w:rsidR="00995A46" w:rsidRPr="003E284C">
        <w:rPr>
          <w:color w:val="auto"/>
          <w:lang w:val="es-ES"/>
        </w:rPr>
        <w:t>su</w:t>
      </w:r>
      <w:r w:rsidR="00EC6AC4" w:rsidRPr="003E284C">
        <w:rPr>
          <w:color w:val="auto"/>
          <w:lang w:val="es-ES"/>
        </w:rPr>
        <w:t xml:space="preserve"> real incidencia (Álvarez, 2020).</w:t>
      </w:r>
      <w:bookmarkStart w:id="1" w:name="_heading=h.vcoph1k7w7c" w:colFirst="0" w:colLast="0"/>
      <w:bookmarkEnd w:id="1"/>
    </w:p>
    <w:p w14:paraId="4A2115D3" w14:textId="5CC5EDF8" w:rsidR="00995A46" w:rsidRPr="003E284C" w:rsidRDefault="00667620" w:rsidP="00995A46">
      <w:pPr>
        <w:pStyle w:val="Normal1"/>
        <w:rPr>
          <w:color w:val="auto"/>
          <w:lang w:val="es-ES"/>
        </w:rPr>
      </w:pPr>
      <w:r w:rsidRPr="003E284C">
        <w:rPr>
          <w:color w:val="auto"/>
          <w:lang w:val="es-ES"/>
        </w:rPr>
        <w:t xml:space="preserve">Se han desarrollado fórmulas que permiten estimar el FG y el grado de afección de la ERO, como Cockcroft- </w:t>
      </w:r>
      <w:proofErr w:type="spellStart"/>
      <w:r w:rsidRPr="003E284C">
        <w:rPr>
          <w:color w:val="auto"/>
          <w:lang w:val="es-ES"/>
        </w:rPr>
        <w:t>Gault</w:t>
      </w:r>
      <w:proofErr w:type="spellEnd"/>
      <w:r w:rsidR="00D37E09" w:rsidRPr="003E284C">
        <w:rPr>
          <w:color w:val="auto"/>
          <w:lang w:val="es-ES"/>
        </w:rPr>
        <w:t xml:space="preserve"> y</w:t>
      </w:r>
      <w:r w:rsidRPr="003E284C">
        <w:rPr>
          <w:color w:val="auto"/>
          <w:lang w:val="es-ES"/>
        </w:rPr>
        <w:t xml:space="preserve"> MDRD-4</w:t>
      </w:r>
      <w:r w:rsidR="00D37E09" w:rsidRPr="003E284C">
        <w:rPr>
          <w:color w:val="auto"/>
          <w:lang w:val="es-ES"/>
        </w:rPr>
        <w:t>,</w:t>
      </w:r>
      <w:r w:rsidR="00995A46" w:rsidRPr="003E284C">
        <w:rPr>
          <w:color w:val="auto"/>
          <w:lang w:val="es-ES"/>
        </w:rPr>
        <w:t xml:space="preserve"> </w:t>
      </w:r>
      <w:r w:rsidRPr="003E284C">
        <w:rPr>
          <w:color w:val="auto"/>
          <w:lang w:val="es-ES"/>
        </w:rPr>
        <w:t xml:space="preserve">entre otras </w:t>
      </w:r>
      <w:r w:rsidRPr="003E284C">
        <w:rPr>
          <w:color w:val="auto"/>
          <w:lang w:val="es-ES"/>
        </w:rPr>
        <w:fldChar w:fldCharType="begin" w:fldLock="1"/>
      </w:r>
      <w:r w:rsidRPr="003E284C">
        <w:rPr>
          <w:color w:val="auto"/>
          <w:lang w:val="es-ES"/>
        </w:rPr>
        <w:instrText>ADDIN CSL_CITATION {"citationItems":[{"id":"ITEM-1","itemData":{"ISSN":"2221-2434","author":[{"dropping-particle":"","family":"Galiano","given":"Giorgiet","non-dropping-particle":"","parse-names":false,"suffix":""},{"dropping-particle":"","family":"Lastre","given":"Yamila","non-dropping-particle":"","parse-names":false,"suffix":""},{"dropping-particle":"","family":"Hernández","given":"Roberto","non-dropping-particle":"","parse-names":false,"suffix":""},{"dropping-particle":"","family":"García","given":"Lilia Ramona","non-dropping-particle":"","parse-names":false,"suffix":""}],"container-title":"Revista Finlay","id":"ITEM-1","issue":"2","issued":{"date-parts":[["2019"]]},"page":"118-126","title":"Prevalencia de la enfermedad renal oculta en adultos mayores hipertensos en la atención primaria de salud","type":"article-journal","volume":"9"},"uris":["http://www.mendeley.com/documents/?uuid=7ee4b39f-99e2-493a-8d88-7d6226d43e25"]}],"mendeley":{"formattedCitation":"(4)","plainTextFormattedCitation":"(4)","previouslyFormattedCitation":"(4)"},"properties":{"noteIndex":0},"schema":"https://github.com/citation-style-language/schema/raw/master/csl-citation.json"}</w:instrText>
      </w:r>
      <w:r w:rsidRPr="003E284C">
        <w:rPr>
          <w:color w:val="auto"/>
          <w:lang w:val="es-ES"/>
        </w:rPr>
        <w:fldChar w:fldCharType="separate"/>
      </w:r>
      <w:r w:rsidRPr="003E284C">
        <w:rPr>
          <w:noProof/>
          <w:color w:val="auto"/>
          <w:lang w:val="es-ES"/>
        </w:rPr>
        <w:t>(</w:t>
      </w:r>
      <w:r w:rsidR="00FD4AA5" w:rsidRPr="003E284C">
        <w:rPr>
          <w:noProof/>
          <w:color w:val="auto"/>
          <w:lang w:val="es-ES"/>
        </w:rPr>
        <w:t xml:space="preserve">Galiano </w:t>
      </w:r>
      <w:r w:rsidR="006C597A" w:rsidRPr="003E284C">
        <w:rPr>
          <w:i/>
          <w:noProof/>
          <w:color w:val="auto"/>
          <w:lang w:val="es-ES"/>
        </w:rPr>
        <w:t>et al.</w:t>
      </w:r>
      <w:r w:rsidR="00E41228" w:rsidRPr="003E284C">
        <w:rPr>
          <w:noProof/>
          <w:color w:val="auto"/>
          <w:lang w:val="es-ES"/>
        </w:rPr>
        <w:t>,</w:t>
      </w:r>
      <w:r w:rsidR="00FD4AA5" w:rsidRPr="003E284C">
        <w:rPr>
          <w:noProof/>
          <w:color w:val="auto"/>
          <w:lang w:val="es-ES"/>
        </w:rPr>
        <w:t xml:space="preserve"> 2019</w:t>
      </w:r>
      <w:r w:rsidRPr="003E284C">
        <w:rPr>
          <w:noProof/>
          <w:color w:val="auto"/>
          <w:lang w:val="es-ES"/>
        </w:rPr>
        <w:t>)</w:t>
      </w:r>
      <w:r w:rsidRPr="003E284C">
        <w:rPr>
          <w:color w:val="auto"/>
          <w:lang w:val="es-ES"/>
        </w:rPr>
        <w:fldChar w:fldCharType="end"/>
      </w:r>
      <w:r w:rsidRPr="003E284C">
        <w:rPr>
          <w:color w:val="auto"/>
          <w:lang w:val="es-ES"/>
        </w:rPr>
        <w:t>.</w:t>
      </w:r>
      <w:bookmarkStart w:id="2" w:name="_heading=h.i82bz4n5euzw" w:colFirst="0" w:colLast="0"/>
      <w:bookmarkEnd w:id="2"/>
      <w:r w:rsidRPr="003E284C">
        <w:rPr>
          <w:color w:val="auto"/>
          <w:lang w:val="es-ES"/>
        </w:rPr>
        <w:t xml:space="preserve"> </w:t>
      </w:r>
      <w:r w:rsidR="00995A46" w:rsidRPr="003E284C">
        <w:rPr>
          <w:color w:val="auto"/>
          <w:lang w:val="es-ES"/>
        </w:rPr>
        <w:t>Asimismo, s</w:t>
      </w:r>
      <w:r w:rsidR="00D37E09" w:rsidRPr="003E284C">
        <w:rPr>
          <w:color w:val="auto"/>
          <w:lang w:val="es-ES"/>
        </w:rPr>
        <w:t>e ha reportado</w:t>
      </w:r>
      <w:r w:rsidRPr="003E284C">
        <w:rPr>
          <w:color w:val="auto"/>
          <w:lang w:val="es-ES"/>
        </w:rPr>
        <w:t xml:space="preserve"> que pacientes con ERC tienen más probabilidades de morir, por lo que es importante evaluar los factores de riesgo presentes en la ERO </w:t>
      </w:r>
      <w:r w:rsidRPr="003E284C">
        <w:rPr>
          <w:color w:val="auto"/>
          <w:lang w:val="es-ES"/>
        </w:rPr>
        <w:fldChar w:fldCharType="begin" w:fldLock="1"/>
      </w:r>
      <w:r w:rsidRPr="003E284C">
        <w:rPr>
          <w:color w:val="auto"/>
          <w:lang w:val="es-ES"/>
        </w:rPr>
        <w:instrText>ADDIN CSL_CITATION {"citationItems":[{"id":"ITEM-1","itemData":{"DOI":"10.35366/94025","ISSN":"2007-6800","abstract":"Introducción: La enfermedad renal crónica (ERC) es una enfermedad multifactorial de carácter progresivo e irreversible. En esta enfermedad la función renal se encuentra deteriorada; en estadios avanzados requiere, por lo general, terapias de reemplazo renal (TRR). El elevado costo del tratamiento sustitutivo de la ERC representará un importante reto para los sistemas de salud. En nuestro país, históricamente ha predominado el uso de diálisis peritoneal, aunque recientemente se ha dado impulso a la hemodiálisis. Por un lado, en México, la hemodiálisis sigue siendo poco accesible para la mayoría de los pacientes. Por otro lado, el trasplante renal (TR) es la única modalidad de TRR que realmente previene el desarrollo de uremia, pero desgraciadamente no todos los pacientes con\nERC son candidatos a TR. Por esta razón, es necesaria una\nevaluación exhaustiva de los candidatos para TR con el fin de\nmaximizar los recursos económicos y humanos. Objetivo: Determinar cuál es la alternativa de menor costo de atención en\npacientes con diálisis-hemodiálisis en comparación con los pacientes en TR desde la perspectiva de dos instituciones públicas como son el Instituto Mexicano del Seguro Social (IMSS)\ny el Instituto de Seguridad y Servicios Sociales de los Trabajadores del Estado (ISSSTE). Material y métodos: Estudio retrospectivo para estimar los costos promedio de atención de la\ndiálisis-hemodiálisis y del TR. Los costos promedio estimados\nen salud fueron evaluados desde el punto de vista de los prestadores de servicios públicos de salud, en este caso, el IMSS y\nel ISSSTE. La frecuencia de recursos utilizados de los pacientes con diálisis-hemodiálisis y TR se estimó a través de la propia información de la experiencia de atención de los médicos\ntratantes de cada institución durante 2017. Sólo se consideraron los costos médicos directos de los pacientes (insumos y/o recursos que utilizaron en un año), con un seguimiento posterior al año tres y seis del seguimiento. Resultados: El costo\nde atención anual promedio per cápita para el primer año de la diálisis-hemodiálisis fue de 465,485.96 y 783,780.44 pesos, respectivamente, siendo el costo por las complicaciones en el caso de la diálisis el de mayor tamaño, lo cual representa 54.6% del costo total de atención; en tanto que en los pacientes con hemodiálisis las sesiones de tratamiento representaron 50.8% del costo total. El costo de atención anual promedio de los pacientes con TR per cápita para el año uno fue de $862,4…","author":[{"dropping-particle":"","family":"Sánchez-Cedillo","given":"Aczel","non-dropping-particle":"","parse-names":false,"suffix":""},{"dropping-particle":"","family":"Cruz-Santiago","given":" José","non-dropping-particle":"","parse-names":false,"suffix":""},{"dropping-particle":"","family":" Mariño-Rojas","given":"Fabiola Beatriz","non-dropping-particle":"","parse-names":false,"suffix":""},{"dropping-particle":"","family":" Hernández-Estrada","given":"Sergio","non-dropping-particle":"","parse-names":false,"suffix":""},{"dropping-particle":"","family":"García-Ramírez","given":"Catalina","non-dropping-particle":"","parse-names":false,"suffix":""}],"container-title":"Revista Mexicana de Trasplantes","id":"ITEM-1","issue":"1","issued":{"date-parts":[["2020"]]},"page":"15-25","title":"Carga de la enfermedad: insuficiencia renal, diálisis-hemodiálisis y trasplante renal en México. Costo de la enfermedad","type":"article-journal","volume":"9"},"uris":["http://www.mendeley.com/documents/?uuid=edf0b7ad-0662-44a3-a592-b2032167a27a"]}],"mendeley":{"formattedCitation":"(5)","plainTextFormattedCitation":"(5)","previouslyFormattedCitation":"(5)"},"properties":{"noteIndex":0},"schema":"https://github.com/citation-style-language/schema/raw/master/csl-citation.json"}</w:instrText>
      </w:r>
      <w:r w:rsidRPr="003E284C">
        <w:rPr>
          <w:color w:val="auto"/>
          <w:lang w:val="es-ES"/>
        </w:rPr>
        <w:fldChar w:fldCharType="separate"/>
      </w:r>
      <w:r w:rsidRPr="003E284C">
        <w:rPr>
          <w:noProof/>
          <w:color w:val="auto"/>
          <w:lang w:val="es-ES"/>
        </w:rPr>
        <w:t>(</w:t>
      </w:r>
      <w:r w:rsidR="00F73142" w:rsidRPr="003E284C">
        <w:rPr>
          <w:noProof/>
          <w:color w:val="auto"/>
          <w:lang w:val="es-ES"/>
        </w:rPr>
        <w:t>Sánchez</w:t>
      </w:r>
      <w:r w:rsidR="006850E9" w:rsidRPr="003E284C">
        <w:rPr>
          <w:noProof/>
          <w:color w:val="auto"/>
        </w:rPr>
        <w:t xml:space="preserve"> </w:t>
      </w:r>
      <w:r w:rsidR="006C597A" w:rsidRPr="003E284C">
        <w:rPr>
          <w:i/>
          <w:noProof/>
          <w:color w:val="auto"/>
          <w:lang w:val="es-ES"/>
        </w:rPr>
        <w:t>et al.</w:t>
      </w:r>
      <w:r w:rsidR="00EC14DF" w:rsidRPr="003E284C">
        <w:rPr>
          <w:noProof/>
          <w:color w:val="auto"/>
          <w:lang w:val="es-ES"/>
        </w:rPr>
        <w:t>,</w:t>
      </w:r>
      <w:r w:rsidR="00FD4AA5" w:rsidRPr="003E284C">
        <w:rPr>
          <w:noProof/>
          <w:color w:val="auto"/>
          <w:lang w:val="es-ES"/>
        </w:rPr>
        <w:t xml:space="preserve"> 2020</w:t>
      </w:r>
      <w:r w:rsidRPr="003E284C">
        <w:rPr>
          <w:noProof/>
          <w:color w:val="auto"/>
          <w:lang w:val="es-ES"/>
        </w:rPr>
        <w:t>)</w:t>
      </w:r>
      <w:r w:rsidRPr="003E284C">
        <w:rPr>
          <w:color w:val="auto"/>
          <w:lang w:val="es-ES"/>
        </w:rPr>
        <w:fldChar w:fldCharType="end"/>
      </w:r>
      <w:r w:rsidR="006C597A" w:rsidRPr="003E284C">
        <w:rPr>
          <w:color w:val="auto"/>
          <w:lang w:val="es-ES"/>
        </w:rPr>
        <w:t xml:space="preserve">. Además, </w:t>
      </w:r>
      <w:r w:rsidR="00C07318" w:rsidRPr="003E284C">
        <w:rPr>
          <w:color w:val="auto"/>
          <w:lang w:val="es-ES"/>
        </w:rPr>
        <w:t>e</w:t>
      </w:r>
      <w:r w:rsidR="00843E97" w:rsidRPr="003E284C">
        <w:rPr>
          <w:color w:val="auto"/>
          <w:lang w:val="es-ES"/>
        </w:rPr>
        <w:t xml:space="preserve">xisten factores que aceleran el deterioro renal independientemente del ritmo de progresión propio de la ERC, muchos de </w:t>
      </w:r>
      <w:r w:rsidR="00995A46" w:rsidRPr="003E284C">
        <w:rPr>
          <w:color w:val="auto"/>
          <w:lang w:val="es-ES"/>
        </w:rPr>
        <w:t xml:space="preserve">los cuales son </w:t>
      </w:r>
      <w:r w:rsidR="00843E97" w:rsidRPr="003E284C">
        <w:rPr>
          <w:color w:val="auto"/>
          <w:lang w:val="es-ES"/>
        </w:rPr>
        <w:t xml:space="preserve">reversibles, </w:t>
      </w:r>
      <w:r w:rsidR="00995A46" w:rsidRPr="003E284C">
        <w:rPr>
          <w:color w:val="auto"/>
          <w:lang w:val="es-ES"/>
        </w:rPr>
        <w:t xml:space="preserve">de ahí que sea </w:t>
      </w:r>
      <w:r w:rsidR="00843E97" w:rsidRPr="003E284C">
        <w:rPr>
          <w:color w:val="auto"/>
          <w:lang w:val="es-ES"/>
        </w:rPr>
        <w:t>imprescindible conocerlos y corregirlos (</w:t>
      </w:r>
      <w:r w:rsidR="00166FF7" w:rsidRPr="003E284C">
        <w:rPr>
          <w:color w:val="auto"/>
          <w:lang w:val="es-ES"/>
        </w:rPr>
        <w:t>García</w:t>
      </w:r>
      <w:r w:rsidR="006850E9" w:rsidRPr="003E284C">
        <w:rPr>
          <w:noProof/>
          <w:color w:val="auto"/>
        </w:rPr>
        <w:t xml:space="preserve"> </w:t>
      </w:r>
      <w:r w:rsidR="006C597A" w:rsidRPr="003E284C">
        <w:rPr>
          <w:i/>
          <w:color w:val="auto"/>
          <w:lang w:val="es-ES"/>
        </w:rPr>
        <w:t>et al.</w:t>
      </w:r>
      <w:r w:rsidR="00843E97" w:rsidRPr="003E284C">
        <w:rPr>
          <w:color w:val="auto"/>
          <w:lang w:val="es-ES"/>
        </w:rPr>
        <w:t>, 2014).</w:t>
      </w:r>
    </w:p>
    <w:p w14:paraId="5BAF2550" w14:textId="355B7568" w:rsidR="00EE4F20" w:rsidRPr="003E284C" w:rsidRDefault="00D37E09" w:rsidP="00995A46">
      <w:pPr>
        <w:pStyle w:val="Normal1"/>
        <w:rPr>
          <w:color w:val="auto"/>
          <w:lang w:val="es-ES"/>
        </w:rPr>
      </w:pPr>
      <w:r w:rsidRPr="003E284C">
        <w:rPr>
          <w:color w:val="auto"/>
          <w:lang w:val="es-ES"/>
        </w:rPr>
        <w:t>Investigaciones</w:t>
      </w:r>
      <w:r w:rsidR="002806DA" w:rsidRPr="003E284C">
        <w:rPr>
          <w:color w:val="auto"/>
          <w:lang w:val="es-ES"/>
        </w:rPr>
        <w:t xml:space="preserve"> en pacientes con enfermedades crónicas muestra</w:t>
      </w:r>
      <w:r w:rsidRPr="003E284C">
        <w:rPr>
          <w:color w:val="auto"/>
          <w:lang w:val="es-ES"/>
        </w:rPr>
        <w:t>n</w:t>
      </w:r>
      <w:r w:rsidR="002806DA" w:rsidRPr="003E284C">
        <w:rPr>
          <w:color w:val="auto"/>
          <w:lang w:val="es-ES"/>
        </w:rPr>
        <w:t xml:space="preserve"> como factores de rie</w:t>
      </w:r>
      <w:r w:rsidR="005B2D46" w:rsidRPr="003E284C">
        <w:rPr>
          <w:color w:val="auto"/>
          <w:lang w:val="es-ES"/>
        </w:rPr>
        <w:t>s</w:t>
      </w:r>
      <w:r w:rsidR="002806DA" w:rsidRPr="003E284C">
        <w:rPr>
          <w:color w:val="auto"/>
          <w:lang w:val="es-ES"/>
        </w:rPr>
        <w:t>go de la ERO la hipertensión arterial sistémica (HAS),</w:t>
      </w:r>
      <w:r w:rsidR="009A6AA1" w:rsidRPr="003E284C">
        <w:rPr>
          <w:color w:val="auto"/>
          <w:lang w:val="es-ES"/>
        </w:rPr>
        <w:t xml:space="preserve"> el</w:t>
      </w:r>
      <w:r w:rsidR="002806DA" w:rsidRPr="003E284C">
        <w:rPr>
          <w:color w:val="auto"/>
          <w:lang w:val="es-ES"/>
        </w:rPr>
        <w:t xml:space="preserve"> índice de masa corporal,</w:t>
      </w:r>
      <w:r w:rsidR="009A6AA1" w:rsidRPr="003E284C">
        <w:rPr>
          <w:color w:val="auto"/>
          <w:lang w:val="es-ES"/>
        </w:rPr>
        <w:t xml:space="preserve"> la</w:t>
      </w:r>
      <w:r w:rsidR="002806DA" w:rsidRPr="003E284C">
        <w:rPr>
          <w:color w:val="auto"/>
          <w:lang w:val="es-ES"/>
        </w:rPr>
        <w:t xml:space="preserve"> edad y </w:t>
      </w:r>
      <w:r w:rsidRPr="003E284C">
        <w:rPr>
          <w:color w:val="auto"/>
          <w:lang w:val="es-ES"/>
        </w:rPr>
        <w:t xml:space="preserve">el </w:t>
      </w:r>
      <w:r w:rsidR="002806DA" w:rsidRPr="003E284C">
        <w:rPr>
          <w:color w:val="auto"/>
          <w:lang w:val="es-ES"/>
        </w:rPr>
        <w:t xml:space="preserve">sexo. </w:t>
      </w:r>
      <w:r w:rsidRPr="003E284C">
        <w:rPr>
          <w:color w:val="auto"/>
          <w:lang w:val="es-ES"/>
        </w:rPr>
        <w:t>Además,</w:t>
      </w:r>
      <w:r w:rsidR="002806DA" w:rsidRPr="003E284C">
        <w:rPr>
          <w:color w:val="auto"/>
          <w:lang w:val="es-ES"/>
        </w:rPr>
        <w:t xml:space="preserve"> la DM2 se present</w:t>
      </w:r>
      <w:r w:rsidR="001773ED" w:rsidRPr="003E284C">
        <w:rPr>
          <w:color w:val="auto"/>
          <w:lang w:val="es-ES"/>
        </w:rPr>
        <w:t>a</w:t>
      </w:r>
      <w:r w:rsidR="002806DA" w:rsidRPr="003E284C">
        <w:rPr>
          <w:color w:val="auto"/>
          <w:lang w:val="es-ES"/>
        </w:rPr>
        <w:t xml:space="preserve"> como una enfermedad crónica asociada a la ERO</w:t>
      </w:r>
      <w:r w:rsidR="00EE4F20" w:rsidRPr="003E284C">
        <w:rPr>
          <w:color w:val="auto"/>
          <w:lang w:val="es-ES"/>
        </w:rPr>
        <w:t xml:space="preserve"> </w:t>
      </w:r>
      <w:r w:rsidR="002806DA" w:rsidRPr="003E284C">
        <w:rPr>
          <w:color w:val="auto"/>
          <w:lang w:val="es-ES"/>
        </w:rPr>
        <w:t>(Balderas </w:t>
      </w:r>
      <w:r w:rsidR="006C597A" w:rsidRPr="003E284C">
        <w:rPr>
          <w:i/>
          <w:color w:val="auto"/>
          <w:lang w:val="es-ES"/>
        </w:rPr>
        <w:t>et al.</w:t>
      </w:r>
      <w:r w:rsidR="00265BCB" w:rsidRPr="003E284C">
        <w:rPr>
          <w:color w:val="auto"/>
          <w:lang w:val="es-ES"/>
        </w:rPr>
        <w:t>,</w:t>
      </w:r>
      <w:r w:rsidR="002806DA" w:rsidRPr="003E284C">
        <w:rPr>
          <w:color w:val="auto"/>
          <w:lang w:val="es-ES"/>
        </w:rPr>
        <w:t> 2019</w:t>
      </w:r>
      <w:r w:rsidR="00C54212" w:rsidRPr="003E284C">
        <w:rPr>
          <w:color w:val="auto"/>
          <w:lang w:val="es-ES"/>
        </w:rPr>
        <w:t xml:space="preserve">; </w:t>
      </w:r>
      <w:r w:rsidR="00166FF7" w:rsidRPr="003E284C">
        <w:rPr>
          <w:color w:val="auto"/>
          <w:lang w:val="es-ES"/>
        </w:rPr>
        <w:t>López</w:t>
      </w:r>
      <w:r w:rsidR="006850E9" w:rsidRPr="003E284C">
        <w:rPr>
          <w:noProof/>
          <w:color w:val="auto"/>
        </w:rPr>
        <w:t xml:space="preserve"> </w:t>
      </w:r>
      <w:r w:rsidR="006C597A" w:rsidRPr="003E284C">
        <w:rPr>
          <w:i/>
          <w:color w:val="auto"/>
          <w:lang w:val="es-ES"/>
        </w:rPr>
        <w:t>et al.</w:t>
      </w:r>
      <w:r w:rsidR="00C54212" w:rsidRPr="003E284C">
        <w:rPr>
          <w:color w:val="auto"/>
          <w:lang w:val="es-ES"/>
        </w:rPr>
        <w:t>, 2020</w:t>
      </w:r>
      <w:r w:rsidR="002806DA" w:rsidRPr="003E284C">
        <w:rPr>
          <w:color w:val="auto"/>
          <w:lang w:val="es-ES"/>
        </w:rPr>
        <w:t>)</w:t>
      </w:r>
      <w:r w:rsidR="001773ED" w:rsidRPr="003E284C">
        <w:rPr>
          <w:color w:val="auto"/>
          <w:lang w:val="es-ES"/>
        </w:rPr>
        <w:t>.</w:t>
      </w:r>
      <w:r w:rsidR="00995A46" w:rsidRPr="003E284C">
        <w:rPr>
          <w:color w:val="auto"/>
          <w:lang w:val="es-ES"/>
        </w:rPr>
        <w:t xml:space="preserve"> </w:t>
      </w:r>
    </w:p>
    <w:p w14:paraId="784480B0" w14:textId="6BC794F3" w:rsidR="006C597A" w:rsidRPr="003E284C" w:rsidRDefault="00667620" w:rsidP="006C597A">
      <w:pPr>
        <w:pStyle w:val="Normal1"/>
        <w:rPr>
          <w:color w:val="auto"/>
          <w:lang w:val="es-ES"/>
        </w:rPr>
      </w:pPr>
      <w:r w:rsidRPr="003E284C">
        <w:rPr>
          <w:color w:val="auto"/>
          <w:lang w:val="es-ES"/>
        </w:rPr>
        <w:lastRenderedPageBreak/>
        <w:t xml:space="preserve">La DM2 destaca por ser la </w:t>
      </w:r>
      <w:r w:rsidR="00344FD0" w:rsidRPr="003E284C">
        <w:rPr>
          <w:color w:val="auto"/>
          <w:lang w:val="es-ES"/>
        </w:rPr>
        <w:t xml:space="preserve">segunda </w:t>
      </w:r>
      <w:r w:rsidRPr="003E284C">
        <w:rPr>
          <w:color w:val="auto"/>
          <w:lang w:val="es-ES"/>
        </w:rPr>
        <w:t>causa de mortalidad en</w:t>
      </w:r>
      <w:r w:rsidR="001773ED" w:rsidRPr="003E284C">
        <w:rPr>
          <w:color w:val="auto"/>
          <w:lang w:val="es-ES"/>
        </w:rPr>
        <w:t xml:space="preserve"> México en</w:t>
      </w:r>
      <w:r w:rsidRPr="003E284C">
        <w:rPr>
          <w:color w:val="auto"/>
          <w:lang w:val="es-ES"/>
        </w:rPr>
        <w:t xml:space="preserve"> 202</w:t>
      </w:r>
      <w:r w:rsidR="00344FD0" w:rsidRPr="003E284C">
        <w:rPr>
          <w:color w:val="auto"/>
          <w:lang w:val="es-ES"/>
        </w:rPr>
        <w:t>2</w:t>
      </w:r>
      <w:r w:rsidRPr="003E284C">
        <w:rPr>
          <w:color w:val="auto"/>
          <w:lang w:val="es-ES"/>
        </w:rPr>
        <w:t xml:space="preserve">, superada por </w:t>
      </w:r>
      <w:r w:rsidR="001773ED" w:rsidRPr="003E284C">
        <w:rPr>
          <w:color w:val="auto"/>
          <w:lang w:val="es-ES"/>
        </w:rPr>
        <w:t xml:space="preserve">las </w:t>
      </w:r>
      <w:r w:rsidRPr="003E284C">
        <w:rPr>
          <w:color w:val="auto"/>
          <w:lang w:val="es-ES"/>
        </w:rPr>
        <w:t>enfermedades cardiovasculares</w:t>
      </w:r>
      <w:r w:rsidR="009C414F" w:rsidRPr="003E284C">
        <w:rPr>
          <w:color w:val="auto"/>
          <w:lang w:val="es-ES"/>
        </w:rPr>
        <w:t xml:space="preserve"> </w:t>
      </w:r>
      <w:r w:rsidR="00FD4AA5" w:rsidRPr="003E284C">
        <w:rPr>
          <w:color w:val="auto"/>
          <w:lang w:val="es-ES"/>
        </w:rPr>
        <w:fldChar w:fldCharType="begin" w:fldLock="1"/>
      </w:r>
      <w:r w:rsidR="00FD4AA5" w:rsidRPr="003E284C">
        <w:rPr>
          <w:color w:val="auto"/>
          <w:lang w:val="es-ES"/>
        </w:rPr>
        <w:instrText>ADDIN CSL_CITATION {"citationItems":[{"id":"ITEM-1","itemData":{"abstract":"• En 2020, 151 019 personas fallecieron a causa de la diabetes mellitus, lo cual equivale a 14% del total de defunciones (1 086 743) ocurridas en el país; 78 922 defunciones en hombres (52%) y 72 094 en mujeres (48%). • La tasa de mortalidad por diabetes para 2020 es de 11.95 personas por cada 10 mil habitantes, la cifra más alta en los últimos 10 años. En 1991 la Organización Mundial de la Salud (OMS) y la Federación Internacional de la Diabetes (FID) crearon el Día Mundial de la Diabetes. En 2006, en la resolución 61/225, la ONU designó el 14 de noviembre como día oficial para esta conmemoración. La selección de esta fecha se debe al natalicio de Sir Frederick Banting, quien junto a Charles Best, descubrió la insulina en 1922. En 2020, con motivo de la celebración del Día Mundial de la Diabetes, la Organización Panamericana de la Salud (OPS) enfatizó la importancia de implementar estrategias para prevenir, dar seguimiento y controlar esta enfermedad en el marco de la emergencia sanitaria por COVID 19, que ha supuesto desafíos tanto al sistema de salud como a quienes la padecen 1. En conmemoración de esta fecha, el Instituto Nacional de Estadística y Geografía (INEGI) ofrece el siguiente panorama nacional sobre la morbilidad y mortalidad por diabetes. MORBILIDAD A nivel mundial la FID estima que en 2019 había 463 millones de personas con diabetes y que esta cifra puede aumentar a 578 millones para 2030 y a 700 millones en 2045 2. En México, durante 2018 de acuerdo con la Encuesta Nacional de Salud y Nutrición había 82 767 605 personas de 20 años y más en el país, de las cuales 10.32% reportaron (8 542 718) contar con un diagnóstico médico previo de diabetes mellitus. Por sexo, 13.22% (5.1 millones) de las mujeres de 20 años y más disponían de este diagnóstico y 7.75% (3.4 millones) en los hombres de 20 años y más. Es decir, la enfermedad está más presente en las mujeres que en los hombres. Se observa un incremento del diagnóstico de la enfermedad conforme aumenta la edad de las personas; a nivel nacional poco más de una cuarta parte de la población de 60 a 69 años (25.8%) declaró contar con un diagnóstico previo de diabetes que representan 2.3 millones de personas. En el caso de las mujeres en este grupo de edad se presenta la prevalencia más alta con 35.6% (1.4 millones). Es en los hombres del grupo de 70 y más años donde se concentra la prevalencia más alta 18.4% de casos de diagnósticos previos de diabetes (714 mil personas). 1 Organización Panameri…","author":[{"dropping-particle":"","family":"INEGI","given":"","non-dropping-particle":"","parse-names":false,"suffix":""}],"container-title":"Comunicado de Prensa. No. 645/21","id":"ITEM-1","issue":"645/21","issued":{"date-parts":[["2021"]]},"page":"1-5","title":"Estadísticas a propósito del día mundial de la Diabetes (14 de noviembre). Datos nacionales","type":"article-journal"},"uris":["http://www.mendeley.com/documents/?uuid=e7b71a19-6bf5-4e31-bdc3-6d4c8ea6ac20"]}],"mendeley":{"formattedCitation":"(1)","plainTextFormattedCitation":"(1)","previouslyFormattedCitation":"(1)"},"properties":{"noteIndex":0},"schema":"https://github.com/citation-style-language/schema/raw/master/csl-citation.json"}</w:instrText>
      </w:r>
      <w:r w:rsidR="00FD4AA5" w:rsidRPr="003E284C">
        <w:rPr>
          <w:color w:val="auto"/>
          <w:lang w:val="es-ES"/>
        </w:rPr>
        <w:fldChar w:fldCharType="separate"/>
      </w:r>
      <w:r w:rsidR="00FD4AA5" w:rsidRPr="003E284C">
        <w:rPr>
          <w:noProof/>
          <w:color w:val="auto"/>
          <w:lang w:val="es-ES"/>
        </w:rPr>
        <w:t>(INEGI</w:t>
      </w:r>
      <w:r w:rsidR="00AE50B9" w:rsidRPr="003E284C">
        <w:rPr>
          <w:noProof/>
          <w:color w:val="auto"/>
          <w:lang w:val="es-ES"/>
        </w:rPr>
        <w:t>,</w:t>
      </w:r>
      <w:r w:rsidR="006850E9" w:rsidRPr="003E284C">
        <w:rPr>
          <w:rFonts w:eastAsiaTheme="minorHAnsi"/>
          <w:color w:val="auto"/>
        </w:rPr>
        <w:t xml:space="preserve"> </w:t>
      </w:r>
      <w:r w:rsidR="006850E9" w:rsidRPr="003E284C">
        <w:rPr>
          <w:rStyle w:val="normalCar"/>
          <w:rFonts w:eastAsiaTheme="minorHAnsi"/>
          <w:color w:val="auto"/>
        </w:rPr>
        <w:t xml:space="preserve"> 202</w:t>
      </w:r>
      <w:r w:rsidR="00344FD0" w:rsidRPr="003E284C">
        <w:rPr>
          <w:rStyle w:val="normalCar"/>
          <w:rFonts w:eastAsiaTheme="minorHAnsi"/>
          <w:color w:val="auto"/>
        </w:rPr>
        <w:t>3</w:t>
      </w:r>
      <w:r w:rsidR="00FD4AA5" w:rsidRPr="003E284C">
        <w:rPr>
          <w:noProof/>
          <w:color w:val="auto"/>
          <w:lang w:val="es-ES"/>
        </w:rPr>
        <w:t>)</w:t>
      </w:r>
      <w:r w:rsidR="00FD4AA5" w:rsidRPr="003E284C">
        <w:rPr>
          <w:color w:val="auto"/>
          <w:lang w:val="es-ES"/>
        </w:rPr>
        <w:fldChar w:fldCharType="end"/>
      </w:r>
      <w:r w:rsidR="00FD4AA5" w:rsidRPr="003E284C">
        <w:rPr>
          <w:color w:val="auto"/>
          <w:lang w:val="es-ES"/>
        </w:rPr>
        <w:t>.</w:t>
      </w:r>
      <w:r w:rsidR="00843E97" w:rsidRPr="003E284C">
        <w:rPr>
          <w:color w:val="auto"/>
          <w:lang w:val="es-ES"/>
        </w:rPr>
        <w:t xml:space="preserve"> En los period</w:t>
      </w:r>
      <w:r w:rsidR="00B8777D" w:rsidRPr="003E284C">
        <w:rPr>
          <w:color w:val="auto"/>
          <w:lang w:val="es-ES"/>
        </w:rPr>
        <w:t>o</w:t>
      </w:r>
      <w:r w:rsidR="00843E97" w:rsidRPr="003E284C">
        <w:rPr>
          <w:color w:val="auto"/>
          <w:lang w:val="es-ES"/>
        </w:rPr>
        <w:t>s de pre</w:t>
      </w:r>
      <w:r w:rsidR="00B8777D" w:rsidRPr="003E284C">
        <w:rPr>
          <w:color w:val="auto"/>
          <w:lang w:val="es-ES"/>
        </w:rPr>
        <w:t>p</w:t>
      </w:r>
      <w:r w:rsidR="00843E97" w:rsidRPr="003E284C">
        <w:rPr>
          <w:color w:val="auto"/>
          <w:lang w:val="es-ES"/>
        </w:rPr>
        <w:t>an</w:t>
      </w:r>
      <w:r w:rsidR="00B8777D" w:rsidRPr="003E284C">
        <w:rPr>
          <w:color w:val="auto"/>
          <w:lang w:val="es-ES"/>
        </w:rPr>
        <w:t>d</w:t>
      </w:r>
      <w:r w:rsidR="00843E97" w:rsidRPr="003E284C">
        <w:rPr>
          <w:color w:val="auto"/>
          <w:lang w:val="es-ES"/>
        </w:rPr>
        <w:t>emia y durante la pandemia</w:t>
      </w:r>
      <w:r w:rsidR="00B8777D" w:rsidRPr="003E284C">
        <w:rPr>
          <w:color w:val="auto"/>
          <w:lang w:val="es-ES"/>
        </w:rPr>
        <w:t>,</w:t>
      </w:r>
      <w:r w:rsidR="00843E97" w:rsidRPr="003E284C">
        <w:rPr>
          <w:color w:val="auto"/>
          <w:lang w:val="es-ES"/>
        </w:rPr>
        <w:t xml:space="preserve"> la mayoría de los pacientes con diabetes </w:t>
      </w:r>
      <w:r w:rsidR="00B8777D" w:rsidRPr="003E284C">
        <w:rPr>
          <w:color w:val="auto"/>
          <w:lang w:val="es-ES"/>
        </w:rPr>
        <w:t>presentaron</w:t>
      </w:r>
      <w:r w:rsidR="00995A46" w:rsidRPr="003E284C">
        <w:rPr>
          <w:color w:val="auto"/>
          <w:lang w:val="es-ES"/>
        </w:rPr>
        <w:t xml:space="preserve"> </w:t>
      </w:r>
      <w:r w:rsidR="00843E97" w:rsidRPr="003E284C">
        <w:rPr>
          <w:color w:val="auto"/>
          <w:lang w:val="es-ES"/>
        </w:rPr>
        <w:t>descontrol</w:t>
      </w:r>
      <w:r w:rsidR="00995A46" w:rsidRPr="003E284C">
        <w:rPr>
          <w:color w:val="auto"/>
          <w:lang w:val="es-ES"/>
        </w:rPr>
        <w:t xml:space="preserve"> </w:t>
      </w:r>
      <w:r w:rsidR="00843E97" w:rsidRPr="003E284C">
        <w:rPr>
          <w:color w:val="auto"/>
          <w:lang w:val="es-ES"/>
        </w:rPr>
        <w:t>glucémico</w:t>
      </w:r>
      <w:r w:rsidR="00B8777D" w:rsidRPr="003E284C">
        <w:rPr>
          <w:color w:val="auto"/>
          <w:lang w:val="es-ES"/>
        </w:rPr>
        <w:t xml:space="preserve">, </w:t>
      </w:r>
      <w:r w:rsidR="00166FF7" w:rsidRPr="003E284C">
        <w:rPr>
          <w:color w:val="auto"/>
          <w:lang w:val="es-ES"/>
        </w:rPr>
        <w:t>identificándose</w:t>
      </w:r>
      <w:r w:rsidR="00B8777D" w:rsidRPr="003E284C">
        <w:rPr>
          <w:color w:val="auto"/>
          <w:lang w:val="es-ES"/>
        </w:rPr>
        <w:t xml:space="preserve"> </w:t>
      </w:r>
      <w:r w:rsidR="00BD518A" w:rsidRPr="003E284C">
        <w:rPr>
          <w:color w:val="auto"/>
          <w:lang w:val="es-ES"/>
        </w:rPr>
        <w:t>el peor</w:t>
      </w:r>
      <w:r w:rsidR="00B8777D" w:rsidRPr="003E284C">
        <w:rPr>
          <w:color w:val="auto"/>
          <w:lang w:val="es-ES"/>
        </w:rPr>
        <w:t xml:space="preserve"> control glucémico en </w:t>
      </w:r>
      <w:r w:rsidR="00BD518A" w:rsidRPr="003E284C">
        <w:rPr>
          <w:color w:val="auto"/>
          <w:lang w:val="es-ES"/>
        </w:rPr>
        <w:t>investigaciones</w:t>
      </w:r>
      <w:r w:rsidR="00B8777D" w:rsidRPr="003E284C">
        <w:rPr>
          <w:color w:val="auto"/>
          <w:lang w:val="es-ES"/>
        </w:rPr>
        <w:t xml:space="preserve"> realizad</w:t>
      </w:r>
      <w:r w:rsidR="00BD518A" w:rsidRPr="003E284C">
        <w:rPr>
          <w:color w:val="auto"/>
          <w:lang w:val="es-ES"/>
        </w:rPr>
        <w:t>as</w:t>
      </w:r>
      <w:r w:rsidR="00B8777D" w:rsidRPr="003E284C">
        <w:rPr>
          <w:color w:val="auto"/>
          <w:lang w:val="es-ES"/>
        </w:rPr>
        <w:t xml:space="preserve"> durante la pandemia (Mares</w:t>
      </w:r>
      <w:r w:rsidR="006850E9" w:rsidRPr="003E284C">
        <w:rPr>
          <w:noProof/>
          <w:color w:val="auto"/>
        </w:rPr>
        <w:t xml:space="preserve"> </w:t>
      </w:r>
      <w:r w:rsidR="006C597A" w:rsidRPr="003E284C">
        <w:rPr>
          <w:i/>
          <w:color w:val="auto"/>
          <w:lang w:val="es-ES"/>
        </w:rPr>
        <w:t>et al.</w:t>
      </w:r>
      <w:r w:rsidR="00B8777D" w:rsidRPr="003E284C">
        <w:rPr>
          <w:color w:val="auto"/>
          <w:lang w:val="es-ES"/>
        </w:rPr>
        <w:t>, 2023).</w:t>
      </w:r>
    </w:p>
    <w:p w14:paraId="3F9991B2" w14:textId="3234CF29" w:rsidR="00667620" w:rsidRPr="003E284C" w:rsidRDefault="00667620" w:rsidP="009054BD">
      <w:pPr>
        <w:pStyle w:val="Normal1"/>
        <w:rPr>
          <w:color w:val="auto"/>
          <w:lang w:val="es-ES"/>
        </w:rPr>
      </w:pPr>
      <w:r w:rsidRPr="003E284C">
        <w:rPr>
          <w:color w:val="auto"/>
          <w:lang w:val="es-ES"/>
        </w:rPr>
        <w:t xml:space="preserve">En </w:t>
      </w:r>
      <w:r w:rsidR="00265BCB" w:rsidRPr="003E284C">
        <w:rPr>
          <w:color w:val="auto"/>
          <w:lang w:val="es-ES"/>
        </w:rPr>
        <w:t xml:space="preserve">el </w:t>
      </w:r>
      <w:r w:rsidR="006C597A" w:rsidRPr="003E284C">
        <w:rPr>
          <w:color w:val="auto"/>
          <w:lang w:val="es-ES"/>
        </w:rPr>
        <w:t xml:space="preserve">estudio epidemiológico de la insuficiencia renal </w:t>
      </w:r>
      <w:r w:rsidR="00265BCB" w:rsidRPr="003E284C">
        <w:rPr>
          <w:color w:val="auto"/>
          <w:lang w:val="es-ES"/>
        </w:rPr>
        <w:t>en España del 2010 (EPIRCE)</w:t>
      </w:r>
      <w:r w:rsidR="00915472" w:rsidRPr="003E284C">
        <w:rPr>
          <w:color w:val="auto"/>
          <w:lang w:val="es-ES"/>
        </w:rPr>
        <w:t>,</w:t>
      </w:r>
      <w:r w:rsidRPr="003E284C">
        <w:rPr>
          <w:color w:val="auto"/>
          <w:lang w:val="es-ES"/>
        </w:rPr>
        <w:t xml:space="preserve"> por muestreo aleatorio,</w:t>
      </w:r>
      <w:r w:rsidR="00BD518A" w:rsidRPr="003E284C">
        <w:rPr>
          <w:color w:val="auto"/>
          <w:lang w:val="es-ES"/>
        </w:rPr>
        <w:t xml:space="preserve"> </w:t>
      </w:r>
      <w:r w:rsidR="00915472" w:rsidRPr="003E284C">
        <w:rPr>
          <w:color w:val="auto"/>
          <w:lang w:val="es-ES"/>
        </w:rPr>
        <w:t>se</w:t>
      </w:r>
      <w:r w:rsidR="004C585E" w:rsidRPr="003E284C">
        <w:rPr>
          <w:color w:val="auto"/>
          <w:lang w:val="es-ES"/>
        </w:rPr>
        <w:t xml:space="preserve"> </w:t>
      </w:r>
      <w:r w:rsidR="001773ED" w:rsidRPr="003E284C">
        <w:rPr>
          <w:color w:val="auto"/>
          <w:lang w:val="es-ES"/>
        </w:rPr>
        <w:t>report</w:t>
      </w:r>
      <w:r w:rsidR="00915472" w:rsidRPr="003E284C">
        <w:rPr>
          <w:color w:val="auto"/>
          <w:lang w:val="es-ES"/>
        </w:rPr>
        <w:t>ó</w:t>
      </w:r>
      <w:r w:rsidR="001773ED" w:rsidRPr="003E284C">
        <w:rPr>
          <w:color w:val="auto"/>
          <w:lang w:val="es-ES"/>
        </w:rPr>
        <w:t xml:space="preserve"> una prevalencia</w:t>
      </w:r>
      <w:r w:rsidR="00995A46" w:rsidRPr="003E284C">
        <w:rPr>
          <w:color w:val="auto"/>
          <w:lang w:val="es-ES"/>
        </w:rPr>
        <w:t xml:space="preserve"> </w:t>
      </w:r>
      <w:r w:rsidR="001773ED" w:rsidRPr="003E284C">
        <w:rPr>
          <w:color w:val="auto"/>
          <w:lang w:val="es-ES"/>
        </w:rPr>
        <w:t>d</w:t>
      </w:r>
      <w:r w:rsidRPr="003E284C">
        <w:rPr>
          <w:color w:val="auto"/>
          <w:lang w:val="es-ES"/>
        </w:rPr>
        <w:t xml:space="preserve">el </w:t>
      </w:r>
      <w:r w:rsidR="00161470" w:rsidRPr="003E284C">
        <w:rPr>
          <w:color w:val="auto"/>
          <w:lang w:val="es-ES"/>
        </w:rPr>
        <w:t>3.3</w:t>
      </w:r>
      <w:r w:rsidR="00EA7886" w:rsidRPr="003E284C">
        <w:rPr>
          <w:color w:val="auto"/>
          <w:lang w:val="es-ES"/>
        </w:rPr>
        <w:t xml:space="preserve"> </w:t>
      </w:r>
      <w:r w:rsidR="00161470" w:rsidRPr="003E284C">
        <w:rPr>
          <w:color w:val="auto"/>
          <w:lang w:val="es-ES"/>
        </w:rPr>
        <w:t xml:space="preserve">% de ERC en pacientes entre 40-64 años y </w:t>
      </w:r>
      <w:r w:rsidR="001773ED" w:rsidRPr="003E284C">
        <w:rPr>
          <w:color w:val="auto"/>
          <w:lang w:val="es-ES"/>
        </w:rPr>
        <w:t xml:space="preserve">de </w:t>
      </w:r>
      <w:r w:rsidR="006D1042" w:rsidRPr="003E284C">
        <w:rPr>
          <w:color w:val="auto"/>
          <w:lang w:val="es-ES"/>
        </w:rPr>
        <w:t>21.4</w:t>
      </w:r>
      <w:r w:rsidR="00161470" w:rsidRPr="003E284C">
        <w:rPr>
          <w:color w:val="auto"/>
          <w:lang w:val="es-ES"/>
        </w:rPr>
        <w:t>2</w:t>
      </w:r>
      <w:r w:rsidR="00EA7886" w:rsidRPr="003E284C">
        <w:rPr>
          <w:color w:val="auto"/>
          <w:lang w:val="es-ES"/>
        </w:rPr>
        <w:t xml:space="preserve"> </w:t>
      </w:r>
      <w:r w:rsidR="006D1042" w:rsidRPr="003E284C">
        <w:rPr>
          <w:color w:val="auto"/>
          <w:lang w:val="es-ES"/>
        </w:rPr>
        <w:t>%</w:t>
      </w:r>
      <w:r w:rsidRPr="003E284C">
        <w:rPr>
          <w:color w:val="auto"/>
          <w:lang w:val="es-ES"/>
        </w:rPr>
        <w:t xml:space="preserve"> en</w:t>
      </w:r>
      <w:r w:rsidR="006D1042" w:rsidRPr="003E284C">
        <w:rPr>
          <w:color w:val="auto"/>
          <w:lang w:val="es-ES"/>
        </w:rPr>
        <w:t xml:space="preserve"> pacientes</w:t>
      </w:r>
      <w:r w:rsidRPr="003E284C">
        <w:rPr>
          <w:color w:val="auto"/>
          <w:lang w:val="es-ES"/>
        </w:rPr>
        <w:t xml:space="preserve"> mayores </w:t>
      </w:r>
      <w:r w:rsidR="00161470" w:rsidRPr="003E284C">
        <w:rPr>
          <w:color w:val="auto"/>
          <w:lang w:val="es-ES"/>
        </w:rPr>
        <w:t>a 6</w:t>
      </w:r>
      <w:r w:rsidR="006D1042" w:rsidRPr="003E284C">
        <w:rPr>
          <w:color w:val="auto"/>
          <w:lang w:val="es-ES"/>
        </w:rPr>
        <w:t>4</w:t>
      </w:r>
      <w:r w:rsidRPr="003E284C">
        <w:rPr>
          <w:color w:val="auto"/>
          <w:lang w:val="es-ES"/>
        </w:rPr>
        <w:t xml:space="preserve"> años </w:t>
      </w:r>
      <w:r w:rsidRPr="003E284C">
        <w:rPr>
          <w:color w:val="auto"/>
          <w:lang w:val="es-ES"/>
        </w:rPr>
        <w:fldChar w:fldCharType="begin" w:fldLock="1"/>
      </w:r>
      <w:r w:rsidRPr="003E284C">
        <w:rPr>
          <w:color w:val="auto"/>
          <w:lang w:val="es-ES"/>
        </w:rPr>
        <w:instrText>ADDIN CSL_CITATION {"citationItems":[{"id":"ITEM-1","itemData":{"DOI":"10.3265/Nefrologia.pre2009.Dic.5732","ISSN":"02116995","PMID":"20038967","abstract":"Introduction: Chronic kidney disease (CKD) is an independent cardiovascular risk factor. The knowledge of prevalence in general population may help to early detection of CKD and prevent or delay its progression. Methods: Sociodemographic, baseline characteristics, and CKD prevalence (measured by centralized serum creatinine and MDRD equation) were evaluated in a randomly selected sample of general population aged 20 years or older, collected in all Spanish regions and stratified by habitat, age and sex according to 2001 census (n = 2,746). Univariate and multivariate logistic regression analyses were used to evaluate associations with CKD risk factors. Results: Mean age was 49.5 years. The overall prevalence of Kidney Disease Outcomes Quality Initiative grades 3-5 CKD was 6.8%, with a 95% confidence interval (CI) of 5.4 to 8.2 (3.3% for age 40-64 years and 21.4% for age &gt;64 years). The prevalence estimates of CKD stages were: 0.99% for stage 1 (glomerular filtration rate [GFR] &gt;_90 ml/min per 1.73 m2 with proteinuria); 1.3% for stage 2 (GFR 60-89); 5.4% for stage 3a (GFR 45-59); 1.1% for stage 3b (GFR 30-44); 0.27% for stage 4 (GFR 15-29); and 0.03% for stage 5 (GFR &lt;15). An important prevalence of classical cardiovascular risk factors was observed: dyslipemia (29.3%), obesity (26.1%), hypertension (24.1%), diabetes (9.2%) and current smoking (25.5%). The independent predictor factors for CKD were age, obesity and previously diagnosed hypertension. Conclusions: The prevalence of CKD at any stage in general population from Spain is relatively high, especially in the elderly, and similar to countries of the same geographical area. Independently of age, two modifiable risks factors, hypertension and obesity, are associated with an increased prevalence of CKD.","author":[{"dropping-particle":"","family":"González","given":"Alfonso Otero","non-dropping-particle":"","parse-names":false,"suffix":""},{"dropping-particle":"","family":"Francisco","given":"A.","non-dropping-particle":"de","parse-names":false,"suffix":""},{"dropping-particle":"","family":"Gayoso","given":"P.","non-dropping-particle":"","parse-names":false,"suffix":""},{"dropping-particle":"","family":"García","given":"F.","non-dropping-particle":"","parse-names":false,"suffix":""}],"container-title":"Nefrologia","id":"ITEM-1","issue":"1","issued":{"date-parts":[["2010"]]},"page":"78-86","title":"Prevalence of chronic renal disease in Spain: Results of the EPIRCE study","type":"article-journal","volume":"30"},"uris":["http://www.mendeley.com/documents/?uuid=9129bc91-5965-4c10-8898-889a1e154643"]}],"mendeley":{"formattedCitation":"(7)","plainTextFormattedCitation":"(7)","previouslyFormattedCitation":"(7)"},"properties":{"noteIndex":0},"schema":"https://github.com/citation-style-language/schema/raw/master/csl-citation.json"}</w:instrText>
      </w:r>
      <w:r w:rsidRPr="003E284C">
        <w:rPr>
          <w:color w:val="auto"/>
          <w:lang w:val="es-ES"/>
        </w:rPr>
        <w:fldChar w:fldCharType="separate"/>
      </w:r>
      <w:bookmarkStart w:id="3" w:name="_Hlk139746429"/>
      <w:r w:rsidRPr="003E284C">
        <w:rPr>
          <w:noProof/>
          <w:color w:val="auto"/>
          <w:lang w:val="es-ES"/>
        </w:rPr>
        <w:t>(</w:t>
      </w:r>
      <w:r w:rsidR="00E150CA" w:rsidRPr="003E284C">
        <w:rPr>
          <w:noProof/>
          <w:color w:val="auto"/>
          <w:lang w:val="es-ES"/>
        </w:rPr>
        <w:t>Otero</w:t>
      </w:r>
      <w:r w:rsidR="00995A46" w:rsidRPr="003E284C">
        <w:rPr>
          <w:noProof/>
          <w:color w:val="auto"/>
          <w:lang w:val="es-ES"/>
        </w:rPr>
        <w:t xml:space="preserve"> </w:t>
      </w:r>
      <w:r w:rsidR="006C597A" w:rsidRPr="003E284C">
        <w:rPr>
          <w:i/>
          <w:noProof/>
          <w:color w:val="auto"/>
          <w:lang w:val="es-ES"/>
        </w:rPr>
        <w:t>et al.</w:t>
      </w:r>
      <w:r w:rsidR="00E150CA" w:rsidRPr="003E284C">
        <w:rPr>
          <w:noProof/>
          <w:color w:val="auto"/>
          <w:lang w:val="es-ES"/>
        </w:rPr>
        <w:t>,</w:t>
      </w:r>
      <w:r w:rsidR="00FD4AA5" w:rsidRPr="003E284C">
        <w:rPr>
          <w:noProof/>
          <w:color w:val="auto"/>
          <w:lang w:val="es-ES"/>
        </w:rPr>
        <w:t xml:space="preserve"> 2010</w:t>
      </w:r>
      <w:bookmarkEnd w:id="3"/>
      <w:r w:rsidRPr="003E284C">
        <w:rPr>
          <w:noProof/>
          <w:color w:val="auto"/>
          <w:lang w:val="es-ES"/>
        </w:rPr>
        <w:t>)</w:t>
      </w:r>
      <w:r w:rsidRPr="003E284C">
        <w:rPr>
          <w:color w:val="auto"/>
          <w:lang w:val="es-ES"/>
        </w:rPr>
        <w:fldChar w:fldCharType="end"/>
      </w:r>
      <w:r w:rsidRPr="003E284C">
        <w:rPr>
          <w:color w:val="auto"/>
          <w:lang w:val="es-ES"/>
        </w:rPr>
        <w:t xml:space="preserve">. En el estudio de </w:t>
      </w:r>
      <w:r w:rsidR="006C597A" w:rsidRPr="003E284C">
        <w:rPr>
          <w:color w:val="auto"/>
          <w:lang w:val="es-ES"/>
        </w:rPr>
        <w:t xml:space="preserve">nutrición y riesgo cardiovascular </w:t>
      </w:r>
      <w:r w:rsidR="001773ED" w:rsidRPr="003E284C">
        <w:rPr>
          <w:color w:val="auto"/>
          <w:lang w:val="es-ES"/>
        </w:rPr>
        <w:t>de</w:t>
      </w:r>
      <w:r w:rsidRPr="003E284C">
        <w:rPr>
          <w:color w:val="auto"/>
          <w:lang w:val="es-ES"/>
        </w:rPr>
        <w:t xml:space="preserve"> España</w:t>
      </w:r>
      <w:r w:rsidR="00915472" w:rsidRPr="003E284C">
        <w:rPr>
          <w:color w:val="auto"/>
          <w:lang w:val="es-ES"/>
        </w:rPr>
        <w:t xml:space="preserve"> (ENRICA) del 2018, </w:t>
      </w:r>
      <w:r w:rsidR="001773ED" w:rsidRPr="003E284C">
        <w:rPr>
          <w:color w:val="auto"/>
          <w:lang w:val="es-ES"/>
        </w:rPr>
        <w:t>se report</w:t>
      </w:r>
      <w:r w:rsidR="00915472" w:rsidRPr="003E284C">
        <w:rPr>
          <w:color w:val="auto"/>
          <w:lang w:val="es-ES"/>
        </w:rPr>
        <w:t>ó</w:t>
      </w:r>
      <w:r w:rsidR="00BD518A" w:rsidRPr="003E284C">
        <w:rPr>
          <w:color w:val="auto"/>
          <w:lang w:val="es-ES"/>
        </w:rPr>
        <w:t xml:space="preserve"> que</w:t>
      </w:r>
      <w:r w:rsidR="001773ED" w:rsidRPr="003E284C">
        <w:rPr>
          <w:color w:val="auto"/>
          <w:lang w:val="es-ES"/>
        </w:rPr>
        <w:t xml:space="preserve"> </w:t>
      </w:r>
      <w:r w:rsidRPr="003E284C">
        <w:rPr>
          <w:color w:val="auto"/>
          <w:lang w:val="es-ES"/>
        </w:rPr>
        <w:t>el 15.1</w:t>
      </w:r>
      <w:r w:rsidR="00EA7886" w:rsidRPr="003E284C">
        <w:rPr>
          <w:color w:val="auto"/>
          <w:lang w:val="es-ES"/>
        </w:rPr>
        <w:t xml:space="preserve"> </w:t>
      </w:r>
      <w:r w:rsidRPr="003E284C">
        <w:rPr>
          <w:color w:val="auto"/>
          <w:lang w:val="es-ES"/>
        </w:rPr>
        <w:t>% de pacientes presentan ERC</w:t>
      </w:r>
      <w:r w:rsidR="00553D72" w:rsidRPr="003E284C">
        <w:rPr>
          <w:color w:val="auto"/>
          <w:lang w:val="es-ES"/>
        </w:rPr>
        <w:t xml:space="preserve"> </w:t>
      </w:r>
      <w:r w:rsidRPr="003E284C">
        <w:rPr>
          <w:color w:val="auto"/>
          <w:lang w:val="es-ES"/>
        </w:rPr>
        <w:fldChar w:fldCharType="begin" w:fldLock="1"/>
      </w:r>
      <w:r w:rsidRPr="003E284C">
        <w:rPr>
          <w:color w:val="auto"/>
          <w:lang w:val="es-ES"/>
        </w:rPr>
        <w:instrText>ADDIN CSL_CITATION {"citationItems":[{"id":"ITEM-1","itemData":{"DOI":"10.1016/j.nefroe.2018.04.010","ISSN":"20132514","PMID":"29914761","abstract":"Background: Chronic kidney disease (CKD) is a public health problem worldwide. We aimed to estimate the CKD prevalence in Spain and to examine the impact of the accumulation of cardiovascular risk factors (CVRF). Material and methods: We performed a nationwide, population-based survey evaluating 11,505 individuals representative of the Spanish adult population. Information was collected through standardized questionnaires, physical examination, and analysis of blood and urine samples in a central laboratory. CKD was graded according to current KDIGO definitions. The relationship between CKD and 10 CVRF was assessed (age, hypertension, general obesity, abdominal obesity, smoking, high LDL-cholesterol, low HDL-cholesterol, hypertriglyceridemia, diabetes and sedentary lifestyle). Results: Prevalence of CKD was 15.1% (95% CI: 14.3–16.0%). CKD was more common in men (23.1% vs. 7.3% in women), increased with age (4.8% in 18–44 age group, 17.4% in 45–64 age group, and 37.3% in ≥65), and was more common in those with than those without cardiovascular disease (39.8% vs. 14.6%); all P &lt; 0.001. CKD affected 4.5% of subjects with 0–1 CVRF, and then progressively increased from 10.4% to 52.3% in subjects with 2 to 8–10 CVRF (P trend &lt;0.001). Conclusions: CKD affects one in seven adults in Spain. The prevalence is higher than previously reported and similar to that in the United States. CKD was particularly prevalent in men, older people and people with cardiovascular disease. Prevalence of CKD increased considerably with the accumulation of CVRF, suggesting that CKD could be considered as a cardiovascular condition.","author":[{"dropping-particle":"","family":"Gorostidi","given":"Manuel","non-dropping-particle":"","parse-names":false,"suffix":""},{"dropping-particle":"","family":"Sánchez-Martínez","given":"Mercedes","non-dropping-particle":"","parse-names":false,"suffix":""},{"dropping-particle":"","family":"Ruilope","given":"Luis M.","non-dropping-particle":"","parse-names":false,"suffix":""},{"dropping-particle":"","family":"Graciani","given":"Auxiliadora","non-dropping-particle":"","parse-names":false,"suffix":""},{"dropping-particle":"","family":"la Cruz","given":"Juan J.","non-dropping-particle":"de","parse-names":false,"suffix":""},{"dropping-particle":"","family":"Santamaría","given":"Rafael","non-dropping-particle":"","parse-names":false,"suffix":""},{"dropping-particle":"","family":"Pino","given":"María D.","non-dropping-particle":"del","parse-names":false,"suffix":""},{"dropping-particle":"","family":"Guallar-Castillón","given":"Pilar","non-dropping-particle":"","parse-names":false,"suffix":""},{"dropping-particle":"","family":"Álvaro","given":"Fernando","non-dropping-particle":"de","parse-names":false,"suffix":""},{"dropping-particle":"","family":"Rodríguez-Artalejo","given":"Fernando","non-dropping-particle":"","parse-names":false,"suffix":""},{"dropping-particle":"","family":"Banegas","given":"José R.","non-dropping-particle":"","parse-names":false,"suffix":""}],"container-title":"Nefrologia","id":"ITEM-1","issue":"6","issued":{"date-parts":[["2018"]]},"page":"606-615","publisher":"Sociedad Española de Nefrología","title":"Chronic kidney disease in Spain: Prevalence and impact of accumulation of cardiovascular risk factors","type":"article-journal","volume":"38"},"uris":["http://www.mendeley.com/documents/?uuid=31002e9f-b27e-49b6-ac65-42b5d17b8821"]}],"mendeley":{"formattedCitation":"(8)","plainTextFormattedCitation":"(8)","previouslyFormattedCitation":"(8)"},"properties":{"noteIndex":0},"schema":"https://github.com/citation-style-language/schema/raw/master/csl-citation.json"}</w:instrText>
      </w:r>
      <w:r w:rsidRPr="003E284C">
        <w:rPr>
          <w:color w:val="auto"/>
          <w:lang w:val="es-ES"/>
        </w:rPr>
        <w:fldChar w:fldCharType="separate"/>
      </w:r>
      <w:r w:rsidRPr="003E284C">
        <w:rPr>
          <w:noProof/>
          <w:color w:val="auto"/>
          <w:lang w:val="es-ES"/>
        </w:rPr>
        <w:t>(</w:t>
      </w:r>
      <w:r w:rsidR="00FD4AA5" w:rsidRPr="003E284C">
        <w:rPr>
          <w:noProof/>
          <w:color w:val="auto"/>
          <w:lang w:val="es-ES"/>
        </w:rPr>
        <w:t>Gorostidi</w:t>
      </w:r>
      <w:r w:rsidR="00AE50B9" w:rsidRPr="003E284C">
        <w:rPr>
          <w:noProof/>
          <w:color w:val="auto"/>
          <w:lang w:val="es-ES"/>
        </w:rPr>
        <w:t xml:space="preserve"> </w:t>
      </w:r>
      <w:r w:rsidR="006C597A" w:rsidRPr="003E284C">
        <w:rPr>
          <w:i/>
          <w:noProof/>
          <w:color w:val="auto"/>
          <w:lang w:val="es-ES"/>
        </w:rPr>
        <w:t>et al.</w:t>
      </w:r>
      <w:r w:rsidR="00FD4AA5" w:rsidRPr="003E284C">
        <w:rPr>
          <w:noProof/>
          <w:color w:val="auto"/>
          <w:lang w:val="es-ES"/>
        </w:rPr>
        <w:t xml:space="preserve"> 2018</w:t>
      </w:r>
      <w:r w:rsidRPr="003E284C">
        <w:rPr>
          <w:noProof/>
          <w:color w:val="auto"/>
          <w:lang w:val="es-ES"/>
        </w:rPr>
        <w:t>)</w:t>
      </w:r>
      <w:r w:rsidRPr="003E284C">
        <w:rPr>
          <w:color w:val="auto"/>
          <w:lang w:val="es-ES"/>
        </w:rPr>
        <w:fldChar w:fldCharType="end"/>
      </w:r>
      <w:r w:rsidR="00114636" w:rsidRPr="003E284C">
        <w:rPr>
          <w:color w:val="auto"/>
          <w:lang w:val="es-ES"/>
        </w:rPr>
        <w:t>.</w:t>
      </w:r>
      <w:r w:rsidRPr="003E284C">
        <w:rPr>
          <w:color w:val="auto"/>
          <w:lang w:val="es-ES"/>
        </w:rPr>
        <w:t xml:space="preserve"> En Estados Unidos</w:t>
      </w:r>
      <w:r w:rsidR="00995A46" w:rsidRPr="003E284C">
        <w:rPr>
          <w:color w:val="auto"/>
          <w:lang w:val="es-ES"/>
        </w:rPr>
        <w:t xml:space="preserve"> </w:t>
      </w:r>
      <w:r w:rsidR="00952ADA" w:rsidRPr="003E284C">
        <w:rPr>
          <w:color w:val="auto"/>
          <w:lang w:val="es-ES"/>
        </w:rPr>
        <w:t xml:space="preserve">la ERC </w:t>
      </w:r>
      <w:r w:rsidRPr="003E284C">
        <w:rPr>
          <w:color w:val="auto"/>
          <w:lang w:val="es-ES"/>
        </w:rPr>
        <w:t>prevalece</w:t>
      </w:r>
      <w:r w:rsidR="00995A46" w:rsidRPr="003E284C">
        <w:rPr>
          <w:color w:val="auto"/>
          <w:lang w:val="es-ES"/>
        </w:rPr>
        <w:t xml:space="preserve"> </w:t>
      </w:r>
      <w:r w:rsidR="00BA7096" w:rsidRPr="003E284C">
        <w:rPr>
          <w:color w:val="auto"/>
          <w:lang w:val="es-ES"/>
        </w:rPr>
        <w:t xml:space="preserve">en </w:t>
      </w:r>
      <w:r w:rsidR="00952ADA" w:rsidRPr="003E284C">
        <w:rPr>
          <w:color w:val="auto"/>
          <w:lang w:val="es-ES"/>
        </w:rPr>
        <w:t>un 1</w:t>
      </w:r>
      <w:r w:rsidR="00EC1E40" w:rsidRPr="003E284C">
        <w:rPr>
          <w:color w:val="auto"/>
          <w:lang w:val="es-ES"/>
        </w:rPr>
        <w:t>5</w:t>
      </w:r>
      <w:r w:rsidR="00EA7886" w:rsidRPr="003E284C">
        <w:rPr>
          <w:color w:val="auto"/>
          <w:lang w:val="es-ES"/>
        </w:rPr>
        <w:t xml:space="preserve"> </w:t>
      </w:r>
      <w:r w:rsidR="00952ADA" w:rsidRPr="003E284C">
        <w:rPr>
          <w:color w:val="auto"/>
          <w:lang w:val="es-ES"/>
        </w:rPr>
        <w:t xml:space="preserve">% </w:t>
      </w:r>
      <w:r w:rsidRPr="003E284C">
        <w:rPr>
          <w:color w:val="auto"/>
          <w:lang w:val="es-ES"/>
        </w:rPr>
        <w:t>en adultos</w:t>
      </w:r>
      <w:r w:rsidR="001773ED" w:rsidRPr="003E284C">
        <w:rPr>
          <w:color w:val="auto"/>
          <w:lang w:val="es-ES"/>
        </w:rPr>
        <w:t xml:space="preserve">, </w:t>
      </w:r>
      <w:r w:rsidR="006C597A" w:rsidRPr="003E284C">
        <w:rPr>
          <w:color w:val="auto"/>
          <w:lang w:val="es-ES"/>
        </w:rPr>
        <w:t>lo cual se ha incrementado</w:t>
      </w:r>
      <w:r w:rsidRPr="003E284C">
        <w:rPr>
          <w:color w:val="auto"/>
          <w:lang w:val="es-ES"/>
        </w:rPr>
        <w:t xml:space="preserve"> con el tiempo </w:t>
      </w:r>
      <w:r w:rsidRPr="003E284C">
        <w:rPr>
          <w:color w:val="auto"/>
          <w:lang w:val="es-ES"/>
        </w:rPr>
        <w:fldChar w:fldCharType="begin" w:fldLock="1"/>
      </w:r>
      <w:r w:rsidRPr="003E284C">
        <w:rPr>
          <w:color w:val="auto"/>
          <w:lang w:val="es-ES"/>
        </w:rPr>
        <w:instrText>ADDIN CSL_CITATION {"citationItems":[{"id":"ITEM-1","itemData":{"ISSN":"21593000","PMID":"34643361","abstract":"Chronic kidney disease (CKD) affects 37 million US adults. It is characterized by damage to the renal glomeruli, vascular supply, and/or tubulointerstitium through complex processes involving inflammation, fibrosis, and hyperfiltration. CKD typically is asymptomatic but may be detected incidentally via urinalysis showing proteinuria or blood test results showing an elevated creatinine level. The Chronic Kidney Disease Epidemiology Collaboration (CKD-EPI) equation is the most accurate creatinine-based method for estimating glomerular filtration rate (GFR) in routine practice. Cystatin C level measurement can be considered if patients have factors that might make creatinine-based equations inaccurate (eg, high or low muscle mass). CKD is defined as a GFR less than 60 mL/min/1.73 m2 or persistent evidence of kidney damage on imaging, biopsy, or urinalysis that persists for longer than 3 months. CKD is classified into stages based on estimated GFR, degree of proteinuria, and the cause. Screening guidelines vary. Screening should be considered if patients are at high risk of CKD (eg, patients with diabetes, hypertension, cardiovascular disease, family history of kidney failure). After CKD is identified, is it important to identify and reduce or eliminate exposure to nephrotoxic drugs. Management goals include mitigation of CKD risk factors to slow disease progression, including optimizing management of underlying conditions (eg, hypertension, diabetes).","author":[{"dropping-particle":"","family":"Braun","given":"Michael M.","non-dropping-particle":"","parse-names":false,"suffix":""},{"dropping-particle":"","family":"Khayat","given":"Maurice","non-dropping-particle":"","parse-names":false,"suffix":""}],"container-title":"FP essentials","id":"ITEM-1","issue":"Suppl 1","issued":{"date-parts":[["2021"]]},"page":"20-25","title":"Kidney Disease: Chronic Kidney Disease","type":"article-journal","volume":"509"},"uris":["http://www.mendeley.com/documents/?uuid=6843fb3d-1dfd-4161-889d-720298ee1a66"]}],"mendeley":{"formattedCitation":"(9)","plainTextFormattedCitation":"(9)","previouslyFormattedCitation":"(9)"},"properties":{"noteIndex":0},"schema":"https://github.com/citation-style-language/schema/raw/master/csl-citation.json"}</w:instrText>
      </w:r>
      <w:r w:rsidRPr="003E284C">
        <w:rPr>
          <w:color w:val="auto"/>
          <w:lang w:val="es-ES"/>
        </w:rPr>
        <w:fldChar w:fldCharType="separate"/>
      </w:r>
      <w:r w:rsidRPr="003E284C">
        <w:rPr>
          <w:noProof/>
          <w:color w:val="auto"/>
          <w:lang w:val="es-ES"/>
        </w:rPr>
        <w:t>(</w:t>
      </w:r>
      <w:r w:rsidR="00915472" w:rsidRPr="003E284C">
        <w:rPr>
          <w:color w:val="auto"/>
          <w:lang w:val="es-ES"/>
        </w:rPr>
        <w:t>Centers for Disease Control and Prevention</w:t>
      </w:r>
      <w:r w:rsidR="00AE50B9" w:rsidRPr="003E284C">
        <w:rPr>
          <w:color w:val="auto"/>
          <w:lang w:val="es-ES"/>
        </w:rPr>
        <w:t xml:space="preserve">, </w:t>
      </w:r>
      <w:r w:rsidR="008804AB" w:rsidRPr="003E284C">
        <w:rPr>
          <w:color w:val="auto"/>
          <w:lang w:val="es-ES"/>
        </w:rPr>
        <w:t>2</w:t>
      </w:r>
      <w:r w:rsidR="001014EC" w:rsidRPr="003E284C">
        <w:rPr>
          <w:noProof/>
          <w:color w:val="auto"/>
          <w:lang w:val="es-ES"/>
        </w:rPr>
        <w:t>021</w:t>
      </w:r>
      <w:r w:rsidRPr="003E284C">
        <w:rPr>
          <w:noProof/>
          <w:color w:val="auto"/>
          <w:lang w:val="es-ES"/>
        </w:rPr>
        <w:t>)</w:t>
      </w:r>
      <w:r w:rsidRPr="003E284C">
        <w:rPr>
          <w:color w:val="auto"/>
          <w:lang w:val="es-ES"/>
        </w:rPr>
        <w:fldChar w:fldCharType="end"/>
      </w:r>
      <w:r w:rsidRPr="003E284C">
        <w:rPr>
          <w:color w:val="auto"/>
          <w:lang w:val="es-ES"/>
        </w:rPr>
        <w:t>.</w:t>
      </w:r>
      <w:r w:rsidR="006C597A" w:rsidRPr="003E284C">
        <w:rPr>
          <w:color w:val="auto"/>
          <w:lang w:val="es-ES"/>
        </w:rPr>
        <w:t xml:space="preserve"> </w:t>
      </w:r>
      <w:r w:rsidRPr="003E284C">
        <w:rPr>
          <w:color w:val="auto"/>
          <w:lang w:val="es-ES"/>
        </w:rPr>
        <w:t>En Cuba</w:t>
      </w:r>
      <w:r w:rsidR="006C597A" w:rsidRPr="003E284C">
        <w:rPr>
          <w:color w:val="auto"/>
          <w:lang w:val="es-ES"/>
        </w:rPr>
        <w:t>,</w:t>
      </w:r>
      <w:r w:rsidRPr="003E284C">
        <w:rPr>
          <w:color w:val="auto"/>
          <w:lang w:val="es-ES"/>
        </w:rPr>
        <w:t xml:space="preserve"> la ERC aumenta respecto a la edad</w:t>
      </w:r>
      <w:r w:rsidR="006C597A" w:rsidRPr="003E284C">
        <w:rPr>
          <w:color w:val="auto"/>
          <w:lang w:val="es-ES"/>
        </w:rPr>
        <w:t xml:space="preserve"> y afecta</w:t>
      </w:r>
      <w:r w:rsidRPr="003E284C">
        <w:rPr>
          <w:color w:val="auto"/>
          <w:lang w:val="es-ES"/>
        </w:rPr>
        <w:t xml:space="preserve"> en 21.4</w:t>
      </w:r>
      <w:r w:rsidR="00EA7886" w:rsidRPr="003E284C">
        <w:rPr>
          <w:color w:val="auto"/>
          <w:lang w:val="es-ES"/>
        </w:rPr>
        <w:t xml:space="preserve"> </w:t>
      </w:r>
      <w:r w:rsidRPr="003E284C">
        <w:rPr>
          <w:color w:val="auto"/>
          <w:lang w:val="es-ES"/>
        </w:rPr>
        <w:t xml:space="preserve">% a los adultos mayores </w:t>
      </w:r>
      <w:r w:rsidRPr="003E284C">
        <w:rPr>
          <w:color w:val="auto"/>
          <w:lang w:val="es-ES"/>
        </w:rPr>
        <w:fldChar w:fldCharType="begin" w:fldLock="1"/>
      </w:r>
      <w:r w:rsidRPr="003E284C">
        <w:rPr>
          <w:color w:val="auto"/>
          <w:lang w:val="es-ES"/>
        </w:rPr>
        <w:instrText>ADDIN CSL_CITATION {"citationItems":[{"id":"ITEM-1","itemData":{"ISSN":"1684-1824","abstract":"http://scielo.sld.cu/scielo.php?pid=S1684-18242019000400850&amp;script=sci_arttext&amp;tlng=en","author":[{"dropping-particle":"","family":"Lastre Diéguez","given":"Yamila","non-dropping-particle":"","parse-names":false,"suffix":""},{"dropping-particle":"","family":"Galiano Guerra","given":"Giorgiet","non-dropping-particle":"","parse-names":false,"suffix":""},{"dropping-particle":"","family":"Sánchez Naranjo","given":"Haydee María","non-dropping-particle":"","parse-names":false,"suffix":""},{"dropping-particle":"","family":"Mariño Serrano","given":"Raisa Yolanda","non-dropping-particle":"","parse-names":false,"suffix":""}],"container-title":"Rev. medica electron","id":"ITEM-1","issue":"4","issued":{"date-parts":[["2019"]]},"page":"850-861","title":"Prevalencia de la enfermedad renal oculta en adultos mayores con diabetes mellitus tipo 2","type":"article-journal","volume":"41"},"uris":["http://www.mendeley.com/documents/?uuid=62c488af-9807-401e-8f15-1c45ab552a96"]}],"mendeley":{"formattedCitation":"(10)","plainTextFormattedCitation":"(10)","previouslyFormattedCitation":"(10)"},"properties":{"noteIndex":0},"schema":"https://github.com/citation-style-language/schema/raw/master/csl-citation.json"}</w:instrText>
      </w:r>
      <w:r w:rsidRPr="003E284C">
        <w:rPr>
          <w:color w:val="auto"/>
          <w:lang w:val="es-ES"/>
        </w:rPr>
        <w:fldChar w:fldCharType="separate"/>
      </w:r>
      <w:r w:rsidRPr="003E284C">
        <w:rPr>
          <w:noProof/>
          <w:color w:val="auto"/>
          <w:lang w:val="es-ES"/>
        </w:rPr>
        <w:t>(</w:t>
      </w:r>
      <w:r w:rsidR="00F73142" w:rsidRPr="003E284C">
        <w:rPr>
          <w:noProof/>
          <w:color w:val="auto"/>
          <w:lang w:val="es-ES"/>
        </w:rPr>
        <w:t xml:space="preserve">Lastre </w:t>
      </w:r>
      <w:r w:rsidR="006C597A" w:rsidRPr="003E284C">
        <w:rPr>
          <w:i/>
          <w:noProof/>
          <w:color w:val="auto"/>
          <w:lang w:val="es-ES"/>
        </w:rPr>
        <w:t>et al.</w:t>
      </w:r>
      <w:r w:rsidR="00553D72" w:rsidRPr="003E284C">
        <w:rPr>
          <w:noProof/>
          <w:color w:val="auto"/>
          <w:lang w:val="es-ES"/>
        </w:rPr>
        <w:t>,</w:t>
      </w:r>
      <w:r w:rsidR="001014EC" w:rsidRPr="003E284C">
        <w:rPr>
          <w:noProof/>
          <w:color w:val="auto"/>
          <w:lang w:val="es-ES"/>
        </w:rPr>
        <w:t xml:space="preserve"> 2019</w:t>
      </w:r>
      <w:r w:rsidRPr="003E284C">
        <w:rPr>
          <w:noProof/>
          <w:color w:val="auto"/>
          <w:lang w:val="es-ES"/>
        </w:rPr>
        <w:t>)</w:t>
      </w:r>
      <w:r w:rsidRPr="003E284C">
        <w:rPr>
          <w:color w:val="auto"/>
          <w:lang w:val="es-ES"/>
        </w:rPr>
        <w:fldChar w:fldCharType="end"/>
      </w:r>
      <w:r w:rsidR="00553D72" w:rsidRPr="003E284C">
        <w:rPr>
          <w:color w:val="auto"/>
          <w:lang w:val="es-ES"/>
        </w:rPr>
        <w:t>.</w:t>
      </w:r>
    </w:p>
    <w:p w14:paraId="5389532F" w14:textId="1DC59839" w:rsidR="00883A87" w:rsidRPr="003E284C" w:rsidRDefault="00667620" w:rsidP="00C54212">
      <w:pPr>
        <w:pStyle w:val="Normal1"/>
        <w:rPr>
          <w:color w:val="auto"/>
          <w:lang w:val="es-ES"/>
        </w:rPr>
      </w:pPr>
      <w:r w:rsidRPr="003E284C">
        <w:rPr>
          <w:color w:val="auto"/>
          <w:lang w:val="es-ES"/>
        </w:rPr>
        <w:t>En México</w:t>
      </w:r>
      <w:r w:rsidR="006C597A" w:rsidRPr="003E284C">
        <w:rPr>
          <w:color w:val="auto"/>
          <w:lang w:val="es-ES"/>
        </w:rPr>
        <w:t>,</w:t>
      </w:r>
      <w:r w:rsidRPr="003E284C">
        <w:rPr>
          <w:color w:val="auto"/>
          <w:lang w:val="es-ES"/>
        </w:rPr>
        <w:t xml:space="preserve"> </w:t>
      </w:r>
      <w:r w:rsidR="00766DB5" w:rsidRPr="003E284C">
        <w:rPr>
          <w:color w:val="auto"/>
          <w:lang w:val="es-ES"/>
        </w:rPr>
        <w:t>de acuerdo con</w:t>
      </w:r>
      <w:r w:rsidR="0075299C" w:rsidRPr="003E284C">
        <w:rPr>
          <w:color w:val="auto"/>
          <w:lang w:val="es-ES"/>
        </w:rPr>
        <w:t xml:space="preserve"> la nota técnica del INEGI sobre </w:t>
      </w:r>
      <w:r w:rsidR="00785C47" w:rsidRPr="003E284C">
        <w:rPr>
          <w:color w:val="auto"/>
          <w:lang w:val="es-ES"/>
        </w:rPr>
        <w:t>e</w:t>
      </w:r>
      <w:r w:rsidR="0075299C" w:rsidRPr="003E284C">
        <w:rPr>
          <w:color w:val="auto"/>
          <w:lang w:val="es-ES"/>
        </w:rPr>
        <w:t>stadística de defunciones registradas</w:t>
      </w:r>
      <w:r w:rsidR="006C597A" w:rsidRPr="003E284C">
        <w:rPr>
          <w:color w:val="auto"/>
          <w:lang w:val="es-ES"/>
        </w:rPr>
        <w:t>,</w:t>
      </w:r>
      <w:r w:rsidRPr="003E284C">
        <w:rPr>
          <w:color w:val="auto"/>
          <w:lang w:val="es-ES"/>
        </w:rPr>
        <w:t xml:space="preserve"> </w:t>
      </w:r>
      <w:r w:rsidR="00766DB5" w:rsidRPr="003E284C">
        <w:rPr>
          <w:color w:val="auto"/>
          <w:lang w:val="es-ES"/>
        </w:rPr>
        <w:t>la insuficiencia renal apareció dentro de las diez primeras causas de muerte</w:t>
      </w:r>
      <w:r w:rsidR="00F91587" w:rsidRPr="003E284C">
        <w:rPr>
          <w:color w:val="auto"/>
          <w:lang w:val="es-ES"/>
        </w:rPr>
        <w:t xml:space="preserve"> en mujeres en 2020</w:t>
      </w:r>
      <w:r w:rsidR="00785C47" w:rsidRPr="003E284C">
        <w:rPr>
          <w:color w:val="auto"/>
          <w:lang w:val="es-ES"/>
        </w:rPr>
        <w:t>; e</w:t>
      </w:r>
      <w:r w:rsidR="00F91587" w:rsidRPr="003E284C">
        <w:rPr>
          <w:color w:val="auto"/>
          <w:lang w:val="es-ES"/>
        </w:rPr>
        <w:t>n este año</w:t>
      </w:r>
      <w:r w:rsidR="00785C47" w:rsidRPr="003E284C">
        <w:rPr>
          <w:color w:val="auto"/>
          <w:lang w:val="es-ES"/>
        </w:rPr>
        <w:t>,</w:t>
      </w:r>
      <w:r w:rsidR="00F91587" w:rsidRPr="003E284C">
        <w:rPr>
          <w:color w:val="auto"/>
          <w:lang w:val="es-ES"/>
        </w:rPr>
        <w:t xml:space="preserve"> se registraron</w:t>
      </w:r>
      <w:r w:rsidR="00C838FC" w:rsidRPr="003E284C">
        <w:rPr>
          <w:color w:val="auto"/>
          <w:lang w:val="es-ES"/>
        </w:rPr>
        <w:t xml:space="preserve"> </w:t>
      </w:r>
      <w:r w:rsidRPr="003E284C">
        <w:rPr>
          <w:color w:val="auto"/>
          <w:lang w:val="es-ES"/>
        </w:rPr>
        <w:t>15</w:t>
      </w:r>
      <w:r w:rsidR="006C597A" w:rsidRPr="003E284C">
        <w:rPr>
          <w:color w:val="auto"/>
          <w:lang w:val="es-ES"/>
        </w:rPr>
        <w:t> </w:t>
      </w:r>
      <w:r w:rsidRPr="003E284C">
        <w:rPr>
          <w:color w:val="auto"/>
          <w:lang w:val="es-ES"/>
        </w:rPr>
        <w:t>455 decesos</w:t>
      </w:r>
      <w:r w:rsidR="00F91587" w:rsidRPr="003E284C">
        <w:rPr>
          <w:color w:val="auto"/>
          <w:lang w:val="es-ES"/>
        </w:rPr>
        <w:t xml:space="preserve"> por insuficiencia renal</w:t>
      </w:r>
      <w:r w:rsidR="00766DB5" w:rsidRPr="003E284C">
        <w:rPr>
          <w:color w:val="auto"/>
          <w:lang w:val="es-ES"/>
        </w:rPr>
        <w:t>.</w:t>
      </w:r>
      <w:r w:rsidRPr="003E284C">
        <w:rPr>
          <w:color w:val="auto"/>
          <w:lang w:val="es-ES"/>
        </w:rPr>
        <w:t xml:space="preserve"> Esta enfermedad fue la causa de defunción de 6618 (42.8</w:t>
      </w:r>
      <w:r w:rsidR="00EA7886" w:rsidRPr="003E284C">
        <w:rPr>
          <w:color w:val="auto"/>
          <w:lang w:val="es-ES"/>
        </w:rPr>
        <w:t xml:space="preserve"> </w:t>
      </w:r>
      <w:r w:rsidRPr="003E284C">
        <w:rPr>
          <w:color w:val="auto"/>
          <w:lang w:val="es-ES"/>
        </w:rPr>
        <w:t>%) mujeres y de 8835 (57.2</w:t>
      </w:r>
      <w:r w:rsidR="00EA7886" w:rsidRPr="003E284C">
        <w:rPr>
          <w:color w:val="auto"/>
          <w:lang w:val="es-ES"/>
        </w:rPr>
        <w:t xml:space="preserve"> </w:t>
      </w:r>
      <w:r w:rsidRPr="003E284C">
        <w:rPr>
          <w:color w:val="auto"/>
          <w:lang w:val="es-ES"/>
        </w:rPr>
        <w:t>%) hombres. De este total de muertes por</w:t>
      </w:r>
      <w:r w:rsidR="000852E2" w:rsidRPr="003E284C">
        <w:rPr>
          <w:color w:val="auto"/>
          <w:lang w:val="es-ES"/>
        </w:rPr>
        <w:t xml:space="preserve"> </w:t>
      </w:r>
      <w:r w:rsidRPr="003E284C">
        <w:rPr>
          <w:color w:val="auto"/>
          <w:lang w:val="es-ES"/>
        </w:rPr>
        <w:t xml:space="preserve">enfermedad renal (ER), las de ERC representan </w:t>
      </w:r>
      <w:r w:rsidR="006C597A" w:rsidRPr="003E284C">
        <w:rPr>
          <w:color w:val="auto"/>
          <w:lang w:val="es-ES"/>
        </w:rPr>
        <w:t>el</w:t>
      </w:r>
      <w:r w:rsidRPr="003E284C">
        <w:rPr>
          <w:color w:val="auto"/>
          <w:lang w:val="es-ES"/>
        </w:rPr>
        <w:t xml:space="preserve"> 72.4</w:t>
      </w:r>
      <w:r w:rsidR="006C597A" w:rsidRPr="003E284C">
        <w:rPr>
          <w:color w:val="auto"/>
          <w:lang w:val="es-ES"/>
        </w:rPr>
        <w:t> </w:t>
      </w:r>
      <w:r w:rsidRPr="003E284C">
        <w:rPr>
          <w:color w:val="auto"/>
          <w:lang w:val="es-ES"/>
        </w:rPr>
        <w:t>% con 11 188 sucesos</w:t>
      </w:r>
      <w:r w:rsidR="001014EC" w:rsidRPr="003E284C">
        <w:rPr>
          <w:color w:val="auto"/>
          <w:lang w:val="es-ES"/>
        </w:rPr>
        <w:t xml:space="preserve"> </w:t>
      </w:r>
      <w:r w:rsidR="001014EC" w:rsidRPr="003E284C">
        <w:rPr>
          <w:color w:val="auto"/>
          <w:lang w:val="es-ES"/>
        </w:rPr>
        <w:fldChar w:fldCharType="begin" w:fldLock="1"/>
      </w:r>
      <w:r w:rsidR="001014EC" w:rsidRPr="003E284C">
        <w:rPr>
          <w:color w:val="auto"/>
          <w:lang w:val="es-ES"/>
        </w:rPr>
        <w:instrText>ADDIN CSL_CITATION {"citationItems":[{"id":"ITEM-1","itemData":{"abstract":"• En 2020, 151 019 personas fallecieron a causa de la diabetes mellitus, lo cual equivale a 14% del total de defunciones (1 086 743) ocurridas en el país; 78 922 defunciones en hombres (52%) y 72 094 en mujeres (48%). • La tasa de mortalidad por diabetes para 2020 es de 11.95 personas por cada 10 mil habitantes, la cifra más alta en los últimos 10 años. En 1991 la Organización Mundial de la Salud (OMS) y la Federación Internacional de la Diabetes (FID) crearon el Día Mundial de la Diabetes. En 2006, en la resolución 61/225, la ONU designó el 14 de noviembre como día oficial para esta conmemoración. La selección de esta fecha se debe al natalicio de Sir Frederick Banting, quien junto a Charles Best, descubrió la insulina en 1922. En 2020, con motivo de la celebración del Día Mundial de la Diabetes, la Organización Panamericana de la Salud (OPS) enfatizó la importancia de implementar estrategias para prevenir, dar seguimiento y controlar esta enfermedad en el marco de la emergencia sanitaria por COVID 19, que ha supuesto desafíos tanto al sistema de salud como a quienes la padecen 1. En conmemoración de esta fecha, el Instituto Nacional de Estadística y Geografía (INEGI) ofrece el siguiente panorama nacional sobre la morbilidad y mortalidad por diabetes. MORBILIDAD A nivel mundial la FID estima que en 2019 había 463 millones de personas con diabetes y que esta cifra puede aumentar a 578 millones para 2030 y a 700 millones en 2045 2. En México, durante 2018 de acuerdo con la Encuesta Nacional de Salud y Nutrición había 82 767 605 personas de 20 años y más en el país, de las cuales 10.32% reportaron (8 542 718) contar con un diagnóstico médico previo de diabetes mellitus. Por sexo, 13.22% (5.1 millones) de las mujeres de 20 años y más disponían de este diagnóstico y 7.75% (3.4 millones) en los hombres de 20 años y más. Es decir, la enfermedad está más presente en las mujeres que en los hombres. Se observa un incremento del diagnóstico de la enfermedad conforme aumenta la edad de las personas; a nivel nacional poco más de una cuarta parte de la población de 60 a 69 años (25.8%) declaró contar con un diagnóstico previo de diabetes que representan 2.3 millones de personas. En el caso de las mujeres en este grupo de edad se presenta la prevalencia más alta con 35.6% (1.4 millones). Es en los hombres del grupo de 70 y más años donde se concentra la prevalencia más alta 18.4% de casos de diagnósticos previos de diabetes (714 mil personas). 1 Organización Panameri…","author":[{"dropping-particle":"","family":"INEGI","given":"","non-dropping-particle":"","parse-names":false,"suffix":""}],"container-title":"Comunicado de Prensa. No. 645/21","id":"ITEM-1","issue":"645/21","issued":{"date-parts":[["2021"]]},"page":"1-5","title":"Estadísticas a propósito del día mundial de la Diabetes (14 de noviembre). Datos nacionales","type":"article-journal"},"uris":["http://www.mendeley.com/documents/?uuid=e7b71a19-6bf5-4e31-bdc3-6d4c8ea6ac20"]}],"mendeley":{"formattedCitation":"(1)","plainTextFormattedCitation":"(1)","previouslyFormattedCitation":"(1)"},"properties":{"noteIndex":0},"schema":"https://github.com/citation-style-language/schema/raw/master/csl-citation.json"}</w:instrText>
      </w:r>
      <w:r w:rsidR="001014EC" w:rsidRPr="003E284C">
        <w:rPr>
          <w:color w:val="auto"/>
          <w:lang w:val="es-ES"/>
        </w:rPr>
        <w:fldChar w:fldCharType="separate"/>
      </w:r>
      <w:r w:rsidR="001014EC" w:rsidRPr="003E284C">
        <w:rPr>
          <w:noProof/>
          <w:color w:val="auto"/>
          <w:lang w:val="es-ES"/>
        </w:rPr>
        <w:t>(INEGI</w:t>
      </w:r>
      <w:r w:rsidR="00C627A2" w:rsidRPr="003E284C">
        <w:rPr>
          <w:noProof/>
          <w:color w:val="auto"/>
          <w:lang w:val="es-ES"/>
        </w:rPr>
        <w:t>,</w:t>
      </w:r>
      <w:r w:rsidR="001014EC" w:rsidRPr="003E284C">
        <w:rPr>
          <w:noProof/>
          <w:color w:val="auto"/>
          <w:lang w:val="es-ES"/>
        </w:rPr>
        <w:t xml:space="preserve"> </w:t>
      </w:r>
      <w:r w:rsidR="006850E9" w:rsidRPr="003E284C">
        <w:rPr>
          <w:noProof/>
          <w:color w:val="auto"/>
        </w:rPr>
        <w:t>2021</w:t>
      </w:r>
      <w:r w:rsidR="007278B1" w:rsidRPr="003E284C">
        <w:rPr>
          <w:noProof/>
          <w:color w:val="auto"/>
        </w:rPr>
        <w:t>a</w:t>
      </w:r>
      <w:r w:rsidR="001014EC" w:rsidRPr="003E284C">
        <w:rPr>
          <w:noProof/>
          <w:color w:val="auto"/>
          <w:lang w:val="es-ES"/>
        </w:rPr>
        <w:t>)</w:t>
      </w:r>
      <w:r w:rsidR="001014EC" w:rsidRPr="003E284C">
        <w:rPr>
          <w:color w:val="auto"/>
          <w:lang w:val="es-ES"/>
        </w:rPr>
        <w:fldChar w:fldCharType="end"/>
      </w:r>
      <w:r w:rsidRPr="003E284C">
        <w:rPr>
          <w:color w:val="auto"/>
          <w:lang w:val="es-ES"/>
        </w:rPr>
        <w:t>.</w:t>
      </w:r>
      <w:r w:rsidR="00883A87" w:rsidRPr="003E284C">
        <w:rPr>
          <w:color w:val="auto"/>
          <w:lang w:val="es-ES"/>
        </w:rPr>
        <w:t xml:space="preserve"> </w:t>
      </w:r>
      <w:r w:rsidR="006C597A" w:rsidRPr="003E284C">
        <w:rPr>
          <w:color w:val="auto"/>
          <w:lang w:val="es-ES"/>
        </w:rPr>
        <w:t>En este contexto, l</w:t>
      </w:r>
      <w:r w:rsidR="00883A87" w:rsidRPr="003E284C">
        <w:rPr>
          <w:color w:val="auto"/>
          <w:lang w:val="es-ES"/>
        </w:rPr>
        <w:t xml:space="preserve">a </w:t>
      </w:r>
      <w:r w:rsidR="006C597A" w:rsidRPr="003E284C">
        <w:rPr>
          <w:color w:val="auto"/>
          <w:lang w:val="es-ES"/>
        </w:rPr>
        <w:t xml:space="preserve">atención primaria </w:t>
      </w:r>
      <w:r w:rsidR="00883A87" w:rsidRPr="003E284C">
        <w:rPr>
          <w:color w:val="auto"/>
          <w:lang w:val="es-ES"/>
        </w:rPr>
        <w:t xml:space="preserve">(AP) es clave en la detección y </w:t>
      </w:r>
      <w:r w:rsidR="00166FF7" w:rsidRPr="003E284C">
        <w:rPr>
          <w:color w:val="auto"/>
          <w:lang w:val="es-ES"/>
        </w:rPr>
        <w:t>estratificación</w:t>
      </w:r>
      <w:r w:rsidR="00883A87" w:rsidRPr="003E284C">
        <w:rPr>
          <w:color w:val="auto"/>
          <w:lang w:val="es-ES"/>
        </w:rPr>
        <w:t xml:space="preserve"> de la ER en las diferentes poblaciones</w:t>
      </w:r>
      <w:r w:rsidR="006C597A" w:rsidRPr="003E284C">
        <w:rPr>
          <w:color w:val="auto"/>
          <w:lang w:val="es-ES"/>
        </w:rPr>
        <w:t>, así como</w:t>
      </w:r>
      <w:r w:rsidR="00883A87" w:rsidRPr="003E284C">
        <w:rPr>
          <w:color w:val="auto"/>
          <w:lang w:val="es-ES"/>
        </w:rPr>
        <w:t xml:space="preserve"> para un correcto manejo de la situación presentada (Labrador</w:t>
      </w:r>
      <w:r w:rsidR="006850E9" w:rsidRPr="003E284C">
        <w:rPr>
          <w:noProof/>
          <w:color w:val="auto"/>
        </w:rPr>
        <w:t xml:space="preserve"> </w:t>
      </w:r>
      <w:r w:rsidR="006C597A" w:rsidRPr="003E284C">
        <w:rPr>
          <w:i/>
          <w:color w:val="auto"/>
          <w:lang w:val="es-ES"/>
        </w:rPr>
        <w:t>et al.</w:t>
      </w:r>
      <w:r w:rsidR="00883A87" w:rsidRPr="003E284C">
        <w:rPr>
          <w:color w:val="auto"/>
          <w:lang w:val="es-ES"/>
        </w:rPr>
        <w:t>, 2018b).</w:t>
      </w:r>
      <w:r w:rsidRPr="003E284C">
        <w:rPr>
          <w:color w:val="auto"/>
          <w:lang w:val="es-ES"/>
        </w:rPr>
        <w:t xml:space="preserve"> </w:t>
      </w:r>
    </w:p>
    <w:p w14:paraId="11B9F6BF" w14:textId="4A2C8501" w:rsidR="00667620" w:rsidRPr="003E284C" w:rsidRDefault="00C54212" w:rsidP="00C54212">
      <w:pPr>
        <w:pStyle w:val="Normal1"/>
        <w:rPr>
          <w:color w:val="auto"/>
          <w:lang w:val="es-ES"/>
        </w:rPr>
      </w:pPr>
      <w:r w:rsidRPr="003E284C">
        <w:rPr>
          <w:color w:val="auto"/>
          <w:lang w:val="es-ES"/>
        </w:rPr>
        <w:t xml:space="preserve">La identificación de tasas de filtración glomerular alteradas en sujetos con creatinina sérica normal obliga a reflexionar sobre la necesidad de que en el primer nivel de atención se procure la evaluación periódica de este parámetro con la finalidad de diagnosticar y tratar oportunamente la nefropatía diabética </w:t>
      </w:r>
      <w:r w:rsidR="006C597A" w:rsidRPr="003E284C">
        <w:rPr>
          <w:color w:val="auto"/>
          <w:lang w:val="es-ES"/>
        </w:rPr>
        <w:t xml:space="preserve">con el fin de garantizar </w:t>
      </w:r>
      <w:r w:rsidRPr="003E284C">
        <w:rPr>
          <w:color w:val="auto"/>
          <w:lang w:val="es-ES"/>
        </w:rPr>
        <w:t>a los pacientes una mejor calidad de vida (Leyva</w:t>
      </w:r>
      <w:r w:rsidR="0064789D" w:rsidRPr="003E284C">
        <w:rPr>
          <w:color w:val="auto"/>
          <w:lang w:val="es-ES"/>
        </w:rPr>
        <w:t xml:space="preserve"> </w:t>
      </w:r>
      <w:r w:rsidR="0064789D" w:rsidRPr="003E284C">
        <w:rPr>
          <w:i/>
          <w:iCs/>
          <w:color w:val="auto"/>
          <w:lang w:val="es-ES"/>
        </w:rPr>
        <w:t>et al</w:t>
      </w:r>
      <w:r w:rsidR="0064789D" w:rsidRPr="003E284C">
        <w:rPr>
          <w:color w:val="auto"/>
          <w:lang w:val="es-ES"/>
        </w:rPr>
        <w:t>,</w:t>
      </w:r>
      <w:r w:rsidRPr="003E284C">
        <w:rPr>
          <w:color w:val="auto"/>
          <w:lang w:val="es-ES"/>
        </w:rPr>
        <w:t xml:space="preserve"> 2013). </w:t>
      </w:r>
    </w:p>
    <w:p w14:paraId="263BB429" w14:textId="6393686C" w:rsidR="00667620" w:rsidRPr="003E284C" w:rsidRDefault="006C597A" w:rsidP="00300DCE">
      <w:pPr>
        <w:pStyle w:val="Normal1"/>
        <w:rPr>
          <w:color w:val="auto"/>
          <w:lang w:val="es-ES"/>
        </w:rPr>
      </w:pPr>
      <w:r w:rsidRPr="003E284C">
        <w:rPr>
          <w:color w:val="auto"/>
          <w:lang w:val="es-ES"/>
        </w:rPr>
        <w:t xml:space="preserve">El </w:t>
      </w:r>
      <w:r w:rsidR="00667620" w:rsidRPr="003E284C">
        <w:rPr>
          <w:color w:val="auto"/>
          <w:lang w:val="es-ES"/>
        </w:rPr>
        <w:t xml:space="preserve">INEGI </w:t>
      </w:r>
      <w:r w:rsidR="009D3D82" w:rsidRPr="003E284C">
        <w:rPr>
          <w:color w:val="auto"/>
          <w:lang w:val="es-ES"/>
        </w:rPr>
        <w:t>señaló que</w:t>
      </w:r>
      <w:r w:rsidRPr="003E284C">
        <w:rPr>
          <w:color w:val="auto"/>
          <w:lang w:val="es-ES"/>
        </w:rPr>
        <w:t>,</w:t>
      </w:r>
      <w:r w:rsidR="00667620" w:rsidRPr="003E284C">
        <w:rPr>
          <w:color w:val="auto"/>
          <w:lang w:val="es-ES"/>
        </w:rPr>
        <w:t xml:space="preserve"> de acuerdo con la Encuesta Nacional de Salud y Nutrición </w:t>
      </w:r>
      <w:r w:rsidR="00915472" w:rsidRPr="003E284C">
        <w:rPr>
          <w:color w:val="auto"/>
          <w:lang w:val="es-ES"/>
        </w:rPr>
        <w:t xml:space="preserve">2018 </w:t>
      </w:r>
      <w:r w:rsidR="00667620" w:rsidRPr="003E284C">
        <w:rPr>
          <w:color w:val="auto"/>
          <w:lang w:val="es-ES"/>
        </w:rPr>
        <w:t>(ENSANUT)</w:t>
      </w:r>
      <w:r w:rsidR="002F4B6B" w:rsidRPr="003E284C">
        <w:rPr>
          <w:color w:val="auto"/>
          <w:lang w:val="es-ES"/>
        </w:rPr>
        <w:t>,</w:t>
      </w:r>
      <w:r w:rsidR="00667620" w:rsidRPr="003E284C">
        <w:rPr>
          <w:color w:val="auto"/>
          <w:lang w:val="es-ES"/>
        </w:rPr>
        <w:t xml:space="preserve"> en </w:t>
      </w:r>
      <w:r w:rsidR="001773ED" w:rsidRPr="003E284C">
        <w:rPr>
          <w:color w:val="auto"/>
          <w:lang w:val="es-ES"/>
        </w:rPr>
        <w:t>México</w:t>
      </w:r>
      <w:r w:rsidR="00667620" w:rsidRPr="003E284C">
        <w:rPr>
          <w:color w:val="auto"/>
          <w:lang w:val="es-ES"/>
        </w:rPr>
        <w:t xml:space="preserve"> </w:t>
      </w:r>
      <w:r w:rsidR="009B10C8" w:rsidRPr="003E284C">
        <w:rPr>
          <w:color w:val="auto"/>
          <w:lang w:val="es-ES"/>
        </w:rPr>
        <w:t xml:space="preserve">existe </w:t>
      </w:r>
      <w:r w:rsidR="00667620" w:rsidRPr="003E284C">
        <w:rPr>
          <w:color w:val="auto"/>
          <w:lang w:val="es-ES"/>
        </w:rPr>
        <w:t>una tasa de mortalidad a causa de DM2 de 11.95 personas por cada 10</w:t>
      </w:r>
      <w:r w:rsidRPr="003E284C">
        <w:rPr>
          <w:color w:val="auto"/>
          <w:lang w:val="es-ES"/>
        </w:rPr>
        <w:t> </w:t>
      </w:r>
      <w:r w:rsidR="00667620" w:rsidRPr="003E284C">
        <w:rPr>
          <w:color w:val="auto"/>
          <w:lang w:val="es-ES"/>
        </w:rPr>
        <w:t>000 habitantes</w:t>
      </w:r>
      <w:r w:rsidRPr="003E284C">
        <w:rPr>
          <w:color w:val="auto"/>
          <w:lang w:val="es-ES"/>
        </w:rPr>
        <w:t>,</w:t>
      </w:r>
      <w:r w:rsidR="00667620" w:rsidRPr="003E284C">
        <w:rPr>
          <w:color w:val="auto"/>
          <w:lang w:val="es-ES"/>
        </w:rPr>
        <w:t xml:space="preserve"> </w:t>
      </w:r>
      <w:r w:rsidRPr="003E284C">
        <w:rPr>
          <w:color w:val="auto"/>
          <w:lang w:val="es-ES"/>
        </w:rPr>
        <w:t>lo que equivale</w:t>
      </w:r>
      <w:r w:rsidR="00667620" w:rsidRPr="003E284C">
        <w:rPr>
          <w:color w:val="auto"/>
          <w:lang w:val="es-ES"/>
        </w:rPr>
        <w:t xml:space="preserve"> a 1</w:t>
      </w:r>
      <w:r w:rsidRPr="003E284C">
        <w:rPr>
          <w:color w:val="auto"/>
          <w:lang w:val="es-ES"/>
        </w:rPr>
        <w:t> </w:t>
      </w:r>
      <w:r w:rsidR="00667620" w:rsidRPr="003E284C">
        <w:rPr>
          <w:color w:val="auto"/>
          <w:lang w:val="es-ES"/>
        </w:rPr>
        <w:t>086</w:t>
      </w:r>
      <w:r w:rsidRPr="003E284C">
        <w:rPr>
          <w:color w:val="auto"/>
          <w:lang w:val="es-ES"/>
        </w:rPr>
        <w:t> </w:t>
      </w:r>
      <w:r w:rsidR="00667620" w:rsidRPr="003E284C">
        <w:rPr>
          <w:color w:val="auto"/>
          <w:lang w:val="es-ES"/>
        </w:rPr>
        <w:t>743 defunciones</w:t>
      </w:r>
      <w:r w:rsidR="0007116F" w:rsidRPr="003E284C">
        <w:rPr>
          <w:color w:val="auto"/>
          <w:lang w:val="es-ES"/>
        </w:rPr>
        <w:t xml:space="preserve"> </w:t>
      </w:r>
      <w:r w:rsidR="001014EC" w:rsidRPr="003E284C">
        <w:rPr>
          <w:color w:val="auto"/>
          <w:lang w:val="es-ES"/>
        </w:rPr>
        <w:fldChar w:fldCharType="begin" w:fldLock="1"/>
      </w:r>
      <w:r w:rsidR="001014EC" w:rsidRPr="003E284C">
        <w:rPr>
          <w:color w:val="auto"/>
          <w:lang w:val="es-ES"/>
        </w:rPr>
        <w:instrText>ADDIN CSL_CITATION {"citationItems":[{"id":"ITEM-1","itemData":{"abstract":"• En 2020, 151 019 personas fallecieron a causa de la diabetes mellitus, lo cual equivale a 14% del total de defunciones (1 086 743) ocurridas en el país; 78 922 defunciones en hombres (52%) y 72 094 en mujeres (48%). • La tasa de mortalidad por diabetes para 2020 es de 11.95 personas por cada 10 mil habitantes, la cifra más alta en los últimos 10 años. En 1991 la Organización Mundial de la Salud (OMS) y la Federación Internacional de la Diabetes (FID) crearon el Día Mundial de la Diabetes. En 2006, en la resolución 61/225, la ONU designó el 14 de noviembre como día oficial para esta conmemoración. La selección de esta fecha se debe al natalicio de Sir Frederick Banting, quien junto a Charles Best, descubrió la insulina en 1922. En 2020, con motivo de la celebración del Día Mundial de la Diabetes, la Organización Panamericana de la Salud (OPS) enfatizó la importancia de implementar estrategias para prevenir, dar seguimiento y controlar esta enfermedad en el marco de la emergencia sanitaria por COVID 19, que ha supuesto desafíos tanto al sistema de salud como a quienes la padecen 1. En conmemoración de esta fecha, el Instituto Nacional de Estadística y Geografía (INEGI) ofrece el siguiente panorama nacional sobre la morbilidad y mortalidad por diabetes. MORBILIDAD A nivel mundial la FID estima que en 2019 había 463 millones de personas con diabetes y que esta cifra puede aumentar a 578 millones para 2030 y a 700 millones en 2045 2. En México, durante 2018 de acuerdo con la Encuesta Nacional de Salud y Nutrición había 82 767 605 personas de 20 años y más en el país, de las cuales 10.32% reportaron (8 542 718) contar con un diagnóstico médico previo de diabetes mellitus. Por sexo, 13.22% (5.1 millones) de las mujeres de 20 años y más disponían de este diagnóstico y 7.75% (3.4 millones) en los hombres de 20 años y más. Es decir, la enfermedad está más presente en las mujeres que en los hombres. Se observa un incremento del diagnóstico de la enfermedad conforme aumenta la edad de las personas; a nivel nacional poco más de una cuarta parte de la población de 60 a 69 años (25.8%) declaró contar con un diagnóstico previo de diabetes que representan 2.3 millones de personas. En el caso de las mujeres en este grupo de edad se presenta la prevalencia más alta con 35.6% (1.4 millones). Es en los hombres del grupo de 70 y más años donde se concentra la prevalencia más alta 18.4% de casos de diagnósticos previos de diabetes (714 mil personas). 1 Organización Panameri…","author":[{"dropping-particle":"","family":"INEGI","given":"","non-dropping-particle":"","parse-names":false,"suffix":""}],"container-title":"Comunicado de Prensa. No. 645/21","id":"ITEM-1","issue":"645/21","issued":{"date-parts":[["2021"]]},"page":"1-5","title":"Estadísticas a propósito del día mundial de la Diabetes (14 de noviembre). Datos nacionales","type":"article-journal"},"uris":["http://www.mendeley.com/documents/?uuid=e7b71a19-6bf5-4e31-bdc3-6d4c8ea6ac20"]}],"mendeley":{"formattedCitation":"(1)","plainTextFormattedCitation":"(1)","previouslyFormattedCitation":"(1)"},"properties":{"noteIndex":0},"schema":"https://github.com/citation-style-language/schema/raw/master/csl-citation.json"}</w:instrText>
      </w:r>
      <w:r w:rsidR="001014EC" w:rsidRPr="003E284C">
        <w:rPr>
          <w:color w:val="auto"/>
          <w:lang w:val="es-ES"/>
        </w:rPr>
        <w:fldChar w:fldCharType="separate"/>
      </w:r>
      <w:r w:rsidR="001014EC" w:rsidRPr="003E284C">
        <w:rPr>
          <w:noProof/>
          <w:color w:val="auto"/>
          <w:lang w:val="es-ES"/>
        </w:rPr>
        <w:t>(INEGI</w:t>
      </w:r>
      <w:r w:rsidR="00C627A2" w:rsidRPr="003E284C">
        <w:rPr>
          <w:noProof/>
          <w:color w:val="auto"/>
          <w:lang w:val="es-ES"/>
        </w:rPr>
        <w:t>,</w:t>
      </w:r>
      <w:r w:rsidR="001014EC" w:rsidRPr="003E284C">
        <w:rPr>
          <w:noProof/>
          <w:color w:val="auto"/>
          <w:lang w:val="es-ES"/>
        </w:rPr>
        <w:t xml:space="preserve"> </w:t>
      </w:r>
      <w:r w:rsidR="00B94030" w:rsidRPr="003E284C">
        <w:rPr>
          <w:rStyle w:val="normalCar"/>
          <w:rFonts w:eastAsiaTheme="minorHAnsi"/>
          <w:color w:val="auto"/>
        </w:rPr>
        <w:t>2021</w:t>
      </w:r>
      <w:r w:rsidR="007278B1" w:rsidRPr="003E284C">
        <w:rPr>
          <w:rStyle w:val="normalCar"/>
          <w:rFonts w:eastAsiaTheme="minorHAnsi"/>
          <w:color w:val="auto"/>
        </w:rPr>
        <w:t>b</w:t>
      </w:r>
      <w:r w:rsidR="00B94030" w:rsidRPr="003E284C">
        <w:rPr>
          <w:rStyle w:val="normalCar"/>
          <w:rFonts w:eastAsiaTheme="minorHAnsi"/>
          <w:color w:val="auto"/>
        </w:rPr>
        <w:t>)</w:t>
      </w:r>
      <w:r w:rsidR="001014EC" w:rsidRPr="003E284C">
        <w:rPr>
          <w:color w:val="auto"/>
          <w:lang w:val="es-ES"/>
        </w:rPr>
        <w:fldChar w:fldCharType="end"/>
      </w:r>
      <w:r w:rsidR="00667620" w:rsidRPr="003E284C">
        <w:rPr>
          <w:color w:val="auto"/>
          <w:lang w:val="es-ES"/>
        </w:rPr>
        <w:t>.</w:t>
      </w:r>
      <w:r w:rsidR="00995A46" w:rsidRPr="003E284C">
        <w:rPr>
          <w:color w:val="auto"/>
          <w:lang w:val="es-ES"/>
        </w:rPr>
        <w:t xml:space="preserve"> </w:t>
      </w:r>
      <w:r w:rsidR="001773ED" w:rsidRPr="003E284C">
        <w:rPr>
          <w:color w:val="auto"/>
          <w:lang w:val="es-ES"/>
        </w:rPr>
        <w:t>U</w:t>
      </w:r>
      <w:r w:rsidR="00667620" w:rsidRPr="003E284C">
        <w:rPr>
          <w:color w:val="auto"/>
          <w:lang w:val="es-ES"/>
        </w:rPr>
        <w:t xml:space="preserve">na de las complicaciones de la diabetes es </w:t>
      </w:r>
      <w:r w:rsidR="001773ED" w:rsidRPr="003E284C">
        <w:rPr>
          <w:color w:val="auto"/>
          <w:lang w:val="es-ES"/>
        </w:rPr>
        <w:t>el desarrollo de la</w:t>
      </w:r>
      <w:r w:rsidR="00667620" w:rsidRPr="003E284C">
        <w:rPr>
          <w:color w:val="auto"/>
          <w:lang w:val="es-ES"/>
        </w:rPr>
        <w:t xml:space="preserve"> nefropatía diabética</w:t>
      </w:r>
      <w:r w:rsidRPr="003E284C">
        <w:rPr>
          <w:color w:val="auto"/>
          <w:lang w:val="es-ES"/>
        </w:rPr>
        <w:t xml:space="preserve">. De hecho, se estima </w:t>
      </w:r>
      <w:r w:rsidR="00667620" w:rsidRPr="003E284C">
        <w:rPr>
          <w:color w:val="auto"/>
          <w:lang w:val="es-ES"/>
        </w:rPr>
        <w:t>que entre</w:t>
      </w:r>
      <w:r w:rsidR="001773ED" w:rsidRPr="003E284C">
        <w:rPr>
          <w:color w:val="auto"/>
          <w:lang w:val="es-ES"/>
        </w:rPr>
        <w:t xml:space="preserve"> el</w:t>
      </w:r>
      <w:r w:rsidR="00995A46" w:rsidRPr="003E284C">
        <w:rPr>
          <w:color w:val="auto"/>
          <w:lang w:val="es-ES"/>
        </w:rPr>
        <w:t xml:space="preserve"> </w:t>
      </w:r>
      <w:r w:rsidR="00667620" w:rsidRPr="003E284C">
        <w:rPr>
          <w:color w:val="auto"/>
          <w:lang w:val="es-ES"/>
        </w:rPr>
        <w:t xml:space="preserve">25 </w:t>
      </w:r>
      <w:r w:rsidRPr="003E284C">
        <w:rPr>
          <w:color w:val="auto"/>
          <w:lang w:val="es-ES"/>
        </w:rPr>
        <w:t xml:space="preserve">% </w:t>
      </w:r>
      <w:r w:rsidR="00667620" w:rsidRPr="003E284C">
        <w:rPr>
          <w:color w:val="auto"/>
          <w:lang w:val="es-ES"/>
        </w:rPr>
        <w:t xml:space="preserve">y </w:t>
      </w:r>
      <w:r w:rsidRPr="003E284C">
        <w:rPr>
          <w:color w:val="auto"/>
          <w:lang w:val="es-ES"/>
        </w:rPr>
        <w:t xml:space="preserve">el </w:t>
      </w:r>
      <w:r w:rsidR="00667620" w:rsidRPr="003E284C">
        <w:rPr>
          <w:color w:val="auto"/>
          <w:lang w:val="es-ES"/>
        </w:rPr>
        <w:t>40</w:t>
      </w:r>
      <w:r w:rsidR="00EA7886" w:rsidRPr="003E284C">
        <w:rPr>
          <w:color w:val="auto"/>
          <w:lang w:val="es-ES"/>
        </w:rPr>
        <w:t xml:space="preserve"> </w:t>
      </w:r>
      <w:r w:rsidR="00667620" w:rsidRPr="003E284C">
        <w:rPr>
          <w:color w:val="auto"/>
          <w:lang w:val="es-ES"/>
        </w:rPr>
        <w:t xml:space="preserve">% de </w:t>
      </w:r>
      <w:r w:rsidR="001773ED" w:rsidRPr="003E284C">
        <w:rPr>
          <w:color w:val="auto"/>
          <w:lang w:val="es-ES"/>
        </w:rPr>
        <w:t xml:space="preserve">la población </w:t>
      </w:r>
      <w:r w:rsidR="00667620" w:rsidRPr="003E284C">
        <w:rPr>
          <w:color w:val="auto"/>
          <w:lang w:val="es-ES"/>
        </w:rPr>
        <w:t>diabétic</w:t>
      </w:r>
      <w:r w:rsidR="001773ED" w:rsidRPr="003E284C">
        <w:rPr>
          <w:color w:val="auto"/>
          <w:lang w:val="es-ES"/>
        </w:rPr>
        <w:t>a</w:t>
      </w:r>
      <w:r w:rsidR="00667620" w:rsidRPr="003E284C">
        <w:rPr>
          <w:color w:val="auto"/>
          <w:lang w:val="es-ES"/>
        </w:rPr>
        <w:t xml:space="preserve"> presentan algún grado de nefropatía </w:t>
      </w:r>
      <w:r w:rsidR="00667620" w:rsidRPr="003E284C">
        <w:rPr>
          <w:color w:val="auto"/>
          <w:lang w:val="es-ES"/>
        </w:rPr>
        <w:fldChar w:fldCharType="begin" w:fldLock="1"/>
      </w:r>
      <w:r w:rsidR="00667620" w:rsidRPr="003E284C">
        <w:rPr>
          <w:color w:val="auto"/>
          <w:lang w:val="es-ES"/>
        </w:rPr>
        <w:instrText>ADDIN CSL_CITATION {"citationItems":[{"id":"ITEM-1","itemData":{"author":[{"dropping-particle":"","family":"César","given":"Ponente Enríquez-rivas Mario","non-dropping-particle":"","parse-names":false,"suffix":""},{"dropping-particle":"","family":"María","given":"Redactó Hernández-sánchez Ana","non-dropping-particle":"","parse-names":false,"suffix":""}],"id":"ITEM-1","issued":{"date-parts":[["2021"]]},"page":"77-81","title":"Nefropatía diabética","type":"article-journal"},"uris":["http://www.mendeley.com/documents/?uuid=c954e5a5-94db-4b40-903f-43403fdf389a"]}],"mendeley":{"formattedCitation":"(12)","plainTextFormattedCitation":"(12)","previouslyFormattedCitation":"(12)"},"properties":{"noteIndex":0},"schema":"https://github.com/citation-style-language/schema/raw/master/csl-citation.json"}</w:instrText>
      </w:r>
      <w:r w:rsidR="00667620" w:rsidRPr="003E284C">
        <w:rPr>
          <w:color w:val="auto"/>
          <w:lang w:val="es-ES"/>
        </w:rPr>
        <w:fldChar w:fldCharType="separate"/>
      </w:r>
      <w:r w:rsidR="00667620" w:rsidRPr="003E284C">
        <w:rPr>
          <w:noProof/>
          <w:color w:val="auto"/>
          <w:lang w:val="es-ES"/>
        </w:rPr>
        <w:t>(</w:t>
      </w:r>
      <w:r w:rsidR="001014EC" w:rsidRPr="003E284C">
        <w:rPr>
          <w:noProof/>
          <w:color w:val="auto"/>
          <w:lang w:val="es-ES"/>
        </w:rPr>
        <w:t>Enríquez</w:t>
      </w:r>
      <w:r w:rsidR="00915472" w:rsidRPr="003E284C">
        <w:rPr>
          <w:noProof/>
          <w:color w:val="auto"/>
          <w:lang w:val="es-ES"/>
        </w:rPr>
        <w:t xml:space="preserve"> </w:t>
      </w:r>
      <w:r w:rsidR="0064789D" w:rsidRPr="003E284C">
        <w:rPr>
          <w:noProof/>
          <w:color w:val="auto"/>
        </w:rPr>
        <w:t>&amp;</w:t>
      </w:r>
      <w:r w:rsidR="006850E9" w:rsidRPr="003E284C">
        <w:rPr>
          <w:noProof/>
          <w:color w:val="auto"/>
        </w:rPr>
        <w:t xml:space="preserve"> Hernández</w:t>
      </w:r>
      <w:r w:rsidR="00915472" w:rsidRPr="003E284C">
        <w:rPr>
          <w:noProof/>
          <w:color w:val="auto"/>
          <w:lang w:val="es-ES"/>
        </w:rPr>
        <w:t>,</w:t>
      </w:r>
      <w:r w:rsidR="001014EC" w:rsidRPr="003E284C">
        <w:rPr>
          <w:noProof/>
          <w:color w:val="auto"/>
          <w:lang w:val="es-ES"/>
        </w:rPr>
        <w:t xml:space="preserve"> 2021</w:t>
      </w:r>
      <w:r w:rsidR="00667620" w:rsidRPr="003E284C">
        <w:rPr>
          <w:noProof/>
          <w:color w:val="auto"/>
          <w:lang w:val="es-ES"/>
        </w:rPr>
        <w:t>)</w:t>
      </w:r>
      <w:r w:rsidR="00667620" w:rsidRPr="003E284C">
        <w:rPr>
          <w:color w:val="auto"/>
          <w:lang w:val="es-ES"/>
        </w:rPr>
        <w:fldChar w:fldCharType="end"/>
      </w:r>
      <w:r w:rsidR="00667620" w:rsidRPr="003E284C">
        <w:rPr>
          <w:color w:val="auto"/>
          <w:lang w:val="es-ES"/>
        </w:rPr>
        <w:t>.</w:t>
      </w:r>
    </w:p>
    <w:p w14:paraId="5B7B5A44" w14:textId="1CA5C41B" w:rsidR="00667620" w:rsidRPr="003E284C" w:rsidRDefault="00262436" w:rsidP="00BD518A">
      <w:pPr>
        <w:pStyle w:val="Normal1"/>
        <w:rPr>
          <w:color w:val="auto"/>
          <w:lang w:val="es-ES"/>
        </w:rPr>
      </w:pPr>
      <w:r w:rsidRPr="003E284C">
        <w:rPr>
          <w:color w:val="auto"/>
          <w:lang w:val="es-ES"/>
        </w:rPr>
        <w:t xml:space="preserve">En el </w:t>
      </w:r>
      <w:r w:rsidR="007F4E8D" w:rsidRPr="003E284C">
        <w:rPr>
          <w:color w:val="auto"/>
          <w:lang w:val="es-ES"/>
        </w:rPr>
        <w:t>E</w:t>
      </w:r>
      <w:r w:rsidRPr="003E284C">
        <w:rPr>
          <w:color w:val="auto"/>
          <w:lang w:val="es-ES"/>
        </w:rPr>
        <w:t xml:space="preserve">stado de Guerrero </w:t>
      </w:r>
      <w:r w:rsidR="009B3BB2" w:rsidRPr="003E284C">
        <w:rPr>
          <w:color w:val="auto"/>
          <w:lang w:val="es-ES"/>
        </w:rPr>
        <w:t xml:space="preserve">se </w:t>
      </w:r>
      <w:r w:rsidR="00861BB0" w:rsidRPr="003E284C">
        <w:rPr>
          <w:color w:val="auto"/>
          <w:lang w:val="es-ES"/>
        </w:rPr>
        <w:t>registr</w:t>
      </w:r>
      <w:r w:rsidR="007833EF" w:rsidRPr="003E284C">
        <w:rPr>
          <w:color w:val="auto"/>
          <w:lang w:val="es-ES"/>
        </w:rPr>
        <w:t>ó</w:t>
      </w:r>
      <w:r w:rsidR="00861BB0" w:rsidRPr="003E284C">
        <w:rPr>
          <w:color w:val="auto"/>
          <w:lang w:val="es-ES"/>
        </w:rPr>
        <w:t xml:space="preserve"> que el 13.2 % de personas presentaron ERO dentro</w:t>
      </w:r>
      <w:r w:rsidR="009B3BB2" w:rsidRPr="003E284C">
        <w:rPr>
          <w:color w:val="auto"/>
          <w:lang w:val="es-ES"/>
        </w:rPr>
        <w:t xml:space="preserve"> </w:t>
      </w:r>
      <w:r w:rsidR="003B4546" w:rsidRPr="003E284C">
        <w:rPr>
          <w:color w:val="auto"/>
          <w:lang w:val="es-ES"/>
        </w:rPr>
        <w:t>de</w:t>
      </w:r>
      <w:r w:rsidRPr="003E284C">
        <w:rPr>
          <w:color w:val="auto"/>
          <w:lang w:val="es-ES"/>
        </w:rPr>
        <w:t xml:space="preserve"> la </w:t>
      </w:r>
      <w:r w:rsidR="006C597A" w:rsidRPr="003E284C">
        <w:rPr>
          <w:color w:val="auto"/>
          <w:lang w:val="es-ES"/>
        </w:rPr>
        <w:t xml:space="preserve">unidad de medicina familiar </w:t>
      </w:r>
      <w:r w:rsidRPr="003E284C">
        <w:rPr>
          <w:color w:val="auto"/>
          <w:lang w:val="es-ES"/>
        </w:rPr>
        <w:t xml:space="preserve">del </w:t>
      </w:r>
      <w:r w:rsidR="007F4E8D" w:rsidRPr="003E284C">
        <w:rPr>
          <w:color w:val="auto"/>
          <w:lang w:val="es-ES"/>
        </w:rPr>
        <w:t>I</w:t>
      </w:r>
      <w:r w:rsidRPr="003E284C">
        <w:rPr>
          <w:color w:val="auto"/>
          <w:lang w:val="es-ES"/>
        </w:rPr>
        <w:t xml:space="preserve">nstituto </w:t>
      </w:r>
      <w:r w:rsidR="007F4E8D" w:rsidRPr="003E284C">
        <w:rPr>
          <w:color w:val="auto"/>
          <w:lang w:val="es-ES"/>
        </w:rPr>
        <w:t>M</w:t>
      </w:r>
      <w:r w:rsidRPr="003E284C">
        <w:rPr>
          <w:color w:val="auto"/>
          <w:lang w:val="es-ES"/>
        </w:rPr>
        <w:t>exicano</w:t>
      </w:r>
      <w:r w:rsidR="007F4E8D" w:rsidRPr="003E284C">
        <w:rPr>
          <w:color w:val="auto"/>
          <w:lang w:val="es-ES"/>
        </w:rPr>
        <w:t xml:space="preserve"> del Seguro Social (UMF-</w:t>
      </w:r>
      <w:r w:rsidR="007F4E8D" w:rsidRPr="003E284C">
        <w:rPr>
          <w:color w:val="auto"/>
          <w:lang w:val="es-ES"/>
        </w:rPr>
        <w:lastRenderedPageBreak/>
        <w:t>IMSS)</w:t>
      </w:r>
      <w:r w:rsidR="00BD518A" w:rsidRPr="003E284C">
        <w:rPr>
          <w:color w:val="auto"/>
          <w:lang w:val="es-ES"/>
        </w:rPr>
        <w:t>;</w:t>
      </w:r>
      <w:r w:rsidR="00995A46" w:rsidRPr="003E284C">
        <w:rPr>
          <w:color w:val="auto"/>
          <w:lang w:val="es-ES"/>
        </w:rPr>
        <w:t xml:space="preserve"> </w:t>
      </w:r>
      <w:r w:rsidR="00BD518A" w:rsidRPr="003E284C">
        <w:rPr>
          <w:color w:val="auto"/>
          <w:lang w:val="es-ES"/>
        </w:rPr>
        <w:t>l</w:t>
      </w:r>
      <w:r w:rsidR="006B6350" w:rsidRPr="003E284C">
        <w:rPr>
          <w:color w:val="auto"/>
          <w:lang w:val="es-ES"/>
        </w:rPr>
        <w:t>a</w:t>
      </w:r>
      <w:r w:rsidR="00667620" w:rsidRPr="003E284C">
        <w:rPr>
          <w:color w:val="auto"/>
          <w:lang w:val="es-ES"/>
        </w:rPr>
        <w:t xml:space="preserve"> detección temprana</w:t>
      </w:r>
      <w:r w:rsidR="00CF3C72" w:rsidRPr="003E284C">
        <w:rPr>
          <w:color w:val="auto"/>
          <w:lang w:val="es-ES"/>
        </w:rPr>
        <w:t xml:space="preserve"> de ERO</w:t>
      </w:r>
      <w:r w:rsidR="00667620" w:rsidRPr="003E284C">
        <w:rPr>
          <w:color w:val="auto"/>
          <w:lang w:val="es-ES"/>
        </w:rPr>
        <w:t xml:space="preserve"> en pacientes con enfermedades crónicas en el primer nivel de atención a la salud</w:t>
      </w:r>
      <w:r w:rsidR="00995A46" w:rsidRPr="003E284C">
        <w:rPr>
          <w:color w:val="auto"/>
          <w:lang w:val="es-ES"/>
        </w:rPr>
        <w:t xml:space="preserve"> </w:t>
      </w:r>
      <w:r w:rsidR="00123856" w:rsidRPr="003E284C">
        <w:rPr>
          <w:color w:val="auto"/>
          <w:lang w:val="es-ES"/>
        </w:rPr>
        <w:t>es una herramienta importante de prevención</w:t>
      </w:r>
      <w:r w:rsidR="00A17877" w:rsidRPr="003E284C">
        <w:rPr>
          <w:color w:val="auto"/>
          <w:lang w:val="es-ES"/>
        </w:rPr>
        <w:t xml:space="preserve"> para evitar la</w:t>
      </w:r>
      <w:r w:rsidR="00CA21C7" w:rsidRPr="003E284C">
        <w:rPr>
          <w:color w:val="auto"/>
          <w:lang w:val="es-ES"/>
        </w:rPr>
        <w:t xml:space="preserve"> progresión</w:t>
      </w:r>
      <w:r w:rsidR="00995A46" w:rsidRPr="003E284C">
        <w:rPr>
          <w:color w:val="auto"/>
          <w:lang w:val="es-ES"/>
        </w:rPr>
        <w:t xml:space="preserve"> </w:t>
      </w:r>
      <w:r w:rsidR="00CA21C7" w:rsidRPr="003E284C">
        <w:rPr>
          <w:color w:val="auto"/>
          <w:lang w:val="es-ES"/>
        </w:rPr>
        <w:t>a</w:t>
      </w:r>
      <w:r w:rsidR="006800A5" w:rsidRPr="003E284C">
        <w:rPr>
          <w:color w:val="auto"/>
          <w:lang w:val="es-ES"/>
        </w:rPr>
        <w:t xml:space="preserve"> </w:t>
      </w:r>
      <w:r w:rsidR="00667620" w:rsidRPr="003E284C">
        <w:rPr>
          <w:color w:val="auto"/>
          <w:lang w:val="es-ES"/>
        </w:rPr>
        <w:t>una insuficiencia renal en etapa terminal</w:t>
      </w:r>
      <w:r w:rsidR="001014EC" w:rsidRPr="003E284C">
        <w:rPr>
          <w:color w:val="auto"/>
          <w:lang w:val="es-ES"/>
        </w:rPr>
        <w:t xml:space="preserve"> (</w:t>
      </w:r>
      <w:r w:rsidR="00F73142" w:rsidRPr="003E284C">
        <w:rPr>
          <w:noProof/>
          <w:color w:val="auto"/>
          <w:lang w:val="es-ES"/>
        </w:rPr>
        <w:t>Balderas</w:t>
      </w:r>
      <w:r w:rsidR="006850E9" w:rsidRPr="003E284C">
        <w:rPr>
          <w:noProof/>
          <w:color w:val="auto"/>
        </w:rPr>
        <w:t xml:space="preserve"> </w:t>
      </w:r>
      <w:r w:rsidR="006C597A" w:rsidRPr="003E284C">
        <w:rPr>
          <w:i/>
          <w:color w:val="auto"/>
          <w:lang w:val="es-ES"/>
        </w:rPr>
        <w:t>et al.</w:t>
      </w:r>
      <w:r w:rsidR="00915472" w:rsidRPr="003E284C">
        <w:rPr>
          <w:color w:val="auto"/>
          <w:lang w:val="es-ES"/>
        </w:rPr>
        <w:t>,</w:t>
      </w:r>
      <w:r w:rsidR="001014EC" w:rsidRPr="003E284C">
        <w:rPr>
          <w:color w:val="auto"/>
          <w:lang w:val="es-ES"/>
        </w:rPr>
        <w:t xml:space="preserve"> 2019)</w:t>
      </w:r>
      <w:r w:rsidR="00667620" w:rsidRPr="003E284C">
        <w:rPr>
          <w:color w:val="auto"/>
          <w:lang w:val="es-ES"/>
        </w:rPr>
        <w:t>.</w:t>
      </w:r>
      <w:bookmarkStart w:id="4" w:name="_heading=h.xiashdhdt2kf" w:colFirst="0" w:colLast="0"/>
      <w:bookmarkEnd w:id="4"/>
    </w:p>
    <w:p w14:paraId="0A8FCB60" w14:textId="34B71521" w:rsidR="00C76EC0" w:rsidRPr="003E284C" w:rsidRDefault="00C76EC0" w:rsidP="00123856">
      <w:pPr>
        <w:pStyle w:val="Normal1"/>
        <w:rPr>
          <w:color w:val="auto"/>
          <w:lang w:val="es-ES"/>
        </w:rPr>
      </w:pPr>
      <w:r w:rsidRPr="003E284C">
        <w:rPr>
          <w:color w:val="auto"/>
          <w:lang w:val="es-ES"/>
        </w:rPr>
        <w:t>Determinar de forma adecuada la función renal tiene gran importancia en la práctica clínica, tanto para el diagnóstico precoz de la nefropatía como para el seguimiento de la progresión y previsión del inicio de tratamiento renal sustitutivo (</w:t>
      </w:r>
      <w:r w:rsidR="006C597A" w:rsidRPr="003E284C">
        <w:rPr>
          <w:color w:val="auto"/>
          <w:lang w:val="es-ES"/>
        </w:rPr>
        <w:t>C</w:t>
      </w:r>
      <w:r w:rsidRPr="003E284C">
        <w:rPr>
          <w:color w:val="auto"/>
          <w:lang w:val="es-ES"/>
        </w:rPr>
        <w:t xml:space="preserve">astaño </w:t>
      </w:r>
      <w:r w:rsidR="006C597A" w:rsidRPr="003E284C">
        <w:rPr>
          <w:i/>
          <w:color w:val="auto"/>
          <w:lang w:val="es-ES"/>
        </w:rPr>
        <w:t>et al.</w:t>
      </w:r>
      <w:r w:rsidRPr="003E284C">
        <w:rPr>
          <w:color w:val="auto"/>
          <w:lang w:val="es-ES"/>
        </w:rPr>
        <w:t>, 2009).</w:t>
      </w:r>
    </w:p>
    <w:p w14:paraId="37722BA9" w14:textId="1245A6FD" w:rsidR="00667620" w:rsidRPr="003E284C" w:rsidRDefault="006C597A" w:rsidP="0018154D">
      <w:pPr>
        <w:pStyle w:val="Normal1"/>
        <w:rPr>
          <w:color w:val="auto"/>
          <w:lang w:val="es-ES"/>
        </w:rPr>
      </w:pPr>
      <w:r w:rsidRPr="003E284C">
        <w:rPr>
          <w:color w:val="auto"/>
          <w:lang w:val="es-ES"/>
        </w:rPr>
        <w:t>Por tanto, l</w:t>
      </w:r>
      <w:r w:rsidR="00667620" w:rsidRPr="003E284C">
        <w:rPr>
          <w:color w:val="auto"/>
          <w:lang w:val="es-ES"/>
        </w:rPr>
        <w:t xml:space="preserve">a presente investigación busca </w:t>
      </w:r>
      <w:r w:rsidR="00592190" w:rsidRPr="003E284C">
        <w:rPr>
          <w:color w:val="auto"/>
          <w:lang w:val="es-ES"/>
        </w:rPr>
        <w:t>identificar</w:t>
      </w:r>
      <w:r w:rsidR="00667620" w:rsidRPr="003E284C">
        <w:rPr>
          <w:color w:val="auto"/>
          <w:lang w:val="es-ES"/>
        </w:rPr>
        <w:t xml:space="preserve"> factores de riesgo que influyen en la presencia de la ERO, especialmente en pacientes con diagnóstico de diabetes</w:t>
      </w:r>
      <w:r w:rsidRPr="003E284C">
        <w:rPr>
          <w:color w:val="auto"/>
          <w:lang w:val="es-ES"/>
        </w:rPr>
        <w:t xml:space="preserve">. Con esto se procura </w:t>
      </w:r>
      <w:r w:rsidR="001773ED" w:rsidRPr="003E284C">
        <w:rPr>
          <w:color w:val="auto"/>
          <w:lang w:val="es-ES"/>
        </w:rPr>
        <w:t>generar información que facilite a</w:t>
      </w:r>
      <w:r w:rsidR="00667620" w:rsidRPr="003E284C">
        <w:rPr>
          <w:color w:val="auto"/>
          <w:lang w:val="es-ES"/>
        </w:rPr>
        <w:t xml:space="preserve"> los médicos de primer </w:t>
      </w:r>
      <w:r w:rsidR="00AF65B3" w:rsidRPr="003E284C">
        <w:rPr>
          <w:color w:val="auto"/>
          <w:lang w:val="es-ES"/>
        </w:rPr>
        <w:t>contacto identificar</w:t>
      </w:r>
      <w:r w:rsidR="00667620" w:rsidRPr="003E284C">
        <w:rPr>
          <w:color w:val="auto"/>
          <w:lang w:val="es-ES"/>
        </w:rPr>
        <w:t xml:space="preserve"> a los pacientes en etapas tempranas de la enfermedad renal</w:t>
      </w:r>
      <w:r w:rsidRPr="003E284C">
        <w:rPr>
          <w:color w:val="auto"/>
          <w:lang w:val="es-ES"/>
        </w:rPr>
        <w:t xml:space="preserve">, así como </w:t>
      </w:r>
      <w:r w:rsidR="00C330D7" w:rsidRPr="003E284C">
        <w:rPr>
          <w:color w:val="auto"/>
          <w:lang w:val="es-ES"/>
        </w:rPr>
        <w:t>la relación de</w:t>
      </w:r>
      <w:r w:rsidR="001773ED" w:rsidRPr="003E284C">
        <w:rPr>
          <w:color w:val="auto"/>
          <w:lang w:val="es-ES"/>
        </w:rPr>
        <w:t xml:space="preserve"> los </w:t>
      </w:r>
      <w:r w:rsidR="00667620" w:rsidRPr="003E284C">
        <w:rPr>
          <w:color w:val="auto"/>
          <w:lang w:val="es-ES"/>
        </w:rPr>
        <w:t>factores asociados</w:t>
      </w:r>
      <w:r w:rsidR="00442BAB" w:rsidRPr="003E284C">
        <w:rPr>
          <w:color w:val="auto"/>
          <w:lang w:val="es-ES"/>
        </w:rPr>
        <w:t>.</w:t>
      </w:r>
    </w:p>
    <w:p w14:paraId="106C71A2" w14:textId="77777777" w:rsidR="0018154D" w:rsidRPr="003E284C" w:rsidRDefault="0018154D" w:rsidP="0018154D">
      <w:pPr>
        <w:pStyle w:val="Normal1"/>
        <w:rPr>
          <w:color w:val="auto"/>
          <w:lang w:val="es-ES"/>
        </w:rPr>
      </w:pPr>
    </w:p>
    <w:p w14:paraId="43EE5714" w14:textId="77777777" w:rsidR="00667620" w:rsidRPr="003E284C" w:rsidRDefault="00667620" w:rsidP="0018154D">
      <w:pPr>
        <w:pStyle w:val="Ttulo1"/>
        <w:spacing w:before="0" w:after="0" w:line="360" w:lineRule="auto"/>
        <w:jc w:val="center"/>
        <w:rPr>
          <w:rFonts w:ascii="Times New Roman" w:hAnsi="Times New Roman" w:cs="Times New Roman"/>
          <w:sz w:val="32"/>
          <w:szCs w:val="32"/>
        </w:rPr>
      </w:pPr>
      <w:r w:rsidRPr="003E284C">
        <w:rPr>
          <w:rFonts w:ascii="Times New Roman" w:hAnsi="Times New Roman" w:cs="Times New Roman"/>
          <w:sz w:val="32"/>
          <w:szCs w:val="32"/>
        </w:rPr>
        <w:t>Materiales y métodos</w:t>
      </w:r>
    </w:p>
    <w:p w14:paraId="61722384" w14:textId="504C6BA1" w:rsidR="00CD7C69" w:rsidRPr="003E284C" w:rsidRDefault="00667620" w:rsidP="00300DCE">
      <w:pPr>
        <w:pStyle w:val="Normal1"/>
        <w:rPr>
          <w:color w:val="auto"/>
          <w:lang w:val="es-ES"/>
        </w:rPr>
      </w:pPr>
      <w:r w:rsidRPr="003E284C">
        <w:rPr>
          <w:color w:val="auto"/>
          <w:lang w:val="es-ES"/>
        </w:rPr>
        <w:t xml:space="preserve">Se realizó un estudio </w:t>
      </w:r>
      <w:r w:rsidR="00BD5A7C" w:rsidRPr="003E284C">
        <w:rPr>
          <w:color w:val="auto"/>
          <w:lang w:val="es-ES"/>
        </w:rPr>
        <w:t>transversal</w:t>
      </w:r>
      <w:r w:rsidR="00AC28CC" w:rsidRPr="003E284C">
        <w:rPr>
          <w:color w:val="auto"/>
          <w:lang w:val="es-ES"/>
        </w:rPr>
        <w:t xml:space="preserve">, </w:t>
      </w:r>
      <w:r w:rsidRPr="003E284C">
        <w:rPr>
          <w:color w:val="auto"/>
          <w:lang w:val="es-ES"/>
        </w:rPr>
        <w:t>analítico</w:t>
      </w:r>
      <w:r w:rsidR="00AC28CC" w:rsidRPr="003E284C">
        <w:rPr>
          <w:color w:val="auto"/>
          <w:lang w:val="es-ES"/>
        </w:rPr>
        <w:t xml:space="preserve"> y</w:t>
      </w:r>
      <w:r w:rsidRPr="003E284C">
        <w:rPr>
          <w:color w:val="auto"/>
          <w:lang w:val="es-ES"/>
        </w:rPr>
        <w:t xml:space="preserve"> descriptivo para determinar los factores de riesgo </w:t>
      </w:r>
      <w:r w:rsidR="007071F7" w:rsidRPr="003E284C">
        <w:rPr>
          <w:color w:val="auto"/>
          <w:lang w:val="es-ES"/>
        </w:rPr>
        <w:t>asociados</w:t>
      </w:r>
      <w:r w:rsidRPr="003E284C">
        <w:rPr>
          <w:color w:val="auto"/>
          <w:lang w:val="es-ES"/>
        </w:rPr>
        <w:t xml:space="preserve"> </w:t>
      </w:r>
      <w:r w:rsidR="007071F7" w:rsidRPr="003E284C">
        <w:rPr>
          <w:color w:val="auto"/>
          <w:lang w:val="es-ES"/>
        </w:rPr>
        <w:t>a</w:t>
      </w:r>
      <w:r w:rsidRPr="003E284C">
        <w:rPr>
          <w:color w:val="auto"/>
          <w:lang w:val="es-ES"/>
        </w:rPr>
        <w:t xml:space="preserve"> la ERO en pacientes diabéticos pertenecientes al Centro de </w:t>
      </w:r>
      <w:r w:rsidR="00BD5A7C" w:rsidRPr="003E284C">
        <w:rPr>
          <w:color w:val="auto"/>
          <w:lang w:val="es-ES"/>
        </w:rPr>
        <w:t>S</w:t>
      </w:r>
      <w:r w:rsidRPr="003E284C">
        <w:rPr>
          <w:color w:val="auto"/>
          <w:lang w:val="es-ES"/>
        </w:rPr>
        <w:t>alud Guillermo Soberón Acevedo de Chilpancingo de los Bravo</w:t>
      </w:r>
      <w:r w:rsidR="00E00DD8" w:rsidRPr="003E284C">
        <w:rPr>
          <w:color w:val="auto"/>
          <w:lang w:val="es-ES"/>
        </w:rPr>
        <w:t>,</w:t>
      </w:r>
      <w:r w:rsidRPr="003E284C">
        <w:rPr>
          <w:color w:val="auto"/>
          <w:lang w:val="es-ES"/>
        </w:rPr>
        <w:t xml:space="preserve"> Guerrero, así como </w:t>
      </w:r>
      <w:r w:rsidR="00EE7462" w:rsidRPr="003E284C">
        <w:rPr>
          <w:color w:val="auto"/>
          <w:lang w:val="es-ES"/>
        </w:rPr>
        <w:t xml:space="preserve">de </w:t>
      </w:r>
      <w:r w:rsidRPr="003E284C">
        <w:rPr>
          <w:color w:val="auto"/>
          <w:lang w:val="es-ES"/>
        </w:rPr>
        <w:t xml:space="preserve">pacientes del </w:t>
      </w:r>
      <w:r w:rsidR="006C597A" w:rsidRPr="003E284C">
        <w:rPr>
          <w:color w:val="auto"/>
          <w:lang w:val="es-ES"/>
        </w:rPr>
        <w:t>m</w:t>
      </w:r>
      <w:r w:rsidRPr="003E284C">
        <w:rPr>
          <w:color w:val="auto"/>
          <w:lang w:val="es-ES"/>
        </w:rPr>
        <w:t>unicipio</w:t>
      </w:r>
      <w:r w:rsidR="00EE7462" w:rsidRPr="003E284C">
        <w:rPr>
          <w:color w:val="auto"/>
          <w:lang w:val="es-ES"/>
        </w:rPr>
        <w:t xml:space="preserve"> de</w:t>
      </w:r>
      <w:r w:rsidRPr="003E284C">
        <w:rPr>
          <w:color w:val="auto"/>
          <w:lang w:val="es-ES"/>
        </w:rPr>
        <w:t xml:space="preserve"> Olinalá perteneciente a la </w:t>
      </w:r>
      <w:r w:rsidR="00BD5A7C" w:rsidRPr="003E284C">
        <w:rPr>
          <w:color w:val="auto"/>
          <w:lang w:val="es-ES"/>
        </w:rPr>
        <w:t>R</w:t>
      </w:r>
      <w:r w:rsidRPr="003E284C">
        <w:rPr>
          <w:color w:val="auto"/>
          <w:lang w:val="es-ES"/>
        </w:rPr>
        <w:t xml:space="preserve">egión </w:t>
      </w:r>
      <w:r w:rsidR="00BD5A7C" w:rsidRPr="003E284C">
        <w:rPr>
          <w:color w:val="auto"/>
          <w:lang w:val="es-ES"/>
        </w:rPr>
        <w:t>M</w:t>
      </w:r>
      <w:r w:rsidRPr="003E284C">
        <w:rPr>
          <w:color w:val="auto"/>
          <w:lang w:val="es-ES"/>
        </w:rPr>
        <w:t xml:space="preserve">ontaña del </w:t>
      </w:r>
      <w:r w:rsidR="00BD5A7C" w:rsidRPr="003E284C">
        <w:rPr>
          <w:color w:val="auto"/>
          <w:lang w:val="es-ES"/>
        </w:rPr>
        <w:t>E</w:t>
      </w:r>
      <w:r w:rsidRPr="003E284C">
        <w:rPr>
          <w:color w:val="auto"/>
          <w:lang w:val="es-ES"/>
        </w:rPr>
        <w:t xml:space="preserve">stado de Guerrero. Se incluyeron a pacientes con diagnóstico clínico de </w:t>
      </w:r>
      <w:r w:rsidR="00BD5A7C" w:rsidRPr="003E284C">
        <w:rPr>
          <w:color w:val="auto"/>
          <w:lang w:val="es-ES"/>
        </w:rPr>
        <w:t>d</w:t>
      </w:r>
      <w:r w:rsidRPr="003E284C">
        <w:rPr>
          <w:color w:val="auto"/>
          <w:lang w:val="es-ES"/>
        </w:rPr>
        <w:t xml:space="preserve">iabetes </w:t>
      </w:r>
      <w:r w:rsidR="00BD5A7C" w:rsidRPr="003E284C">
        <w:rPr>
          <w:color w:val="auto"/>
          <w:lang w:val="es-ES"/>
        </w:rPr>
        <w:t>m</w:t>
      </w:r>
      <w:r w:rsidRPr="003E284C">
        <w:rPr>
          <w:color w:val="auto"/>
          <w:lang w:val="es-ES"/>
        </w:rPr>
        <w:t xml:space="preserve">ellitus, </w:t>
      </w:r>
      <w:r w:rsidR="00BD5A7C" w:rsidRPr="003E284C">
        <w:rPr>
          <w:color w:val="auto"/>
          <w:lang w:val="es-ES"/>
        </w:rPr>
        <w:t xml:space="preserve">tipo II </w:t>
      </w:r>
      <w:r w:rsidRPr="003E284C">
        <w:rPr>
          <w:color w:val="auto"/>
          <w:lang w:val="es-ES"/>
        </w:rPr>
        <w:t>de ambos sexos</w:t>
      </w:r>
      <w:r w:rsidR="00092B24" w:rsidRPr="003E284C">
        <w:rPr>
          <w:color w:val="auto"/>
          <w:lang w:val="es-ES"/>
        </w:rPr>
        <w:t xml:space="preserve">, y </w:t>
      </w:r>
      <w:r w:rsidRPr="003E284C">
        <w:rPr>
          <w:color w:val="auto"/>
          <w:lang w:val="es-ES"/>
        </w:rPr>
        <w:t>sin diagnóstico de enfermedad renal diagnosticada.</w:t>
      </w:r>
      <w:r w:rsidR="00CD7C69" w:rsidRPr="003E284C">
        <w:rPr>
          <w:color w:val="auto"/>
          <w:lang w:val="es-ES"/>
        </w:rPr>
        <w:t xml:space="preserve"> </w:t>
      </w:r>
    </w:p>
    <w:p w14:paraId="017F894D" w14:textId="0A5586E9" w:rsidR="00667620" w:rsidRPr="003E284C" w:rsidRDefault="00BD518A" w:rsidP="00300DCE">
      <w:pPr>
        <w:pStyle w:val="Normal1"/>
        <w:rPr>
          <w:color w:val="auto"/>
          <w:lang w:val="es-ES"/>
        </w:rPr>
      </w:pPr>
      <w:r w:rsidRPr="003E284C">
        <w:rPr>
          <w:color w:val="auto"/>
          <w:lang w:val="es-ES"/>
        </w:rPr>
        <w:t>Para el muestreo s</w:t>
      </w:r>
      <w:r w:rsidR="00667620" w:rsidRPr="003E284C">
        <w:rPr>
          <w:color w:val="auto"/>
          <w:lang w:val="es-ES"/>
        </w:rPr>
        <w:t>e solicit</w:t>
      </w:r>
      <w:r w:rsidR="00BD5A7C" w:rsidRPr="003E284C">
        <w:rPr>
          <w:color w:val="auto"/>
          <w:lang w:val="es-ES"/>
        </w:rPr>
        <w:t>ó</w:t>
      </w:r>
      <w:r w:rsidR="00667620" w:rsidRPr="003E284C">
        <w:rPr>
          <w:color w:val="auto"/>
          <w:lang w:val="es-ES"/>
        </w:rPr>
        <w:t xml:space="preserve"> la autorización de los responsables de los </w:t>
      </w:r>
      <w:r w:rsidR="00BD5A7C" w:rsidRPr="003E284C">
        <w:rPr>
          <w:color w:val="auto"/>
          <w:lang w:val="es-ES"/>
        </w:rPr>
        <w:t>c</w:t>
      </w:r>
      <w:r w:rsidR="00667620" w:rsidRPr="003E284C">
        <w:rPr>
          <w:color w:val="auto"/>
          <w:lang w:val="es-ES"/>
        </w:rPr>
        <w:t>entros</w:t>
      </w:r>
      <w:r w:rsidR="00EE4F20" w:rsidRPr="003E284C">
        <w:rPr>
          <w:color w:val="auto"/>
          <w:lang w:val="es-ES"/>
        </w:rPr>
        <w:t xml:space="preserve"> de muestra</w:t>
      </w:r>
      <w:r w:rsidR="006C597A" w:rsidRPr="003E284C">
        <w:rPr>
          <w:color w:val="auto"/>
          <w:lang w:val="es-ES"/>
        </w:rPr>
        <w:t>;</w:t>
      </w:r>
      <w:r w:rsidR="00667620" w:rsidRPr="003E284C">
        <w:rPr>
          <w:color w:val="auto"/>
          <w:lang w:val="es-ES"/>
        </w:rPr>
        <w:t xml:space="preserve"> posteriormente</w:t>
      </w:r>
      <w:r w:rsidR="006C597A" w:rsidRPr="003E284C">
        <w:rPr>
          <w:color w:val="auto"/>
          <w:lang w:val="es-ES"/>
        </w:rPr>
        <w:t>,</w:t>
      </w:r>
      <w:r w:rsidR="00667620" w:rsidRPr="003E284C">
        <w:rPr>
          <w:color w:val="auto"/>
          <w:lang w:val="es-ES"/>
        </w:rPr>
        <w:t xml:space="preserve"> se invitó a participar a los pacientes, los </w:t>
      </w:r>
      <w:r w:rsidR="006C597A" w:rsidRPr="003E284C">
        <w:rPr>
          <w:color w:val="auto"/>
          <w:lang w:val="es-ES"/>
        </w:rPr>
        <w:t>cuales</w:t>
      </w:r>
      <w:r w:rsidR="00667620" w:rsidRPr="003E284C">
        <w:rPr>
          <w:color w:val="auto"/>
          <w:lang w:val="es-ES"/>
        </w:rPr>
        <w:t xml:space="preserve"> aceptaron </w:t>
      </w:r>
      <w:r w:rsidR="006C597A" w:rsidRPr="003E284C">
        <w:rPr>
          <w:color w:val="auto"/>
          <w:lang w:val="es-ES"/>
        </w:rPr>
        <w:t xml:space="preserve">y </w:t>
      </w:r>
      <w:r w:rsidR="00667620" w:rsidRPr="003E284C">
        <w:rPr>
          <w:color w:val="auto"/>
          <w:lang w:val="es-ES"/>
        </w:rPr>
        <w:t>lo ratificaron a través de la carta de consentimiento informado.</w:t>
      </w:r>
      <w:r w:rsidR="00757892" w:rsidRPr="003E284C">
        <w:rPr>
          <w:color w:val="auto"/>
          <w:lang w:val="es-ES"/>
        </w:rPr>
        <w:t xml:space="preserve"> </w:t>
      </w:r>
    </w:p>
    <w:p w14:paraId="5ED64054" w14:textId="77777777" w:rsidR="006C597A" w:rsidRPr="003E284C" w:rsidRDefault="00667620" w:rsidP="006C597A">
      <w:pPr>
        <w:pStyle w:val="Normal1"/>
        <w:rPr>
          <w:color w:val="auto"/>
          <w:lang w:val="es-ES"/>
        </w:rPr>
      </w:pPr>
      <w:r w:rsidRPr="003E284C">
        <w:rPr>
          <w:color w:val="auto"/>
          <w:lang w:val="es-ES"/>
        </w:rPr>
        <w:t>Se realiz</w:t>
      </w:r>
      <w:r w:rsidR="00BD5A7C" w:rsidRPr="003E284C">
        <w:rPr>
          <w:color w:val="auto"/>
          <w:lang w:val="es-ES"/>
        </w:rPr>
        <w:t>ó</w:t>
      </w:r>
      <w:r w:rsidR="001773ED" w:rsidRPr="003E284C">
        <w:rPr>
          <w:color w:val="auto"/>
          <w:lang w:val="es-ES"/>
        </w:rPr>
        <w:t xml:space="preserve"> la medición de presión </w:t>
      </w:r>
      <w:r w:rsidR="00BD5A7C" w:rsidRPr="003E284C">
        <w:rPr>
          <w:color w:val="auto"/>
          <w:lang w:val="es-ES"/>
        </w:rPr>
        <w:t>arterial</w:t>
      </w:r>
      <w:r w:rsidR="00757892" w:rsidRPr="003E284C">
        <w:rPr>
          <w:color w:val="auto"/>
          <w:lang w:val="es-ES"/>
        </w:rPr>
        <w:t xml:space="preserve"> utilizando un</w:t>
      </w:r>
      <w:r w:rsidR="009A6AA1" w:rsidRPr="003E284C">
        <w:rPr>
          <w:color w:val="auto"/>
          <w:lang w:val="es-ES"/>
        </w:rPr>
        <w:t xml:space="preserve"> </w:t>
      </w:r>
      <w:proofErr w:type="spellStart"/>
      <w:r w:rsidR="00757892" w:rsidRPr="003E284C">
        <w:rPr>
          <w:color w:val="auto"/>
          <w:lang w:val="es-ES"/>
        </w:rPr>
        <w:t>bauman</w:t>
      </w:r>
      <w:r w:rsidR="00166FF7" w:rsidRPr="003E284C">
        <w:rPr>
          <w:color w:val="auto"/>
          <w:lang w:val="es-ES"/>
        </w:rPr>
        <w:t>ó</w:t>
      </w:r>
      <w:r w:rsidR="00757892" w:rsidRPr="003E284C">
        <w:rPr>
          <w:color w:val="auto"/>
          <w:lang w:val="es-ES"/>
        </w:rPr>
        <w:t>metro</w:t>
      </w:r>
      <w:proofErr w:type="spellEnd"/>
      <w:r w:rsidR="00757892" w:rsidRPr="003E284C">
        <w:rPr>
          <w:color w:val="auto"/>
          <w:lang w:val="es-ES"/>
        </w:rPr>
        <w:t xml:space="preserve"> previamente calibrado y verificado</w:t>
      </w:r>
      <w:r w:rsidR="00480C8A" w:rsidRPr="003E284C">
        <w:rPr>
          <w:color w:val="auto"/>
          <w:lang w:val="es-ES"/>
        </w:rPr>
        <w:t>.</w:t>
      </w:r>
      <w:r w:rsidR="00757892" w:rsidRPr="003E284C">
        <w:rPr>
          <w:color w:val="auto"/>
          <w:lang w:val="es-ES"/>
        </w:rPr>
        <w:t xml:space="preserve"> </w:t>
      </w:r>
      <w:r w:rsidR="00480C8A" w:rsidRPr="003E284C">
        <w:rPr>
          <w:color w:val="auto"/>
          <w:lang w:val="es-ES"/>
        </w:rPr>
        <w:t>L</w:t>
      </w:r>
      <w:r w:rsidRPr="003E284C">
        <w:rPr>
          <w:color w:val="auto"/>
          <w:lang w:val="es-ES"/>
        </w:rPr>
        <w:t>as muestras obtenidas se procesaron en el equipo Cobas Integra 400 de Roche</w:t>
      </w:r>
      <w:r w:rsidR="00480C8A" w:rsidRPr="003E284C">
        <w:rPr>
          <w:color w:val="auto"/>
          <w:lang w:val="es-ES"/>
        </w:rPr>
        <w:t xml:space="preserve">, previamente calibrado y </w:t>
      </w:r>
      <w:r w:rsidR="009A6AA1" w:rsidRPr="003E284C">
        <w:rPr>
          <w:color w:val="auto"/>
          <w:lang w:val="es-ES"/>
        </w:rPr>
        <w:t>verificado</w:t>
      </w:r>
      <w:r w:rsidR="00480C8A" w:rsidRPr="003E284C">
        <w:rPr>
          <w:color w:val="auto"/>
          <w:lang w:val="es-ES"/>
        </w:rPr>
        <w:t xml:space="preserve"> a través del control de calidad, para determinar las siguientes variables</w:t>
      </w:r>
      <w:r w:rsidR="006C597A" w:rsidRPr="003E284C">
        <w:rPr>
          <w:color w:val="auto"/>
          <w:lang w:val="es-ES"/>
        </w:rPr>
        <w:t>:</w:t>
      </w:r>
      <w:r w:rsidR="00480C8A" w:rsidRPr="003E284C">
        <w:rPr>
          <w:color w:val="auto"/>
          <w:lang w:val="es-ES"/>
        </w:rPr>
        <w:t xml:space="preserve"> glucosa, creatinina, urea, ácido úrico, colesterol y triglicéridos. Para la medición de las variables antropométricas </w:t>
      </w:r>
      <w:r w:rsidR="006C597A" w:rsidRPr="003E284C">
        <w:rPr>
          <w:color w:val="auto"/>
          <w:lang w:val="es-ES"/>
        </w:rPr>
        <w:t>—</w:t>
      </w:r>
      <w:r w:rsidR="00480C8A" w:rsidRPr="003E284C">
        <w:rPr>
          <w:color w:val="auto"/>
          <w:lang w:val="es-ES"/>
        </w:rPr>
        <w:t>como índice de masa corporal (IMC), edad y talla</w:t>
      </w:r>
      <w:r w:rsidR="006C597A" w:rsidRPr="003E284C">
        <w:rPr>
          <w:color w:val="auto"/>
          <w:lang w:val="es-ES"/>
        </w:rPr>
        <w:t>—</w:t>
      </w:r>
      <w:r w:rsidR="00480C8A" w:rsidRPr="003E284C">
        <w:rPr>
          <w:color w:val="auto"/>
          <w:lang w:val="es-ES"/>
        </w:rPr>
        <w:t xml:space="preserve"> se utilizó una </w:t>
      </w:r>
      <w:r w:rsidR="00166FF7" w:rsidRPr="003E284C">
        <w:rPr>
          <w:color w:val="auto"/>
          <w:lang w:val="es-ES"/>
        </w:rPr>
        <w:t>báscula</w:t>
      </w:r>
      <w:r w:rsidR="00480C8A" w:rsidRPr="003E284C">
        <w:rPr>
          <w:color w:val="auto"/>
          <w:lang w:val="es-ES"/>
        </w:rPr>
        <w:t xml:space="preserve"> con tallímetro previamente calibrados y verificados. Para la determinación del FG se utilizó la fórmula </w:t>
      </w:r>
      <w:proofErr w:type="spellStart"/>
      <w:r w:rsidR="00480C8A" w:rsidRPr="003E284C">
        <w:rPr>
          <w:color w:val="auto"/>
          <w:lang w:val="es-ES"/>
        </w:rPr>
        <w:t>Chronic</w:t>
      </w:r>
      <w:proofErr w:type="spellEnd"/>
      <w:r w:rsidR="00480C8A" w:rsidRPr="003E284C">
        <w:rPr>
          <w:color w:val="auto"/>
          <w:lang w:val="es-ES"/>
        </w:rPr>
        <w:t xml:space="preserve"> </w:t>
      </w:r>
      <w:proofErr w:type="spellStart"/>
      <w:r w:rsidR="00480C8A" w:rsidRPr="003E284C">
        <w:rPr>
          <w:color w:val="auto"/>
          <w:lang w:val="es-ES"/>
        </w:rPr>
        <w:t>Kidney</w:t>
      </w:r>
      <w:proofErr w:type="spellEnd"/>
      <w:r w:rsidR="00480C8A" w:rsidRPr="003E284C">
        <w:rPr>
          <w:color w:val="auto"/>
          <w:lang w:val="es-ES"/>
        </w:rPr>
        <w:t xml:space="preserve"> </w:t>
      </w:r>
      <w:proofErr w:type="spellStart"/>
      <w:r w:rsidR="00480C8A" w:rsidRPr="003E284C">
        <w:rPr>
          <w:color w:val="auto"/>
          <w:lang w:val="es-ES"/>
        </w:rPr>
        <w:t>Disease</w:t>
      </w:r>
      <w:proofErr w:type="spellEnd"/>
      <w:r w:rsidR="00995A46" w:rsidRPr="003E284C">
        <w:rPr>
          <w:color w:val="auto"/>
          <w:lang w:val="es-ES"/>
        </w:rPr>
        <w:t xml:space="preserve"> </w:t>
      </w:r>
      <w:proofErr w:type="spellStart"/>
      <w:r w:rsidR="00480C8A" w:rsidRPr="003E284C">
        <w:rPr>
          <w:color w:val="auto"/>
          <w:lang w:val="es-ES"/>
        </w:rPr>
        <w:t>Epidemiology</w:t>
      </w:r>
      <w:proofErr w:type="spellEnd"/>
      <w:r w:rsidR="00480C8A" w:rsidRPr="003E284C">
        <w:rPr>
          <w:color w:val="auto"/>
          <w:lang w:val="es-ES"/>
        </w:rPr>
        <w:t xml:space="preserve"> </w:t>
      </w:r>
      <w:proofErr w:type="spellStart"/>
      <w:r w:rsidR="00480C8A" w:rsidRPr="003E284C">
        <w:rPr>
          <w:color w:val="auto"/>
          <w:lang w:val="es-ES"/>
        </w:rPr>
        <w:t>Collaboration</w:t>
      </w:r>
      <w:proofErr w:type="spellEnd"/>
      <w:r w:rsidR="00480C8A" w:rsidRPr="003E284C">
        <w:rPr>
          <w:color w:val="auto"/>
          <w:lang w:val="es-ES"/>
        </w:rPr>
        <w:t xml:space="preserve"> (CKD-EPI).</w:t>
      </w:r>
    </w:p>
    <w:p w14:paraId="14C2FEA1" w14:textId="37612613" w:rsidR="00667620" w:rsidRPr="003E284C" w:rsidRDefault="00757892" w:rsidP="006C597A">
      <w:pPr>
        <w:pStyle w:val="Normal1"/>
        <w:rPr>
          <w:color w:val="auto"/>
          <w:lang w:val="es-ES"/>
        </w:rPr>
      </w:pPr>
      <w:r w:rsidRPr="003E284C">
        <w:rPr>
          <w:color w:val="auto"/>
          <w:lang w:val="es-ES"/>
        </w:rPr>
        <w:t xml:space="preserve">La presente investigación implica un riesgo mínimo para el paciente </w:t>
      </w:r>
      <w:r w:rsidR="00166FF7" w:rsidRPr="003E284C">
        <w:rPr>
          <w:color w:val="auto"/>
          <w:lang w:val="es-ES"/>
        </w:rPr>
        <w:t>de acuerdo con</w:t>
      </w:r>
      <w:r w:rsidRPr="003E284C">
        <w:rPr>
          <w:color w:val="auto"/>
          <w:lang w:val="es-ES"/>
        </w:rPr>
        <w:t xml:space="preserve"> la Ley general de Salud</w:t>
      </w:r>
      <w:r w:rsidR="006C597A" w:rsidRPr="003E284C">
        <w:rPr>
          <w:color w:val="auto"/>
          <w:lang w:val="es-ES"/>
        </w:rPr>
        <w:t>;</w:t>
      </w:r>
      <w:r w:rsidR="007158E6" w:rsidRPr="003E284C">
        <w:rPr>
          <w:color w:val="auto"/>
          <w:lang w:val="es-ES"/>
        </w:rPr>
        <w:t xml:space="preserve"> sin embargo</w:t>
      </w:r>
      <w:r w:rsidR="006C597A" w:rsidRPr="003E284C">
        <w:rPr>
          <w:color w:val="auto"/>
          <w:lang w:val="es-ES"/>
        </w:rPr>
        <w:t>,</w:t>
      </w:r>
      <w:r w:rsidR="007158E6" w:rsidRPr="003E284C">
        <w:rPr>
          <w:color w:val="auto"/>
          <w:lang w:val="es-ES"/>
        </w:rPr>
        <w:t xml:space="preserve"> se tomaron en cuenta medidas de seguridad sanitarias durante el muestreo</w:t>
      </w:r>
      <w:r w:rsidR="006C597A" w:rsidRPr="003E284C">
        <w:rPr>
          <w:color w:val="auto"/>
          <w:lang w:val="es-ES"/>
        </w:rPr>
        <w:t>,</w:t>
      </w:r>
      <w:r w:rsidR="007158E6" w:rsidRPr="003E284C">
        <w:rPr>
          <w:color w:val="auto"/>
          <w:lang w:val="es-ES"/>
        </w:rPr>
        <w:t xml:space="preserve"> </w:t>
      </w:r>
      <w:r w:rsidR="00166FF7" w:rsidRPr="003E284C">
        <w:rPr>
          <w:color w:val="auto"/>
          <w:lang w:val="es-ES"/>
        </w:rPr>
        <w:t>de acuerdo con el</w:t>
      </w:r>
      <w:r w:rsidR="00B46E8A" w:rsidRPr="003E284C">
        <w:rPr>
          <w:color w:val="auto"/>
          <w:lang w:val="es-ES"/>
        </w:rPr>
        <w:t xml:space="preserve"> </w:t>
      </w:r>
      <w:r w:rsidR="00166FF7" w:rsidRPr="003E284C">
        <w:rPr>
          <w:color w:val="auto"/>
          <w:lang w:val="es-ES"/>
        </w:rPr>
        <w:t>capítulo</w:t>
      </w:r>
      <w:r w:rsidR="00B46E8A" w:rsidRPr="003E284C">
        <w:rPr>
          <w:color w:val="auto"/>
          <w:lang w:val="es-ES"/>
        </w:rPr>
        <w:t xml:space="preserve"> 1 del </w:t>
      </w:r>
      <w:r w:rsidR="00166FF7" w:rsidRPr="003E284C">
        <w:rPr>
          <w:color w:val="auto"/>
          <w:lang w:val="es-ES"/>
        </w:rPr>
        <w:t>título</w:t>
      </w:r>
      <w:r w:rsidR="00B46E8A" w:rsidRPr="003E284C">
        <w:rPr>
          <w:color w:val="auto"/>
          <w:lang w:val="es-ES"/>
        </w:rPr>
        <w:t xml:space="preserve"> segundo Aspectos </w:t>
      </w:r>
      <w:r w:rsidR="00166FF7" w:rsidRPr="003E284C">
        <w:rPr>
          <w:color w:val="auto"/>
          <w:lang w:val="es-ES"/>
        </w:rPr>
        <w:t>Éticos</w:t>
      </w:r>
      <w:r w:rsidR="00B46E8A" w:rsidRPr="003E284C">
        <w:rPr>
          <w:color w:val="auto"/>
          <w:lang w:val="es-ES"/>
        </w:rPr>
        <w:t xml:space="preserve"> de la </w:t>
      </w:r>
      <w:r w:rsidR="00B46E8A" w:rsidRPr="003E284C">
        <w:rPr>
          <w:color w:val="auto"/>
          <w:lang w:val="es-ES"/>
        </w:rPr>
        <w:lastRenderedPageBreak/>
        <w:t>Investigación en Seres Humanos del</w:t>
      </w:r>
      <w:r w:rsidR="007158E6" w:rsidRPr="003E284C">
        <w:rPr>
          <w:color w:val="auto"/>
          <w:lang w:val="es-ES"/>
        </w:rPr>
        <w:t xml:space="preserve"> reglamento de la ley general de salud</w:t>
      </w:r>
      <w:r w:rsidR="00B46E8A" w:rsidRPr="003E284C">
        <w:rPr>
          <w:color w:val="auto"/>
          <w:lang w:val="es-ES"/>
        </w:rPr>
        <w:t xml:space="preserve"> en materia de </w:t>
      </w:r>
      <w:r w:rsidR="00166FF7" w:rsidRPr="003E284C">
        <w:rPr>
          <w:color w:val="auto"/>
          <w:lang w:val="es-ES"/>
        </w:rPr>
        <w:t>investigación</w:t>
      </w:r>
      <w:r w:rsidR="00B46E8A" w:rsidRPr="003E284C">
        <w:rPr>
          <w:color w:val="auto"/>
          <w:lang w:val="es-ES"/>
        </w:rPr>
        <w:t xml:space="preserve"> para la salud</w:t>
      </w:r>
      <w:r w:rsidR="00766DB5" w:rsidRPr="003E284C">
        <w:rPr>
          <w:color w:val="auto"/>
          <w:lang w:val="es-ES"/>
        </w:rPr>
        <w:t xml:space="preserve"> (Reglamento de la Ley general de Salud en materia de investigación, 2014).</w:t>
      </w:r>
    </w:p>
    <w:p w14:paraId="1E5F6922" w14:textId="75315B55" w:rsidR="00DA4751" w:rsidRPr="003E284C" w:rsidRDefault="00667620" w:rsidP="00300DCE">
      <w:pPr>
        <w:pStyle w:val="Normal1"/>
        <w:rPr>
          <w:color w:val="auto"/>
          <w:lang w:val="es-ES"/>
        </w:rPr>
      </w:pPr>
      <w:r w:rsidRPr="003E284C">
        <w:rPr>
          <w:color w:val="auto"/>
          <w:lang w:val="es-ES"/>
        </w:rPr>
        <w:t>Los resultados se concentraron en una hoja de cálculo de Excel y el análisis estadístico se realizó con el programa STATA</w:t>
      </w:r>
      <w:r w:rsidR="00456A9D" w:rsidRPr="003E284C">
        <w:rPr>
          <w:color w:val="auto"/>
          <w:lang w:val="es-ES"/>
        </w:rPr>
        <w:t>,</w:t>
      </w:r>
      <w:r w:rsidR="00D62E6D" w:rsidRPr="003E284C">
        <w:rPr>
          <w:color w:val="auto"/>
          <w:lang w:val="es-ES"/>
        </w:rPr>
        <w:t xml:space="preserve"> </w:t>
      </w:r>
      <w:r w:rsidR="00E34105" w:rsidRPr="003E284C">
        <w:rPr>
          <w:color w:val="auto"/>
          <w:lang w:val="es-ES"/>
        </w:rPr>
        <w:t>ver</w:t>
      </w:r>
      <w:r w:rsidR="002A13D1" w:rsidRPr="003E284C">
        <w:rPr>
          <w:color w:val="auto"/>
          <w:lang w:val="es-ES"/>
        </w:rPr>
        <w:t xml:space="preserve">sión </w:t>
      </w:r>
      <w:r w:rsidR="00D62E6D" w:rsidRPr="003E284C">
        <w:rPr>
          <w:color w:val="auto"/>
          <w:lang w:val="es-ES"/>
        </w:rPr>
        <w:t>16</w:t>
      </w:r>
      <w:r w:rsidR="00E34105" w:rsidRPr="003E284C">
        <w:rPr>
          <w:color w:val="auto"/>
          <w:lang w:val="es-ES"/>
        </w:rPr>
        <w:t>, para determinar</w:t>
      </w:r>
      <w:r w:rsidR="00BA627B" w:rsidRPr="003E284C">
        <w:rPr>
          <w:color w:val="auto"/>
          <w:lang w:val="es-ES"/>
        </w:rPr>
        <w:t xml:space="preserve"> los valores máximo</w:t>
      </w:r>
      <w:r w:rsidR="00456A9D" w:rsidRPr="003E284C">
        <w:rPr>
          <w:color w:val="auto"/>
          <w:lang w:val="es-ES"/>
        </w:rPr>
        <w:t>s</w:t>
      </w:r>
      <w:r w:rsidR="00BA627B" w:rsidRPr="003E284C">
        <w:rPr>
          <w:color w:val="auto"/>
          <w:lang w:val="es-ES"/>
        </w:rPr>
        <w:t xml:space="preserve">, mínimos, medias y </w:t>
      </w:r>
      <w:r w:rsidR="000F2617" w:rsidRPr="003E284C">
        <w:rPr>
          <w:color w:val="auto"/>
          <w:lang w:val="es-ES"/>
        </w:rPr>
        <w:t>d</w:t>
      </w:r>
      <w:r w:rsidR="00BA627B" w:rsidRPr="003E284C">
        <w:rPr>
          <w:color w:val="auto"/>
          <w:lang w:val="es-ES"/>
        </w:rPr>
        <w:t xml:space="preserve">esviación estándar </w:t>
      </w:r>
      <w:r w:rsidR="002C3E30" w:rsidRPr="003E284C">
        <w:rPr>
          <w:color w:val="auto"/>
          <w:lang w:val="es-ES"/>
        </w:rPr>
        <w:t xml:space="preserve">de cada grupo de la población </w:t>
      </w:r>
      <w:r w:rsidR="00EE3B64" w:rsidRPr="003E284C">
        <w:rPr>
          <w:color w:val="auto"/>
          <w:lang w:val="es-ES"/>
        </w:rPr>
        <w:t>de estudio (</w:t>
      </w:r>
      <w:r w:rsidR="00166FF7" w:rsidRPr="003E284C">
        <w:rPr>
          <w:color w:val="auto"/>
          <w:lang w:val="es-ES"/>
        </w:rPr>
        <w:t>diabéticos</w:t>
      </w:r>
      <w:r w:rsidR="00EE3B64" w:rsidRPr="003E284C">
        <w:rPr>
          <w:color w:val="auto"/>
          <w:lang w:val="es-ES"/>
        </w:rPr>
        <w:t xml:space="preserve">, no </w:t>
      </w:r>
      <w:r w:rsidR="00166FF7" w:rsidRPr="003E284C">
        <w:rPr>
          <w:color w:val="auto"/>
          <w:lang w:val="es-ES"/>
        </w:rPr>
        <w:t>diabéticos</w:t>
      </w:r>
      <w:r w:rsidR="00EE3B64" w:rsidRPr="003E284C">
        <w:rPr>
          <w:color w:val="auto"/>
          <w:lang w:val="es-ES"/>
        </w:rPr>
        <w:t xml:space="preserve"> y </w:t>
      </w:r>
      <w:r w:rsidR="00166FF7" w:rsidRPr="003E284C">
        <w:rPr>
          <w:color w:val="auto"/>
          <w:lang w:val="es-ES"/>
        </w:rPr>
        <w:t>prediabéticos</w:t>
      </w:r>
      <w:r w:rsidR="00EE3B64" w:rsidRPr="003E284C">
        <w:rPr>
          <w:color w:val="auto"/>
          <w:lang w:val="es-ES"/>
        </w:rPr>
        <w:t>)</w:t>
      </w:r>
      <w:r w:rsidR="00456A9D" w:rsidRPr="003E284C">
        <w:rPr>
          <w:color w:val="auto"/>
          <w:lang w:val="es-ES"/>
        </w:rPr>
        <w:t>.</w:t>
      </w:r>
      <w:r w:rsidR="00EE3B64" w:rsidRPr="003E284C">
        <w:rPr>
          <w:color w:val="auto"/>
          <w:lang w:val="es-ES"/>
        </w:rPr>
        <w:t xml:space="preserve"> </w:t>
      </w:r>
      <w:r w:rsidR="00456A9D" w:rsidRPr="003E284C">
        <w:rPr>
          <w:color w:val="auto"/>
          <w:lang w:val="es-ES"/>
        </w:rPr>
        <w:t xml:space="preserve">Asimismo, </w:t>
      </w:r>
      <w:r w:rsidR="002C3E30" w:rsidRPr="003E284C">
        <w:rPr>
          <w:color w:val="auto"/>
          <w:lang w:val="es-ES"/>
        </w:rPr>
        <w:t>por medio de la prueba estadística ANOVA</w:t>
      </w:r>
      <w:r w:rsidR="00EE3B64" w:rsidRPr="003E284C">
        <w:rPr>
          <w:color w:val="auto"/>
          <w:lang w:val="es-ES"/>
        </w:rPr>
        <w:t xml:space="preserve"> se</w:t>
      </w:r>
      <w:r w:rsidRPr="003E284C">
        <w:rPr>
          <w:color w:val="auto"/>
          <w:lang w:val="es-ES"/>
        </w:rPr>
        <w:t xml:space="preserve"> consideraron estadísticamente significativas las diferencias </w:t>
      </w:r>
      <w:r w:rsidR="00DA4751" w:rsidRPr="003E284C">
        <w:rPr>
          <w:color w:val="auto"/>
          <w:lang w:val="es-ES"/>
        </w:rPr>
        <w:t xml:space="preserve">de las medias </w:t>
      </w:r>
      <w:r w:rsidRPr="003E284C">
        <w:rPr>
          <w:color w:val="auto"/>
          <w:lang w:val="es-ES"/>
        </w:rPr>
        <w:t>cuando el valor de p</w:t>
      </w:r>
      <w:r w:rsidR="00456A9D" w:rsidRPr="003E284C">
        <w:rPr>
          <w:color w:val="auto"/>
          <w:lang w:val="es-ES"/>
        </w:rPr>
        <w:t> </w:t>
      </w:r>
      <w:r w:rsidRPr="003E284C">
        <w:rPr>
          <w:color w:val="auto"/>
          <w:lang w:val="es-ES"/>
        </w:rPr>
        <w:t>=</w:t>
      </w:r>
      <w:r w:rsidR="00456A9D" w:rsidRPr="003E284C">
        <w:rPr>
          <w:color w:val="auto"/>
          <w:lang w:val="es-ES"/>
        </w:rPr>
        <w:t> </w:t>
      </w:r>
      <w:r w:rsidR="000F2617" w:rsidRPr="003E284C">
        <w:rPr>
          <w:color w:val="auto"/>
          <w:lang w:val="es-ES"/>
        </w:rPr>
        <w:sym w:font="Symbol" w:char="F0A3"/>
      </w:r>
      <w:r w:rsidR="00442BAB" w:rsidRPr="003E284C">
        <w:rPr>
          <w:color w:val="auto"/>
          <w:lang w:val="es-ES"/>
        </w:rPr>
        <w:t xml:space="preserve"> </w:t>
      </w:r>
      <w:r w:rsidRPr="003E284C">
        <w:rPr>
          <w:color w:val="auto"/>
          <w:lang w:val="es-ES"/>
        </w:rPr>
        <w:t>0.05</w:t>
      </w:r>
      <w:r w:rsidR="00765680" w:rsidRPr="003E284C">
        <w:rPr>
          <w:color w:val="auto"/>
          <w:lang w:val="es-ES"/>
        </w:rPr>
        <w:t xml:space="preserve">. </w:t>
      </w:r>
    </w:p>
    <w:p w14:paraId="17AF2E0C" w14:textId="62B9F0AA" w:rsidR="00667620" w:rsidRPr="003E284C" w:rsidRDefault="00214F26" w:rsidP="00456A9D">
      <w:pPr>
        <w:pStyle w:val="Normal1"/>
        <w:rPr>
          <w:color w:val="auto"/>
          <w:lang w:val="es-ES"/>
        </w:rPr>
      </w:pPr>
      <w:r w:rsidRPr="003E284C">
        <w:rPr>
          <w:color w:val="auto"/>
          <w:lang w:val="es-ES"/>
        </w:rPr>
        <w:t xml:space="preserve">Para </w:t>
      </w:r>
      <w:r w:rsidR="007F730B" w:rsidRPr="003E284C">
        <w:rPr>
          <w:color w:val="auto"/>
          <w:lang w:val="es-ES"/>
        </w:rPr>
        <w:t>medir</w:t>
      </w:r>
      <w:r w:rsidR="006B73E6" w:rsidRPr="003E284C">
        <w:rPr>
          <w:color w:val="auto"/>
          <w:lang w:val="es-ES"/>
        </w:rPr>
        <w:t xml:space="preserve"> </w:t>
      </w:r>
      <w:r w:rsidR="007659C4" w:rsidRPr="003E284C">
        <w:rPr>
          <w:color w:val="auto"/>
          <w:lang w:val="es-ES"/>
        </w:rPr>
        <w:t xml:space="preserve">la asociación </w:t>
      </w:r>
      <w:r w:rsidR="006B73E6" w:rsidRPr="003E284C">
        <w:rPr>
          <w:color w:val="auto"/>
          <w:lang w:val="es-ES"/>
        </w:rPr>
        <w:t xml:space="preserve">entre las </w:t>
      </w:r>
      <w:r w:rsidR="007F730B" w:rsidRPr="003E284C">
        <w:rPr>
          <w:color w:val="auto"/>
          <w:lang w:val="es-ES"/>
        </w:rPr>
        <w:t>variables incluidas como</w:t>
      </w:r>
      <w:r w:rsidR="006677AC" w:rsidRPr="003E284C">
        <w:rPr>
          <w:color w:val="auto"/>
          <w:lang w:val="es-ES"/>
        </w:rPr>
        <w:t xml:space="preserve"> factores</w:t>
      </w:r>
      <w:r w:rsidR="007F730B" w:rsidRPr="003E284C">
        <w:rPr>
          <w:color w:val="auto"/>
          <w:lang w:val="es-ES"/>
        </w:rPr>
        <w:t xml:space="preserve"> de riesgo</w:t>
      </w:r>
      <w:r w:rsidR="00995A46" w:rsidRPr="003E284C">
        <w:rPr>
          <w:color w:val="auto"/>
          <w:lang w:val="es-ES"/>
        </w:rPr>
        <w:t xml:space="preserve"> </w:t>
      </w:r>
      <w:r w:rsidR="007659C4" w:rsidRPr="003E284C">
        <w:rPr>
          <w:color w:val="auto"/>
          <w:lang w:val="es-ES"/>
        </w:rPr>
        <w:t>y</w:t>
      </w:r>
      <w:r w:rsidR="006677AC" w:rsidRPr="003E284C">
        <w:rPr>
          <w:color w:val="auto"/>
          <w:lang w:val="es-ES"/>
        </w:rPr>
        <w:t xml:space="preserve"> a la ERO</w:t>
      </w:r>
      <w:r w:rsidR="007F730B" w:rsidRPr="003E284C">
        <w:rPr>
          <w:color w:val="auto"/>
          <w:lang w:val="es-ES"/>
        </w:rPr>
        <w:t xml:space="preserve">, se </w:t>
      </w:r>
      <w:r w:rsidR="003F22C0" w:rsidRPr="003E284C">
        <w:rPr>
          <w:color w:val="auto"/>
          <w:lang w:val="es-ES"/>
        </w:rPr>
        <w:t>realizó un</w:t>
      </w:r>
      <w:r w:rsidR="00667620" w:rsidRPr="003E284C">
        <w:rPr>
          <w:color w:val="auto"/>
          <w:lang w:val="es-ES"/>
        </w:rPr>
        <w:t xml:space="preserve"> análisis </w:t>
      </w:r>
      <w:r w:rsidR="00AE1531" w:rsidRPr="003E284C">
        <w:rPr>
          <w:color w:val="auto"/>
          <w:lang w:val="es-ES"/>
        </w:rPr>
        <w:t>bi</w:t>
      </w:r>
      <w:r w:rsidR="005A1471" w:rsidRPr="003E284C">
        <w:rPr>
          <w:color w:val="auto"/>
          <w:lang w:val="es-ES"/>
        </w:rPr>
        <w:t>variado</w:t>
      </w:r>
      <w:r w:rsidR="003F22C0" w:rsidRPr="003E284C">
        <w:rPr>
          <w:color w:val="auto"/>
          <w:lang w:val="es-ES"/>
        </w:rPr>
        <w:t xml:space="preserve"> usando la prueba de </w:t>
      </w:r>
      <w:proofErr w:type="spellStart"/>
      <w:r w:rsidR="003F22C0" w:rsidRPr="003E284C">
        <w:rPr>
          <w:color w:val="auto"/>
          <w:lang w:val="es-ES"/>
        </w:rPr>
        <w:t>Odds</w:t>
      </w:r>
      <w:proofErr w:type="spellEnd"/>
      <w:r w:rsidR="003F22C0" w:rsidRPr="003E284C">
        <w:rPr>
          <w:color w:val="auto"/>
          <w:lang w:val="es-ES"/>
        </w:rPr>
        <w:t xml:space="preserve"> Ratio, con</w:t>
      </w:r>
      <w:r w:rsidR="00995A46" w:rsidRPr="003E284C">
        <w:rPr>
          <w:color w:val="auto"/>
          <w:lang w:val="es-ES"/>
        </w:rPr>
        <w:t xml:space="preserve"> </w:t>
      </w:r>
      <w:r w:rsidR="003F22C0" w:rsidRPr="003E284C">
        <w:rPr>
          <w:color w:val="auto"/>
          <w:lang w:val="es-ES"/>
        </w:rPr>
        <w:t>un</w:t>
      </w:r>
      <w:r w:rsidR="00442BAB" w:rsidRPr="003E284C">
        <w:rPr>
          <w:color w:val="auto"/>
          <w:lang w:val="es-ES"/>
        </w:rPr>
        <w:t xml:space="preserve"> </w:t>
      </w:r>
      <w:r w:rsidR="00456A9D" w:rsidRPr="003E284C">
        <w:rPr>
          <w:color w:val="auto"/>
          <w:lang w:val="es-ES"/>
        </w:rPr>
        <w:t>i</w:t>
      </w:r>
      <w:r w:rsidR="00667620" w:rsidRPr="003E284C">
        <w:rPr>
          <w:color w:val="auto"/>
          <w:lang w:val="es-ES"/>
        </w:rPr>
        <w:t xml:space="preserve">ntervalo de </w:t>
      </w:r>
      <w:r w:rsidR="00456A9D" w:rsidRPr="003E284C">
        <w:rPr>
          <w:color w:val="auto"/>
          <w:lang w:val="es-ES"/>
        </w:rPr>
        <w:t>c</w:t>
      </w:r>
      <w:r w:rsidR="00667620" w:rsidRPr="003E284C">
        <w:rPr>
          <w:color w:val="auto"/>
          <w:lang w:val="es-ES"/>
        </w:rPr>
        <w:t>onfianza</w:t>
      </w:r>
      <w:r w:rsidR="003F22C0" w:rsidRPr="003E284C">
        <w:rPr>
          <w:color w:val="auto"/>
          <w:lang w:val="es-ES"/>
        </w:rPr>
        <w:t xml:space="preserve"> d</w:t>
      </w:r>
      <w:r w:rsidR="00667620" w:rsidRPr="003E284C">
        <w:rPr>
          <w:color w:val="auto"/>
          <w:lang w:val="es-ES"/>
        </w:rPr>
        <w:t>e 95</w:t>
      </w:r>
      <w:r w:rsidR="00AA31FF" w:rsidRPr="003E284C">
        <w:rPr>
          <w:color w:val="auto"/>
          <w:lang w:val="es-ES"/>
        </w:rPr>
        <w:t xml:space="preserve"> </w:t>
      </w:r>
      <w:r w:rsidR="00667620" w:rsidRPr="003E284C">
        <w:rPr>
          <w:color w:val="auto"/>
          <w:lang w:val="es-ES"/>
        </w:rPr>
        <w:t>% (IC 95 %).</w:t>
      </w:r>
      <w:r w:rsidR="00EF443B" w:rsidRPr="003E284C">
        <w:rPr>
          <w:color w:val="auto"/>
          <w:lang w:val="es-ES"/>
        </w:rPr>
        <w:t xml:space="preserve"> </w:t>
      </w:r>
    </w:p>
    <w:p w14:paraId="659C35F0" w14:textId="1316CFA7" w:rsidR="00A80C62" w:rsidRPr="003E284C" w:rsidRDefault="00A80C62" w:rsidP="0018154D">
      <w:pPr>
        <w:spacing w:after="0" w:line="360" w:lineRule="auto"/>
        <w:rPr>
          <w:b/>
          <w:bCs/>
          <w:i/>
          <w:iCs/>
          <w:lang w:val="es-ES"/>
        </w:rPr>
      </w:pPr>
    </w:p>
    <w:p w14:paraId="5DEF7B4C" w14:textId="77777777" w:rsidR="00667620" w:rsidRPr="003E284C" w:rsidRDefault="00667620" w:rsidP="0018154D">
      <w:pPr>
        <w:spacing w:after="0" w:line="360" w:lineRule="auto"/>
        <w:jc w:val="center"/>
        <w:rPr>
          <w:rFonts w:ascii="Times New Roman" w:hAnsi="Times New Roman" w:cs="Times New Roman"/>
          <w:b/>
          <w:bCs/>
          <w:sz w:val="32"/>
          <w:szCs w:val="32"/>
          <w:lang w:val="es-ES"/>
        </w:rPr>
      </w:pPr>
      <w:r w:rsidRPr="003E284C">
        <w:rPr>
          <w:rFonts w:ascii="Times New Roman" w:hAnsi="Times New Roman" w:cs="Times New Roman"/>
          <w:b/>
          <w:bCs/>
          <w:sz w:val="32"/>
          <w:szCs w:val="32"/>
          <w:lang w:val="es-ES"/>
        </w:rPr>
        <w:t>Resultados</w:t>
      </w:r>
    </w:p>
    <w:p w14:paraId="4C14D8D3" w14:textId="77777777" w:rsidR="00456A9D" w:rsidRPr="003E284C" w:rsidRDefault="00667620" w:rsidP="00456A9D">
      <w:pPr>
        <w:pStyle w:val="Normal1"/>
        <w:rPr>
          <w:color w:val="auto"/>
          <w:lang w:val="es-ES"/>
        </w:rPr>
      </w:pPr>
      <w:r w:rsidRPr="003E284C">
        <w:rPr>
          <w:color w:val="auto"/>
          <w:lang w:val="es-ES"/>
        </w:rPr>
        <w:t>La población total incluyo 352 pacientes</w:t>
      </w:r>
      <w:r w:rsidR="00456A9D" w:rsidRPr="003E284C">
        <w:rPr>
          <w:color w:val="auto"/>
          <w:lang w:val="es-ES"/>
        </w:rPr>
        <w:t>:</w:t>
      </w:r>
      <w:r w:rsidR="005B2D46" w:rsidRPr="003E284C">
        <w:rPr>
          <w:color w:val="auto"/>
          <w:lang w:val="es-ES"/>
        </w:rPr>
        <w:t xml:space="preserve"> 204 de</w:t>
      </w:r>
      <w:r w:rsidR="001C6B91" w:rsidRPr="003E284C">
        <w:rPr>
          <w:color w:val="auto"/>
          <w:lang w:val="es-ES"/>
        </w:rPr>
        <w:t>l poblado</w:t>
      </w:r>
      <w:r w:rsidR="005B2D46" w:rsidRPr="003E284C">
        <w:rPr>
          <w:color w:val="auto"/>
          <w:lang w:val="es-ES"/>
        </w:rPr>
        <w:t xml:space="preserve"> de Olinalá y 148 de la ciudad de Chilpancingo. E</w:t>
      </w:r>
      <w:r w:rsidRPr="003E284C">
        <w:rPr>
          <w:color w:val="auto"/>
          <w:lang w:val="es-ES"/>
        </w:rPr>
        <w:t>l 65</w:t>
      </w:r>
      <w:r w:rsidR="00AA31FF" w:rsidRPr="003E284C">
        <w:rPr>
          <w:color w:val="auto"/>
          <w:lang w:val="es-ES"/>
        </w:rPr>
        <w:t xml:space="preserve"> </w:t>
      </w:r>
      <w:r w:rsidRPr="003E284C">
        <w:rPr>
          <w:color w:val="auto"/>
          <w:lang w:val="es-ES"/>
        </w:rPr>
        <w:t>% pertenecían al sexo femenino y el 35</w:t>
      </w:r>
      <w:r w:rsidR="00AA31FF" w:rsidRPr="003E284C">
        <w:rPr>
          <w:color w:val="auto"/>
          <w:lang w:val="es-ES"/>
        </w:rPr>
        <w:t xml:space="preserve"> </w:t>
      </w:r>
      <w:r w:rsidRPr="003E284C">
        <w:rPr>
          <w:color w:val="auto"/>
          <w:lang w:val="es-ES"/>
        </w:rPr>
        <w:t>% al masculino</w:t>
      </w:r>
      <w:r w:rsidR="00456A9D" w:rsidRPr="003E284C">
        <w:rPr>
          <w:color w:val="auto"/>
          <w:lang w:val="es-ES"/>
        </w:rPr>
        <w:t>.</w:t>
      </w:r>
      <w:r w:rsidRPr="003E284C">
        <w:rPr>
          <w:color w:val="auto"/>
          <w:lang w:val="es-ES"/>
        </w:rPr>
        <w:t xml:space="preserve"> </w:t>
      </w:r>
      <w:r w:rsidR="00456A9D" w:rsidRPr="003E284C">
        <w:rPr>
          <w:color w:val="auto"/>
          <w:lang w:val="es-ES"/>
        </w:rPr>
        <w:t>S</w:t>
      </w:r>
      <w:r w:rsidR="00A80C62" w:rsidRPr="003E284C">
        <w:rPr>
          <w:color w:val="auto"/>
          <w:lang w:val="es-ES"/>
        </w:rPr>
        <w:t xml:space="preserve">e </w:t>
      </w:r>
      <w:r w:rsidR="00166FF7" w:rsidRPr="003E284C">
        <w:rPr>
          <w:color w:val="auto"/>
          <w:lang w:val="es-ES"/>
        </w:rPr>
        <w:t>incluyó</w:t>
      </w:r>
      <w:r w:rsidR="00A80C62" w:rsidRPr="003E284C">
        <w:rPr>
          <w:color w:val="auto"/>
          <w:lang w:val="es-ES"/>
        </w:rPr>
        <w:t xml:space="preserve"> a</w:t>
      </w:r>
      <w:r w:rsidRPr="003E284C">
        <w:rPr>
          <w:color w:val="auto"/>
          <w:lang w:val="es-ES"/>
        </w:rPr>
        <w:t xml:space="preserve"> pacientes de 12 a 88 años.</w:t>
      </w:r>
      <w:r w:rsidR="00995A46" w:rsidRPr="003E284C">
        <w:rPr>
          <w:color w:val="auto"/>
          <w:lang w:val="es-ES"/>
        </w:rPr>
        <w:t xml:space="preserve"> </w:t>
      </w:r>
    </w:p>
    <w:p w14:paraId="56338F0B" w14:textId="72B86709" w:rsidR="0079005D" w:rsidRPr="003E284C" w:rsidRDefault="00667620" w:rsidP="00456A9D">
      <w:pPr>
        <w:pStyle w:val="Normal1"/>
        <w:rPr>
          <w:color w:val="auto"/>
          <w:lang w:val="es-ES"/>
        </w:rPr>
      </w:pPr>
      <w:r w:rsidRPr="003E284C">
        <w:rPr>
          <w:color w:val="auto"/>
          <w:lang w:val="es-ES"/>
        </w:rPr>
        <w:t xml:space="preserve">De acuerdo con la determinación de los niveles de glucosa en sangre, los pacientes tuvieron la </w:t>
      </w:r>
      <w:r w:rsidR="00EF443B" w:rsidRPr="003E284C">
        <w:rPr>
          <w:color w:val="auto"/>
          <w:lang w:val="es-ES"/>
        </w:rPr>
        <w:t xml:space="preserve">siguiente </w:t>
      </w:r>
      <w:r w:rsidRPr="003E284C">
        <w:rPr>
          <w:color w:val="auto"/>
          <w:lang w:val="es-ES"/>
        </w:rPr>
        <w:t>distribució</w:t>
      </w:r>
      <w:r w:rsidR="00EF443B" w:rsidRPr="003E284C">
        <w:rPr>
          <w:color w:val="auto"/>
          <w:lang w:val="es-ES"/>
        </w:rPr>
        <w:t>n</w:t>
      </w:r>
      <w:r w:rsidR="00456A9D" w:rsidRPr="003E284C">
        <w:rPr>
          <w:color w:val="auto"/>
          <w:lang w:val="es-ES"/>
        </w:rPr>
        <w:t>:</w:t>
      </w:r>
      <w:r w:rsidRPr="003E284C">
        <w:rPr>
          <w:color w:val="auto"/>
          <w:lang w:val="es-ES"/>
        </w:rPr>
        <w:t xml:space="preserve"> </w:t>
      </w:r>
      <w:r w:rsidR="009F405E" w:rsidRPr="003E284C">
        <w:rPr>
          <w:color w:val="auto"/>
          <w:lang w:val="es-ES"/>
        </w:rPr>
        <w:t xml:space="preserve">con </w:t>
      </w:r>
      <w:r w:rsidRPr="003E284C">
        <w:rPr>
          <w:color w:val="auto"/>
          <w:lang w:val="es-ES"/>
        </w:rPr>
        <w:t>diab</w:t>
      </w:r>
      <w:r w:rsidR="009F405E" w:rsidRPr="003E284C">
        <w:rPr>
          <w:color w:val="auto"/>
          <w:lang w:val="es-ES"/>
        </w:rPr>
        <w:t>etes</w:t>
      </w:r>
      <w:r w:rsidRPr="003E284C">
        <w:rPr>
          <w:color w:val="auto"/>
          <w:lang w:val="es-ES"/>
        </w:rPr>
        <w:t xml:space="preserve"> 5</w:t>
      </w:r>
      <w:r w:rsidR="00CB047C" w:rsidRPr="003E284C">
        <w:rPr>
          <w:color w:val="auto"/>
          <w:lang w:val="es-ES"/>
        </w:rPr>
        <w:t>0</w:t>
      </w:r>
      <w:r w:rsidRPr="003E284C">
        <w:rPr>
          <w:color w:val="auto"/>
          <w:lang w:val="es-ES"/>
        </w:rPr>
        <w:t>.6</w:t>
      </w:r>
      <w:r w:rsidR="00AA31FF" w:rsidRPr="003E284C">
        <w:rPr>
          <w:color w:val="auto"/>
          <w:lang w:val="es-ES"/>
        </w:rPr>
        <w:t xml:space="preserve"> </w:t>
      </w:r>
      <w:r w:rsidRPr="003E284C">
        <w:rPr>
          <w:color w:val="auto"/>
          <w:lang w:val="es-ES"/>
        </w:rPr>
        <w:t>% (</w:t>
      </w:r>
      <w:r w:rsidR="00CB047C" w:rsidRPr="003E284C">
        <w:rPr>
          <w:color w:val="auto"/>
          <w:lang w:val="es-ES"/>
        </w:rPr>
        <w:t>178</w:t>
      </w:r>
      <w:r w:rsidRPr="003E284C">
        <w:rPr>
          <w:color w:val="auto"/>
          <w:lang w:val="es-ES"/>
        </w:rPr>
        <w:t xml:space="preserve">), </w:t>
      </w:r>
      <w:r w:rsidR="009F405E" w:rsidRPr="003E284C">
        <w:rPr>
          <w:color w:val="auto"/>
          <w:lang w:val="es-ES"/>
        </w:rPr>
        <w:t>sin</w:t>
      </w:r>
      <w:r w:rsidRPr="003E284C">
        <w:rPr>
          <w:color w:val="auto"/>
          <w:lang w:val="es-ES"/>
        </w:rPr>
        <w:t xml:space="preserve"> diab</w:t>
      </w:r>
      <w:r w:rsidR="009F405E" w:rsidRPr="003E284C">
        <w:rPr>
          <w:color w:val="auto"/>
          <w:lang w:val="es-ES"/>
        </w:rPr>
        <w:t>etes</w:t>
      </w:r>
      <w:r w:rsidRPr="003E284C">
        <w:rPr>
          <w:color w:val="auto"/>
          <w:lang w:val="es-ES"/>
        </w:rPr>
        <w:t xml:space="preserve"> 4</w:t>
      </w:r>
      <w:r w:rsidR="00CB047C" w:rsidRPr="003E284C">
        <w:rPr>
          <w:color w:val="auto"/>
          <w:lang w:val="es-ES"/>
        </w:rPr>
        <w:t>5</w:t>
      </w:r>
      <w:r w:rsidRPr="003E284C">
        <w:rPr>
          <w:color w:val="auto"/>
          <w:lang w:val="es-ES"/>
        </w:rPr>
        <w:t>.</w:t>
      </w:r>
      <w:r w:rsidR="00CB047C" w:rsidRPr="003E284C">
        <w:rPr>
          <w:color w:val="auto"/>
          <w:lang w:val="es-ES"/>
        </w:rPr>
        <w:t>1</w:t>
      </w:r>
      <w:r w:rsidR="00AA31FF" w:rsidRPr="003E284C">
        <w:rPr>
          <w:color w:val="auto"/>
          <w:lang w:val="es-ES"/>
        </w:rPr>
        <w:t xml:space="preserve"> </w:t>
      </w:r>
      <w:r w:rsidRPr="003E284C">
        <w:rPr>
          <w:color w:val="auto"/>
          <w:lang w:val="es-ES"/>
        </w:rPr>
        <w:t>% (1</w:t>
      </w:r>
      <w:r w:rsidR="00CB047C" w:rsidRPr="003E284C">
        <w:rPr>
          <w:color w:val="auto"/>
          <w:lang w:val="es-ES"/>
        </w:rPr>
        <w:t>59</w:t>
      </w:r>
      <w:r w:rsidRPr="003E284C">
        <w:rPr>
          <w:color w:val="auto"/>
          <w:lang w:val="es-ES"/>
        </w:rPr>
        <w:t>)</w:t>
      </w:r>
      <w:r w:rsidR="00235851" w:rsidRPr="003E284C">
        <w:rPr>
          <w:color w:val="auto"/>
          <w:lang w:val="es-ES"/>
        </w:rPr>
        <w:t xml:space="preserve"> y</w:t>
      </w:r>
      <w:r w:rsidR="009F405E" w:rsidRPr="003E284C">
        <w:rPr>
          <w:color w:val="auto"/>
          <w:lang w:val="es-ES"/>
        </w:rPr>
        <w:t xml:space="preserve"> con</w:t>
      </w:r>
      <w:r w:rsidRPr="003E284C">
        <w:rPr>
          <w:color w:val="auto"/>
          <w:lang w:val="es-ES"/>
        </w:rPr>
        <w:t xml:space="preserve"> prediab</w:t>
      </w:r>
      <w:r w:rsidR="009F405E" w:rsidRPr="003E284C">
        <w:rPr>
          <w:color w:val="auto"/>
          <w:lang w:val="es-ES"/>
        </w:rPr>
        <w:t>etes</w:t>
      </w:r>
      <w:r w:rsidRPr="003E284C">
        <w:rPr>
          <w:color w:val="auto"/>
          <w:lang w:val="es-ES"/>
        </w:rPr>
        <w:t xml:space="preserve"> 4.2</w:t>
      </w:r>
      <w:r w:rsidR="00AA31FF" w:rsidRPr="003E284C">
        <w:rPr>
          <w:color w:val="auto"/>
          <w:lang w:val="es-ES"/>
        </w:rPr>
        <w:t xml:space="preserve"> </w:t>
      </w:r>
      <w:r w:rsidRPr="003E284C">
        <w:rPr>
          <w:color w:val="auto"/>
          <w:lang w:val="es-ES"/>
        </w:rPr>
        <w:t>% (15).</w:t>
      </w:r>
      <w:r w:rsidR="009F405E" w:rsidRPr="003E284C">
        <w:rPr>
          <w:color w:val="auto"/>
          <w:lang w:val="es-ES"/>
        </w:rPr>
        <w:t xml:space="preserve"> Cabe mencionar que todos los pacientes con prediabetes pertenecían a la </w:t>
      </w:r>
      <w:r w:rsidR="00166FF7" w:rsidRPr="003E284C">
        <w:rPr>
          <w:color w:val="auto"/>
          <w:lang w:val="es-ES"/>
        </w:rPr>
        <w:t xml:space="preserve">población </w:t>
      </w:r>
      <w:r w:rsidR="009F405E" w:rsidRPr="003E284C">
        <w:rPr>
          <w:color w:val="auto"/>
          <w:lang w:val="es-ES"/>
        </w:rPr>
        <w:t>de Olinalá, y ninguno de ellos tenía conocimiento previo de la condición</w:t>
      </w:r>
      <w:r w:rsidRPr="003E284C">
        <w:rPr>
          <w:color w:val="auto"/>
          <w:lang w:val="es-ES"/>
        </w:rPr>
        <w:t xml:space="preserve"> </w:t>
      </w:r>
      <w:r w:rsidR="0074183A" w:rsidRPr="003E284C">
        <w:rPr>
          <w:color w:val="auto"/>
          <w:lang w:val="es-ES"/>
        </w:rPr>
        <w:t>(figura</w:t>
      </w:r>
      <w:r w:rsidRPr="003E284C">
        <w:rPr>
          <w:color w:val="auto"/>
          <w:lang w:val="es-ES"/>
        </w:rPr>
        <w:t xml:space="preserve"> </w:t>
      </w:r>
      <w:r w:rsidR="002A7BBB" w:rsidRPr="003E284C">
        <w:rPr>
          <w:color w:val="auto"/>
          <w:lang w:val="es-ES"/>
        </w:rPr>
        <w:t>1</w:t>
      </w:r>
      <w:r w:rsidR="0074183A" w:rsidRPr="003E284C">
        <w:rPr>
          <w:color w:val="auto"/>
          <w:lang w:val="es-ES"/>
        </w:rPr>
        <w:t>)</w:t>
      </w:r>
      <w:r w:rsidRPr="003E284C">
        <w:rPr>
          <w:color w:val="auto"/>
          <w:lang w:val="es-ES"/>
        </w:rPr>
        <w:t>.</w:t>
      </w:r>
    </w:p>
    <w:p w14:paraId="1F70925D" w14:textId="77777777" w:rsidR="00456A9D" w:rsidRDefault="00456A9D" w:rsidP="00456A9D">
      <w:pPr>
        <w:pStyle w:val="Normal1"/>
        <w:rPr>
          <w:color w:val="auto"/>
          <w:lang w:val="es-ES"/>
        </w:rPr>
      </w:pPr>
    </w:p>
    <w:p w14:paraId="51FFEBDA" w14:textId="77777777" w:rsidR="003E284C" w:rsidRDefault="003E284C" w:rsidP="00456A9D">
      <w:pPr>
        <w:pStyle w:val="Normal1"/>
        <w:rPr>
          <w:color w:val="auto"/>
          <w:lang w:val="es-ES"/>
        </w:rPr>
      </w:pPr>
    </w:p>
    <w:p w14:paraId="629BEC43" w14:textId="77777777" w:rsidR="003E284C" w:rsidRDefault="003E284C" w:rsidP="00456A9D">
      <w:pPr>
        <w:pStyle w:val="Normal1"/>
        <w:rPr>
          <w:color w:val="auto"/>
          <w:lang w:val="es-ES"/>
        </w:rPr>
      </w:pPr>
    </w:p>
    <w:p w14:paraId="763272E3" w14:textId="77777777" w:rsidR="003E284C" w:rsidRDefault="003E284C" w:rsidP="00456A9D">
      <w:pPr>
        <w:pStyle w:val="Normal1"/>
        <w:rPr>
          <w:color w:val="auto"/>
          <w:lang w:val="es-ES"/>
        </w:rPr>
      </w:pPr>
    </w:p>
    <w:p w14:paraId="1019C1FA" w14:textId="77777777" w:rsidR="003E284C" w:rsidRDefault="003E284C" w:rsidP="00456A9D">
      <w:pPr>
        <w:pStyle w:val="Normal1"/>
        <w:rPr>
          <w:color w:val="auto"/>
          <w:lang w:val="es-ES"/>
        </w:rPr>
      </w:pPr>
    </w:p>
    <w:p w14:paraId="16261611" w14:textId="77777777" w:rsidR="003E284C" w:rsidRDefault="003E284C" w:rsidP="00456A9D">
      <w:pPr>
        <w:pStyle w:val="Normal1"/>
        <w:rPr>
          <w:color w:val="auto"/>
          <w:lang w:val="es-ES"/>
        </w:rPr>
      </w:pPr>
    </w:p>
    <w:p w14:paraId="2211C01B" w14:textId="77777777" w:rsidR="003E284C" w:rsidRDefault="003E284C" w:rsidP="00456A9D">
      <w:pPr>
        <w:pStyle w:val="Normal1"/>
        <w:rPr>
          <w:color w:val="auto"/>
          <w:lang w:val="es-ES"/>
        </w:rPr>
      </w:pPr>
    </w:p>
    <w:p w14:paraId="09676BFA" w14:textId="77777777" w:rsidR="003E284C" w:rsidRDefault="003E284C" w:rsidP="00456A9D">
      <w:pPr>
        <w:pStyle w:val="Normal1"/>
        <w:rPr>
          <w:color w:val="auto"/>
          <w:lang w:val="es-ES"/>
        </w:rPr>
      </w:pPr>
    </w:p>
    <w:p w14:paraId="7FFBD790" w14:textId="77777777" w:rsidR="003E284C" w:rsidRDefault="003E284C" w:rsidP="00456A9D">
      <w:pPr>
        <w:pStyle w:val="Normal1"/>
        <w:rPr>
          <w:color w:val="auto"/>
          <w:lang w:val="es-ES"/>
        </w:rPr>
      </w:pPr>
    </w:p>
    <w:p w14:paraId="6A955E7D" w14:textId="77777777" w:rsidR="003E284C" w:rsidRPr="003E284C" w:rsidRDefault="003E284C" w:rsidP="00456A9D">
      <w:pPr>
        <w:pStyle w:val="Normal1"/>
        <w:rPr>
          <w:color w:val="auto"/>
          <w:lang w:val="es-ES"/>
        </w:rPr>
      </w:pPr>
    </w:p>
    <w:p w14:paraId="4A77A41A" w14:textId="5C3D7172" w:rsidR="004F4C0F" w:rsidRPr="003E284C" w:rsidRDefault="0079005D" w:rsidP="00456A9D">
      <w:pPr>
        <w:tabs>
          <w:tab w:val="left" w:pos="709"/>
        </w:tabs>
        <w:spacing w:line="360" w:lineRule="auto"/>
        <w:jc w:val="center"/>
        <w:rPr>
          <w:rFonts w:ascii="Times New Roman" w:hAnsi="Times New Roman" w:cs="Times New Roman"/>
          <w:sz w:val="24"/>
          <w:szCs w:val="24"/>
          <w:lang w:val="es-ES"/>
        </w:rPr>
      </w:pPr>
      <w:r w:rsidRPr="003E284C">
        <w:rPr>
          <w:rFonts w:ascii="Times New Roman" w:hAnsi="Times New Roman" w:cs="Times New Roman"/>
          <w:b/>
          <w:bCs/>
          <w:sz w:val="24"/>
          <w:szCs w:val="24"/>
          <w:lang w:val="es-ES"/>
        </w:rPr>
        <w:lastRenderedPageBreak/>
        <w:t>Figura 1</w:t>
      </w:r>
      <w:r w:rsidR="00456A9D" w:rsidRPr="003E284C">
        <w:rPr>
          <w:rFonts w:ascii="Times New Roman" w:hAnsi="Times New Roman" w:cs="Times New Roman"/>
          <w:b/>
          <w:bCs/>
          <w:sz w:val="24"/>
          <w:szCs w:val="24"/>
          <w:lang w:val="es-ES"/>
        </w:rPr>
        <w:t>.</w:t>
      </w:r>
      <w:r w:rsidRPr="003E284C">
        <w:rPr>
          <w:rFonts w:ascii="Times New Roman" w:hAnsi="Times New Roman" w:cs="Times New Roman"/>
          <w:b/>
          <w:bCs/>
          <w:sz w:val="24"/>
          <w:szCs w:val="24"/>
          <w:lang w:val="es-ES"/>
        </w:rPr>
        <w:t xml:space="preserve"> </w:t>
      </w:r>
      <w:r w:rsidRPr="003E284C">
        <w:rPr>
          <w:rFonts w:ascii="Times New Roman" w:hAnsi="Times New Roman" w:cs="Times New Roman"/>
          <w:sz w:val="24"/>
          <w:szCs w:val="24"/>
          <w:lang w:val="es-ES"/>
        </w:rPr>
        <w:t>Distribución de los pacientes de estudio según su diagnóstico</w:t>
      </w:r>
      <w:r w:rsidR="00766DB5" w:rsidRPr="003E284C">
        <w:rPr>
          <w:rFonts w:ascii="Times New Roman" w:hAnsi="Times New Roman" w:cs="Times New Roman"/>
          <w:sz w:val="24"/>
          <w:szCs w:val="24"/>
          <w:lang w:val="es-ES"/>
        </w:rPr>
        <w:t xml:space="preserve"> sobre la presencia de diabetes.</w:t>
      </w:r>
    </w:p>
    <w:p w14:paraId="69893621" w14:textId="5CA91EC8" w:rsidR="009F405E" w:rsidRPr="003E284C" w:rsidRDefault="0061092C" w:rsidP="00667620">
      <w:pPr>
        <w:tabs>
          <w:tab w:val="left" w:pos="709"/>
        </w:tabs>
        <w:spacing w:line="360" w:lineRule="auto"/>
        <w:jc w:val="both"/>
        <w:rPr>
          <w:rFonts w:ascii="Times New Roman" w:hAnsi="Times New Roman" w:cs="Times New Roman"/>
          <w:sz w:val="24"/>
          <w:szCs w:val="24"/>
          <w:lang w:val="es-ES"/>
        </w:rPr>
      </w:pPr>
      <w:r w:rsidRPr="003E284C">
        <w:rPr>
          <w:rFonts w:ascii="Times New Roman" w:hAnsi="Times New Roman" w:cs="Times New Roman"/>
          <w:noProof/>
          <w:sz w:val="24"/>
          <w:szCs w:val="24"/>
          <w:lang w:val="es-ES"/>
        </w:rPr>
        <w:drawing>
          <wp:inline distT="0" distB="0" distL="0" distR="0" wp14:anchorId="0EE0ACC8" wp14:editId="77B2416E">
            <wp:extent cx="5486400" cy="3200400"/>
            <wp:effectExtent l="0" t="0" r="0" b="0"/>
            <wp:docPr id="1048493984"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F8A9E1" w14:textId="2398C740" w:rsidR="006576FF" w:rsidRPr="003E284C" w:rsidRDefault="0079005D" w:rsidP="0079005D">
      <w:pPr>
        <w:tabs>
          <w:tab w:val="left" w:pos="709"/>
        </w:tabs>
        <w:spacing w:line="360" w:lineRule="auto"/>
        <w:jc w:val="center"/>
        <w:rPr>
          <w:rFonts w:ascii="Times New Roman" w:hAnsi="Times New Roman" w:cs="Times New Roman"/>
          <w:sz w:val="24"/>
          <w:szCs w:val="24"/>
          <w:lang w:val="es-ES"/>
        </w:rPr>
      </w:pPr>
      <w:r w:rsidRPr="003E284C">
        <w:rPr>
          <w:rFonts w:ascii="Times New Roman" w:hAnsi="Times New Roman" w:cs="Times New Roman"/>
          <w:sz w:val="24"/>
          <w:szCs w:val="24"/>
          <w:lang w:val="es-ES"/>
        </w:rPr>
        <w:t xml:space="preserve">Fuente: </w:t>
      </w:r>
      <w:r w:rsidR="00846908" w:rsidRPr="003E284C">
        <w:rPr>
          <w:rFonts w:ascii="Times New Roman" w:hAnsi="Times New Roman" w:cs="Times New Roman"/>
          <w:sz w:val="24"/>
          <w:szCs w:val="24"/>
          <w:lang w:val="es-ES"/>
        </w:rPr>
        <w:t>E</w:t>
      </w:r>
      <w:r w:rsidRPr="003E284C">
        <w:rPr>
          <w:rFonts w:ascii="Times New Roman" w:hAnsi="Times New Roman" w:cs="Times New Roman"/>
          <w:sz w:val="24"/>
          <w:szCs w:val="24"/>
          <w:lang w:val="es-ES"/>
        </w:rPr>
        <w:t>laboración propia</w:t>
      </w:r>
      <w:r w:rsidR="00766DB5" w:rsidRPr="003E284C">
        <w:rPr>
          <w:rFonts w:ascii="Times New Roman" w:hAnsi="Times New Roman" w:cs="Times New Roman"/>
          <w:sz w:val="24"/>
          <w:szCs w:val="24"/>
          <w:lang w:val="es-ES"/>
        </w:rPr>
        <w:t>. Datos procesados en Excel.</w:t>
      </w:r>
    </w:p>
    <w:p w14:paraId="027F9128" w14:textId="34A07B41" w:rsidR="00667620" w:rsidRPr="003E284C" w:rsidRDefault="00667620" w:rsidP="00EE7462">
      <w:pPr>
        <w:pStyle w:val="Normal1"/>
        <w:rPr>
          <w:color w:val="auto"/>
          <w:lang w:val="es-ES"/>
        </w:rPr>
      </w:pPr>
      <w:r w:rsidRPr="003E284C">
        <w:rPr>
          <w:color w:val="auto"/>
          <w:lang w:val="es-ES"/>
        </w:rPr>
        <w:t xml:space="preserve">De acuerdo con la distribución de pacientes según </w:t>
      </w:r>
      <w:r w:rsidR="00EE7462" w:rsidRPr="003E284C">
        <w:rPr>
          <w:color w:val="auto"/>
          <w:lang w:val="es-ES"/>
        </w:rPr>
        <w:t>su procedencia</w:t>
      </w:r>
      <w:r w:rsidRPr="003E284C">
        <w:rPr>
          <w:color w:val="auto"/>
          <w:lang w:val="es-ES"/>
        </w:rPr>
        <w:t>,</w:t>
      </w:r>
      <w:r w:rsidR="00EE7462" w:rsidRPr="003E284C">
        <w:rPr>
          <w:color w:val="auto"/>
          <w:lang w:val="es-ES"/>
        </w:rPr>
        <w:t xml:space="preserve"> se identific</w:t>
      </w:r>
      <w:r w:rsidR="005B2D46" w:rsidRPr="003E284C">
        <w:rPr>
          <w:color w:val="auto"/>
          <w:lang w:val="es-ES"/>
        </w:rPr>
        <w:t>ó</w:t>
      </w:r>
      <w:r w:rsidR="00EE7462" w:rsidRPr="003E284C">
        <w:rPr>
          <w:color w:val="auto"/>
          <w:lang w:val="es-ES"/>
        </w:rPr>
        <w:t xml:space="preserve"> que</w:t>
      </w:r>
      <w:r w:rsidRPr="003E284C">
        <w:rPr>
          <w:color w:val="auto"/>
          <w:lang w:val="es-ES"/>
        </w:rPr>
        <w:t xml:space="preserve"> en</w:t>
      </w:r>
      <w:r w:rsidR="005B2D46" w:rsidRPr="003E284C">
        <w:rPr>
          <w:color w:val="auto"/>
          <w:lang w:val="es-ES"/>
        </w:rPr>
        <w:t xml:space="preserve"> la ciudad de</w:t>
      </w:r>
      <w:r w:rsidRPr="003E284C">
        <w:rPr>
          <w:color w:val="auto"/>
          <w:lang w:val="es-ES"/>
        </w:rPr>
        <w:t xml:space="preserve"> Chilpancingo de los Bravo</w:t>
      </w:r>
      <w:r w:rsidR="00456A9D" w:rsidRPr="003E284C">
        <w:rPr>
          <w:color w:val="auto"/>
          <w:lang w:val="es-ES"/>
        </w:rPr>
        <w:t>,</w:t>
      </w:r>
      <w:r w:rsidRPr="003E284C">
        <w:rPr>
          <w:color w:val="auto"/>
          <w:lang w:val="es-ES"/>
        </w:rPr>
        <w:t xml:space="preserve"> </w:t>
      </w:r>
      <w:r w:rsidR="00EE7462" w:rsidRPr="003E284C">
        <w:rPr>
          <w:color w:val="auto"/>
          <w:lang w:val="es-ES"/>
        </w:rPr>
        <w:t>de</w:t>
      </w:r>
      <w:r w:rsidRPr="003E284C">
        <w:rPr>
          <w:color w:val="auto"/>
          <w:lang w:val="es-ES"/>
        </w:rPr>
        <w:t xml:space="preserve"> un total de 148 </w:t>
      </w:r>
      <w:r w:rsidR="00AA31FF" w:rsidRPr="003E284C">
        <w:rPr>
          <w:color w:val="auto"/>
          <w:lang w:val="es-ES"/>
        </w:rPr>
        <w:t>participantes, 3</w:t>
      </w:r>
      <w:r w:rsidR="00EE7462" w:rsidRPr="003E284C">
        <w:rPr>
          <w:color w:val="auto"/>
          <w:lang w:val="es-ES"/>
        </w:rPr>
        <w:t xml:space="preserve"> (2.02</w:t>
      </w:r>
      <w:r w:rsidR="00AA31FF" w:rsidRPr="003E284C">
        <w:rPr>
          <w:color w:val="auto"/>
          <w:lang w:val="es-ES"/>
        </w:rPr>
        <w:t xml:space="preserve"> </w:t>
      </w:r>
      <w:r w:rsidR="00EE7462" w:rsidRPr="003E284C">
        <w:rPr>
          <w:color w:val="auto"/>
          <w:lang w:val="es-ES"/>
        </w:rPr>
        <w:t>%)</w:t>
      </w:r>
      <w:r w:rsidRPr="003E284C">
        <w:rPr>
          <w:color w:val="auto"/>
          <w:lang w:val="es-ES"/>
        </w:rPr>
        <w:t xml:space="preserve"> presentaron ERO</w:t>
      </w:r>
      <w:r w:rsidR="00EE7462" w:rsidRPr="003E284C">
        <w:rPr>
          <w:color w:val="auto"/>
          <w:lang w:val="es-ES"/>
        </w:rPr>
        <w:t xml:space="preserve">; </w:t>
      </w:r>
      <w:r w:rsidR="00AA31FF" w:rsidRPr="003E284C">
        <w:rPr>
          <w:color w:val="auto"/>
          <w:lang w:val="es-ES"/>
        </w:rPr>
        <w:t>mientras</w:t>
      </w:r>
      <w:r w:rsidR="00EE7462" w:rsidRPr="003E284C">
        <w:rPr>
          <w:color w:val="auto"/>
          <w:lang w:val="es-ES"/>
        </w:rPr>
        <w:t xml:space="preserve"> </w:t>
      </w:r>
      <w:r w:rsidR="00AA31FF" w:rsidRPr="003E284C">
        <w:rPr>
          <w:color w:val="auto"/>
          <w:lang w:val="es-ES"/>
        </w:rPr>
        <w:t>que</w:t>
      </w:r>
      <w:r w:rsidR="00456A9D" w:rsidRPr="003E284C">
        <w:rPr>
          <w:color w:val="auto"/>
          <w:lang w:val="es-ES"/>
        </w:rPr>
        <w:t xml:space="preserve"> </w:t>
      </w:r>
      <w:r w:rsidR="00AA31FF" w:rsidRPr="003E284C">
        <w:rPr>
          <w:color w:val="auto"/>
          <w:lang w:val="es-ES"/>
        </w:rPr>
        <w:t>en</w:t>
      </w:r>
      <w:r w:rsidRPr="003E284C">
        <w:rPr>
          <w:color w:val="auto"/>
          <w:lang w:val="es-ES"/>
        </w:rPr>
        <w:t xml:space="preserve"> </w:t>
      </w:r>
      <w:r w:rsidR="005B2D46" w:rsidRPr="003E284C">
        <w:rPr>
          <w:color w:val="auto"/>
          <w:lang w:val="es-ES"/>
        </w:rPr>
        <w:t xml:space="preserve">la zona rural </w:t>
      </w:r>
      <w:r w:rsidRPr="003E284C">
        <w:rPr>
          <w:color w:val="auto"/>
          <w:lang w:val="es-ES"/>
        </w:rPr>
        <w:t xml:space="preserve">de </w:t>
      </w:r>
      <w:r w:rsidR="00AA31FF" w:rsidRPr="003E284C">
        <w:rPr>
          <w:color w:val="auto"/>
          <w:lang w:val="es-ES"/>
        </w:rPr>
        <w:t>Olinalá 9 (</w:t>
      </w:r>
      <w:r w:rsidR="00EE7462" w:rsidRPr="003E284C">
        <w:rPr>
          <w:color w:val="auto"/>
          <w:lang w:val="es-ES"/>
        </w:rPr>
        <w:t>4.41</w:t>
      </w:r>
      <w:r w:rsidR="00AA31FF" w:rsidRPr="003E284C">
        <w:rPr>
          <w:color w:val="auto"/>
          <w:lang w:val="es-ES"/>
        </w:rPr>
        <w:t xml:space="preserve"> </w:t>
      </w:r>
      <w:r w:rsidR="00EE7462" w:rsidRPr="003E284C">
        <w:rPr>
          <w:color w:val="auto"/>
          <w:lang w:val="es-ES"/>
        </w:rPr>
        <w:t xml:space="preserve">%) </w:t>
      </w:r>
      <w:r w:rsidRPr="003E284C">
        <w:rPr>
          <w:color w:val="auto"/>
          <w:lang w:val="es-ES"/>
        </w:rPr>
        <w:t>presenta</w:t>
      </w:r>
      <w:r w:rsidR="00AA31FF" w:rsidRPr="003E284C">
        <w:rPr>
          <w:color w:val="auto"/>
          <w:lang w:val="es-ES"/>
        </w:rPr>
        <w:t>ro</w:t>
      </w:r>
      <w:r w:rsidRPr="003E284C">
        <w:rPr>
          <w:color w:val="auto"/>
          <w:lang w:val="es-ES"/>
        </w:rPr>
        <w:t>n ERO</w:t>
      </w:r>
      <w:r w:rsidR="00EE7462" w:rsidRPr="003E284C">
        <w:rPr>
          <w:color w:val="auto"/>
          <w:lang w:val="es-ES"/>
        </w:rPr>
        <w:t>.</w:t>
      </w:r>
      <w:r w:rsidR="00995A46" w:rsidRPr="003E284C">
        <w:rPr>
          <w:color w:val="auto"/>
          <w:lang w:val="es-ES"/>
        </w:rPr>
        <w:t xml:space="preserve"> </w:t>
      </w:r>
      <w:r w:rsidR="00456A9D" w:rsidRPr="003E284C">
        <w:rPr>
          <w:color w:val="auto"/>
          <w:lang w:val="es-ES"/>
        </w:rPr>
        <w:t xml:space="preserve">Asimismo, se halló </w:t>
      </w:r>
      <w:r w:rsidRPr="003E284C">
        <w:rPr>
          <w:color w:val="auto"/>
          <w:lang w:val="es-ES"/>
        </w:rPr>
        <w:t xml:space="preserve">un total de 12 pacientes con presencia de ERO, </w:t>
      </w:r>
      <w:r w:rsidR="00EF443B" w:rsidRPr="003E284C">
        <w:rPr>
          <w:color w:val="auto"/>
          <w:lang w:val="es-ES"/>
        </w:rPr>
        <w:t xml:space="preserve">de los cuales el </w:t>
      </w:r>
      <w:r w:rsidRPr="003E284C">
        <w:rPr>
          <w:color w:val="auto"/>
          <w:lang w:val="es-ES"/>
        </w:rPr>
        <w:t>25</w:t>
      </w:r>
      <w:r w:rsidR="00AA31FF" w:rsidRPr="003E284C">
        <w:rPr>
          <w:color w:val="auto"/>
          <w:lang w:val="es-ES"/>
        </w:rPr>
        <w:t xml:space="preserve"> </w:t>
      </w:r>
      <w:r w:rsidRPr="003E284C">
        <w:rPr>
          <w:color w:val="auto"/>
          <w:lang w:val="es-ES"/>
        </w:rPr>
        <w:t>% perteneciente a Chilpancingo y 75</w:t>
      </w:r>
      <w:r w:rsidR="00AA31FF" w:rsidRPr="003E284C">
        <w:rPr>
          <w:color w:val="auto"/>
          <w:lang w:val="es-ES"/>
        </w:rPr>
        <w:t xml:space="preserve"> </w:t>
      </w:r>
      <w:r w:rsidRPr="003E284C">
        <w:rPr>
          <w:color w:val="auto"/>
          <w:lang w:val="es-ES"/>
        </w:rPr>
        <w:t xml:space="preserve">% a Olinalá </w:t>
      </w:r>
      <w:r w:rsidR="00456A9D" w:rsidRPr="003E284C">
        <w:rPr>
          <w:color w:val="auto"/>
          <w:lang w:val="es-ES"/>
        </w:rPr>
        <w:t>(</w:t>
      </w:r>
      <w:r w:rsidRPr="003E284C">
        <w:rPr>
          <w:color w:val="auto"/>
          <w:lang w:val="es-ES"/>
        </w:rPr>
        <w:t>tabla 1</w:t>
      </w:r>
      <w:r w:rsidR="00456A9D" w:rsidRPr="003E284C">
        <w:rPr>
          <w:color w:val="auto"/>
          <w:lang w:val="es-ES"/>
        </w:rPr>
        <w:t>)</w:t>
      </w:r>
      <w:r w:rsidRPr="003E284C">
        <w:rPr>
          <w:color w:val="auto"/>
          <w:lang w:val="es-ES"/>
        </w:rPr>
        <w:t>.</w:t>
      </w:r>
    </w:p>
    <w:p w14:paraId="5E3C256F" w14:textId="77777777" w:rsidR="00456A9D" w:rsidRDefault="00456A9D" w:rsidP="00EE7462">
      <w:pPr>
        <w:pStyle w:val="Normal1"/>
        <w:rPr>
          <w:color w:val="auto"/>
          <w:lang w:val="es-ES"/>
        </w:rPr>
      </w:pPr>
    </w:p>
    <w:p w14:paraId="4381910D" w14:textId="77777777" w:rsidR="003E284C" w:rsidRDefault="003E284C" w:rsidP="00EE7462">
      <w:pPr>
        <w:pStyle w:val="Normal1"/>
        <w:rPr>
          <w:color w:val="auto"/>
          <w:lang w:val="es-ES"/>
        </w:rPr>
      </w:pPr>
    </w:p>
    <w:p w14:paraId="7A4A52B4" w14:textId="77777777" w:rsidR="003E284C" w:rsidRDefault="003E284C" w:rsidP="00EE7462">
      <w:pPr>
        <w:pStyle w:val="Normal1"/>
        <w:rPr>
          <w:color w:val="auto"/>
          <w:lang w:val="es-ES"/>
        </w:rPr>
      </w:pPr>
    </w:p>
    <w:p w14:paraId="792A2876" w14:textId="77777777" w:rsidR="003E284C" w:rsidRDefault="003E284C" w:rsidP="00EE7462">
      <w:pPr>
        <w:pStyle w:val="Normal1"/>
        <w:rPr>
          <w:color w:val="auto"/>
          <w:lang w:val="es-ES"/>
        </w:rPr>
      </w:pPr>
    </w:p>
    <w:p w14:paraId="1C776339" w14:textId="77777777" w:rsidR="003E284C" w:rsidRDefault="003E284C" w:rsidP="00EE7462">
      <w:pPr>
        <w:pStyle w:val="Normal1"/>
        <w:rPr>
          <w:color w:val="auto"/>
          <w:lang w:val="es-ES"/>
        </w:rPr>
      </w:pPr>
    </w:p>
    <w:p w14:paraId="75A7A8AA" w14:textId="77777777" w:rsidR="003E284C" w:rsidRDefault="003E284C" w:rsidP="00EE7462">
      <w:pPr>
        <w:pStyle w:val="Normal1"/>
        <w:rPr>
          <w:color w:val="auto"/>
          <w:lang w:val="es-ES"/>
        </w:rPr>
      </w:pPr>
    </w:p>
    <w:p w14:paraId="2ACD0E92" w14:textId="77777777" w:rsidR="003E284C" w:rsidRDefault="003E284C" w:rsidP="00EE7462">
      <w:pPr>
        <w:pStyle w:val="Normal1"/>
        <w:rPr>
          <w:color w:val="auto"/>
          <w:lang w:val="es-ES"/>
        </w:rPr>
      </w:pPr>
    </w:p>
    <w:p w14:paraId="0CD84F45" w14:textId="77777777" w:rsidR="003E284C" w:rsidRDefault="003E284C" w:rsidP="00EE7462">
      <w:pPr>
        <w:pStyle w:val="Normal1"/>
        <w:rPr>
          <w:color w:val="auto"/>
          <w:lang w:val="es-ES"/>
        </w:rPr>
      </w:pPr>
    </w:p>
    <w:p w14:paraId="17F725BB" w14:textId="77777777" w:rsidR="003E284C" w:rsidRDefault="003E284C" w:rsidP="00EE7462">
      <w:pPr>
        <w:pStyle w:val="Normal1"/>
        <w:rPr>
          <w:color w:val="auto"/>
          <w:lang w:val="es-ES"/>
        </w:rPr>
      </w:pPr>
    </w:p>
    <w:p w14:paraId="6792661D" w14:textId="77777777" w:rsidR="003E284C" w:rsidRDefault="003E284C" w:rsidP="00EE7462">
      <w:pPr>
        <w:pStyle w:val="Normal1"/>
        <w:rPr>
          <w:color w:val="auto"/>
          <w:lang w:val="es-ES"/>
        </w:rPr>
      </w:pPr>
    </w:p>
    <w:p w14:paraId="046476BC" w14:textId="77777777" w:rsidR="003E284C" w:rsidRDefault="003E284C" w:rsidP="00EE7462">
      <w:pPr>
        <w:pStyle w:val="Normal1"/>
        <w:rPr>
          <w:color w:val="auto"/>
          <w:lang w:val="es-ES"/>
        </w:rPr>
      </w:pPr>
    </w:p>
    <w:p w14:paraId="300B3E66" w14:textId="77777777" w:rsidR="003E284C" w:rsidRPr="003E284C" w:rsidRDefault="003E284C" w:rsidP="00EE7462">
      <w:pPr>
        <w:pStyle w:val="Normal1"/>
        <w:rPr>
          <w:color w:val="auto"/>
          <w:lang w:val="es-ES"/>
        </w:rPr>
      </w:pPr>
    </w:p>
    <w:p w14:paraId="721F9CE4" w14:textId="5083F112" w:rsidR="002A7BBB" w:rsidRPr="003E284C" w:rsidRDefault="000852E2" w:rsidP="00456A9D">
      <w:pPr>
        <w:jc w:val="center"/>
        <w:rPr>
          <w:rFonts w:ascii="Times New Roman" w:eastAsia="Times New Roman" w:hAnsi="Times New Roman" w:cs="Times New Roman"/>
          <w:sz w:val="28"/>
          <w:szCs w:val="28"/>
          <w:lang w:val="es-ES" w:eastAsia="es-MX"/>
        </w:rPr>
      </w:pPr>
      <w:r w:rsidRPr="003E284C">
        <w:rPr>
          <w:rFonts w:ascii="Times New Roman" w:hAnsi="Times New Roman" w:cs="Times New Roman"/>
          <w:b/>
          <w:bCs/>
          <w:sz w:val="24"/>
          <w:szCs w:val="24"/>
          <w:lang w:val="es-ES"/>
        </w:rPr>
        <w:lastRenderedPageBreak/>
        <w:t>T</w:t>
      </w:r>
      <w:r w:rsidR="00456A9D" w:rsidRPr="003E284C">
        <w:rPr>
          <w:rFonts w:ascii="Times New Roman" w:hAnsi="Times New Roman" w:cs="Times New Roman"/>
          <w:b/>
          <w:bCs/>
          <w:sz w:val="24"/>
          <w:szCs w:val="24"/>
          <w:lang w:val="es-ES"/>
        </w:rPr>
        <w:t>abla</w:t>
      </w:r>
      <w:r w:rsidRPr="003E284C">
        <w:rPr>
          <w:rFonts w:ascii="Times New Roman" w:hAnsi="Times New Roman" w:cs="Times New Roman"/>
          <w:b/>
          <w:bCs/>
          <w:sz w:val="24"/>
          <w:szCs w:val="24"/>
          <w:lang w:val="es-ES"/>
        </w:rPr>
        <w:t xml:space="preserve"> 1. </w:t>
      </w:r>
      <w:r w:rsidRPr="003E284C">
        <w:rPr>
          <w:rFonts w:ascii="Times New Roman" w:hAnsi="Times New Roman" w:cs="Times New Roman"/>
          <w:sz w:val="24"/>
          <w:szCs w:val="24"/>
          <w:lang w:val="es-ES"/>
        </w:rPr>
        <w:t>Resultados de pacientes con alteraciones renales en la población de estudio</w:t>
      </w:r>
    </w:p>
    <w:tbl>
      <w:tblPr>
        <w:tblpPr w:leftFromText="141" w:rightFromText="141" w:vertAnchor="text" w:horzAnchor="margin" w:tblpY="312"/>
        <w:tblW w:w="8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561"/>
        <w:gridCol w:w="611"/>
        <w:gridCol w:w="700"/>
        <w:gridCol w:w="640"/>
        <w:gridCol w:w="415"/>
        <w:gridCol w:w="545"/>
        <w:gridCol w:w="500"/>
        <w:gridCol w:w="545"/>
        <w:gridCol w:w="471"/>
        <w:gridCol w:w="501"/>
        <w:gridCol w:w="510"/>
        <w:gridCol w:w="457"/>
        <w:gridCol w:w="545"/>
        <w:gridCol w:w="500"/>
        <w:gridCol w:w="560"/>
        <w:gridCol w:w="590"/>
        <w:gridCol w:w="570"/>
        <w:gridCol w:w="455"/>
      </w:tblGrid>
      <w:tr w:rsidR="003E284C" w:rsidRPr="003E284C" w14:paraId="49DCCC44" w14:textId="77777777" w:rsidTr="0018154D">
        <w:trPr>
          <w:trHeight w:val="357"/>
        </w:trPr>
        <w:tc>
          <w:tcPr>
            <w:tcW w:w="443" w:type="dxa"/>
            <w:shd w:val="clear" w:color="auto" w:fill="auto"/>
            <w:noWrap/>
            <w:vAlign w:val="bottom"/>
            <w:hideMark/>
          </w:tcPr>
          <w:p w14:paraId="6ACB79DD"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bookmarkStart w:id="5" w:name="_Hlk116065612"/>
            <w:r w:rsidRPr="003E284C">
              <w:rPr>
                <w:rFonts w:ascii="Times New Roman" w:eastAsia="Times New Roman" w:hAnsi="Times New Roman" w:cs="Times New Roman"/>
                <w:sz w:val="18"/>
                <w:szCs w:val="18"/>
                <w:lang w:val="es-ES"/>
              </w:rPr>
              <w:t>P. R</w:t>
            </w:r>
          </w:p>
        </w:tc>
        <w:tc>
          <w:tcPr>
            <w:tcW w:w="486" w:type="dxa"/>
            <w:shd w:val="clear" w:color="auto" w:fill="auto"/>
            <w:noWrap/>
            <w:vAlign w:val="bottom"/>
            <w:hideMark/>
          </w:tcPr>
          <w:p w14:paraId="1B0F0DF2" w14:textId="51C82A39"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MUN</w:t>
            </w:r>
          </w:p>
        </w:tc>
        <w:tc>
          <w:tcPr>
            <w:tcW w:w="497" w:type="dxa"/>
            <w:shd w:val="clear" w:color="auto" w:fill="auto"/>
            <w:noWrap/>
            <w:vAlign w:val="bottom"/>
            <w:hideMark/>
          </w:tcPr>
          <w:p w14:paraId="2B96BDBB"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SEXO</w:t>
            </w:r>
          </w:p>
        </w:tc>
        <w:tc>
          <w:tcPr>
            <w:tcW w:w="572" w:type="dxa"/>
            <w:shd w:val="clear" w:color="auto" w:fill="auto"/>
            <w:noWrap/>
            <w:vAlign w:val="bottom"/>
            <w:hideMark/>
          </w:tcPr>
          <w:p w14:paraId="50F966FB"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ESTAT</w:t>
            </w:r>
          </w:p>
        </w:tc>
        <w:tc>
          <w:tcPr>
            <w:tcW w:w="512" w:type="dxa"/>
            <w:shd w:val="clear" w:color="auto" w:fill="auto"/>
            <w:noWrap/>
            <w:vAlign w:val="bottom"/>
            <w:hideMark/>
          </w:tcPr>
          <w:p w14:paraId="0AF07FEE"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EDAD</w:t>
            </w:r>
          </w:p>
        </w:tc>
        <w:tc>
          <w:tcPr>
            <w:tcW w:w="415" w:type="dxa"/>
            <w:shd w:val="clear" w:color="auto" w:fill="auto"/>
            <w:noWrap/>
            <w:vAlign w:val="bottom"/>
            <w:hideMark/>
          </w:tcPr>
          <w:p w14:paraId="476891A5"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FG</w:t>
            </w:r>
          </w:p>
        </w:tc>
        <w:tc>
          <w:tcPr>
            <w:tcW w:w="476" w:type="dxa"/>
            <w:shd w:val="clear" w:color="auto" w:fill="auto"/>
            <w:noWrap/>
            <w:vAlign w:val="bottom"/>
            <w:hideMark/>
          </w:tcPr>
          <w:p w14:paraId="11A84C06"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CRS</w:t>
            </w:r>
          </w:p>
        </w:tc>
        <w:tc>
          <w:tcPr>
            <w:tcW w:w="458" w:type="dxa"/>
            <w:shd w:val="clear" w:color="auto" w:fill="auto"/>
            <w:noWrap/>
            <w:vAlign w:val="bottom"/>
            <w:hideMark/>
          </w:tcPr>
          <w:p w14:paraId="007936EF" w14:textId="39BE3A1D"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ALB</w:t>
            </w:r>
          </w:p>
        </w:tc>
        <w:tc>
          <w:tcPr>
            <w:tcW w:w="476" w:type="dxa"/>
            <w:shd w:val="clear" w:color="auto" w:fill="auto"/>
            <w:noWrap/>
            <w:vAlign w:val="bottom"/>
            <w:hideMark/>
          </w:tcPr>
          <w:p w14:paraId="453D1D81"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IMC</w:t>
            </w:r>
          </w:p>
        </w:tc>
        <w:tc>
          <w:tcPr>
            <w:tcW w:w="386" w:type="dxa"/>
            <w:shd w:val="clear" w:color="auto" w:fill="auto"/>
            <w:noWrap/>
            <w:vAlign w:val="bottom"/>
            <w:hideMark/>
          </w:tcPr>
          <w:p w14:paraId="54A1BDE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PAS</w:t>
            </w:r>
          </w:p>
        </w:tc>
        <w:tc>
          <w:tcPr>
            <w:tcW w:w="408" w:type="dxa"/>
            <w:shd w:val="clear" w:color="auto" w:fill="auto"/>
            <w:noWrap/>
            <w:vAlign w:val="bottom"/>
            <w:hideMark/>
          </w:tcPr>
          <w:p w14:paraId="5BFFE6CB"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PAD</w:t>
            </w:r>
          </w:p>
        </w:tc>
        <w:tc>
          <w:tcPr>
            <w:tcW w:w="456" w:type="dxa"/>
            <w:shd w:val="clear" w:color="auto" w:fill="auto"/>
            <w:noWrap/>
            <w:vAlign w:val="bottom"/>
            <w:hideMark/>
          </w:tcPr>
          <w:p w14:paraId="0345CE58" w14:textId="303F9F62"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GLU</w:t>
            </w:r>
          </w:p>
        </w:tc>
        <w:tc>
          <w:tcPr>
            <w:tcW w:w="457" w:type="dxa"/>
            <w:shd w:val="clear" w:color="auto" w:fill="auto"/>
            <w:noWrap/>
            <w:vAlign w:val="bottom"/>
            <w:hideMark/>
          </w:tcPr>
          <w:p w14:paraId="2809BC38" w14:textId="2FD1DC4F"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U</w:t>
            </w:r>
          </w:p>
        </w:tc>
        <w:tc>
          <w:tcPr>
            <w:tcW w:w="476" w:type="dxa"/>
            <w:shd w:val="clear" w:color="auto" w:fill="auto"/>
            <w:noWrap/>
            <w:vAlign w:val="bottom"/>
            <w:hideMark/>
          </w:tcPr>
          <w:p w14:paraId="1886774E" w14:textId="20FD9C2A"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AU</w:t>
            </w:r>
          </w:p>
        </w:tc>
        <w:tc>
          <w:tcPr>
            <w:tcW w:w="456" w:type="dxa"/>
            <w:shd w:val="clear" w:color="auto" w:fill="auto"/>
            <w:noWrap/>
            <w:vAlign w:val="bottom"/>
            <w:hideMark/>
          </w:tcPr>
          <w:p w14:paraId="799BB656" w14:textId="2CE7EA3B"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CO</w:t>
            </w:r>
            <w:r w:rsidR="000F2617" w:rsidRPr="003E284C">
              <w:rPr>
                <w:rFonts w:ascii="Times New Roman" w:eastAsia="Times New Roman" w:hAnsi="Times New Roman" w:cs="Times New Roman"/>
                <w:sz w:val="18"/>
                <w:szCs w:val="18"/>
                <w:lang w:val="es-ES"/>
              </w:rPr>
              <w:t>L</w:t>
            </w:r>
          </w:p>
        </w:tc>
        <w:tc>
          <w:tcPr>
            <w:tcW w:w="508" w:type="dxa"/>
            <w:shd w:val="clear" w:color="auto" w:fill="auto"/>
            <w:noWrap/>
            <w:vAlign w:val="bottom"/>
            <w:hideMark/>
          </w:tcPr>
          <w:p w14:paraId="65AEFAA0" w14:textId="5811B0F3"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TRIG</w:t>
            </w:r>
          </w:p>
        </w:tc>
        <w:tc>
          <w:tcPr>
            <w:tcW w:w="482" w:type="dxa"/>
            <w:shd w:val="clear" w:color="auto" w:fill="auto"/>
            <w:noWrap/>
            <w:vAlign w:val="bottom"/>
            <w:hideMark/>
          </w:tcPr>
          <w:p w14:paraId="04D1AFDC" w14:textId="4A3E4EA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HDL</w:t>
            </w:r>
            <w:r w:rsidR="007955D5" w:rsidRPr="003E284C">
              <w:rPr>
                <w:rFonts w:ascii="Times New Roman" w:eastAsia="Times New Roman" w:hAnsi="Times New Roman" w:cs="Times New Roman"/>
                <w:sz w:val="18"/>
                <w:szCs w:val="18"/>
                <w:lang w:val="es-ES"/>
              </w:rPr>
              <w:t>c</w:t>
            </w:r>
          </w:p>
        </w:tc>
        <w:tc>
          <w:tcPr>
            <w:tcW w:w="476" w:type="dxa"/>
            <w:shd w:val="clear" w:color="auto" w:fill="auto"/>
            <w:noWrap/>
            <w:vAlign w:val="bottom"/>
            <w:hideMark/>
          </w:tcPr>
          <w:p w14:paraId="7B543554" w14:textId="535C2C51"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LDL</w:t>
            </w:r>
            <w:r w:rsidR="007955D5" w:rsidRPr="003E284C">
              <w:rPr>
                <w:rFonts w:ascii="Times New Roman" w:eastAsia="Times New Roman" w:hAnsi="Times New Roman" w:cs="Times New Roman"/>
                <w:sz w:val="18"/>
                <w:szCs w:val="18"/>
                <w:lang w:val="es-ES"/>
              </w:rPr>
              <w:t>c</w:t>
            </w:r>
          </w:p>
        </w:tc>
        <w:tc>
          <w:tcPr>
            <w:tcW w:w="429" w:type="dxa"/>
            <w:shd w:val="clear" w:color="auto" w:fill="auto"/>
            <w:noWrap/>
            <w:vAlign w:val="bottom"/>
            <w:hideMark/>
          </w:tcPr>
          <w:p w14:paraId="688ED05F"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IA</w:t>
            </w:r>
          </w:p>
        </w:tc>
      </w:tr>
      <w:tr w:rsidR="003E284C" w:rsidRPr="003E284C" w14:paraId="3A5DB1B6" w14:textId="77777777" w:rsidTr="0018154D">
        <w:trPr>
          <w:trHeight w:val="441"/>
        </w:trPr>
        <w:tc>
          <w:tcPr>
            <w:tcW w:w="443" w:type="dxa"/>
            <w:shd w:val="clear" w:color="auto" w:fill="auto"/>
            <w:noWrap/>
            <w:vAlign w:val="bottom"/>
            <w:hideMark/>
          </w:tcPr>
          <w:p w14:paraId="36951AEE"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ERO</w:t>
            </w:r>
          </w:p>
        </w:tc>
        <w:tc>
          <w:tcPr>
            <w:tcW w:w="486" w:type="dxa"/>
            <w:shd w:val="clear" w:color="auto" w:fill="auto"/>
            <w:noWrap/>
            <w:vAlign w:val="bottom"/>
            <w:hideMark/>
          </w:tcPr>
          <w:p w14:paraId="1136E837"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OLI</w:t>
            </w:r>
          </w:p>
        </w:tc>
        <w:tc>
          <w:tcPr>
            <w:tcW w:w="497" w:type="dxa"/>
            <w:shd w:val="clear" w:color="auto" w:fill="auto"/>
            <w:noWrap/>
            <w:vAlign w:val="center"/>
            <w:hideMark/>
          </w:tcPr>
          <w:p w14:paraId="027751F6"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F</w:t>
            </w:r>
          </w:p>
        </w:tc>
        <w:tc>
          <w:tcPr>
            <w:tcW w:w="572" w:type="dxa"/>
            <w:shd w:val="clear" w:color="auto" w:fill="auto"/>
            <w:noWrap/>
            <w:vAlign w:val="center"/>
            <w:hideMark/>
          </w:tcPr>
          <w:p w14:paraId="369004E3" w14:textId="4AA1FF00" w:rsidR="000852E2" w:rsidRPr="003E284C" w:rsidRDefault="005279AC"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C/</w:t>
            </w:r>
            <w:r w:rsidR="000852E2" w:rsidRPr="003E284C">
              <w:rPr>
                <w:rFonts w:ascii="Times New Roman" w:eastAsia="Times New Roman" w:hAnsi="Times New Roman" w:cs="Times New Roman"/>
                <w:sz w:val="18"/>
                <w:szCs w:val="18"/>
                <w:lang w:val="es-ES"/>
              </w:rPr>
              <w:t>D</w:t>
            </w:r>
          </w:p>
        </w:tc>
        <w:tc>
          <w:tcPr>
            <w:tcW w:w="512" w:type="dxa"/>
            <w:shd w:val="clear" w:color="auto" w:fill="auto"/>
            <w:noWrap/>
            <w:vAlign w:val="center"/>
            <w:hideMark/>
          </w:tcPr>
          <w:p w14:paraId="4E184CF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57</w:t>
            </w:r>
          </w:p>
        </w:tc>
        <w:tc>
          <w:tcPr>
            <w:tcW w:w="415" w:type="dxa"/>
            <w:shd w:val="clear" w:color="auto" w:fill="auto"/>
            <w:noWrap/>
            <w:vAlign w:val="center"/>
            <w:hideMark/>
          </w:tcPr>
          <w:p w14:paraId="154E4C32"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52</w:t>
            </w:r>
          </w:p>
        </w:tc>
        <w:tc>
          <w:tcPr>
            <w:tcW w:w="476" w:type="dxa"/>
            <w:shd w:val="clear" w:color="auto" w:fill="auto"/>
            <w:noWrap/>
            <w:vAlign w:val="center"/>
            <w:hideMark/>
          </w:tcPr>
          <w:p w14:paraId="77CDDC2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1.156</w:t>
            </w:r>
          </w:p>
        </w:tc>
        <w:tc>
          <w:tcPr>
            <w:tcW w:w="458" w:type="dxa"/>
            <w:shd w:val="clear" w:color="auto" w:fill="auto"/>
            <w:noWrap/>
            <w:vAlign w:val="center"/>
            <w:hideMark/>
          </w:tcPr>
          <w:p w14:paraId="2F848529"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150</w:t>
            </w:r>
          </w:p>
        </w:tc>
        <w:tc>
          <w:tcPr>
            <w:tcW w:w="476" w:type="dxa"/>
            <w:shd w:val="clear" w:color="auto" w:fill="auto"/>
            <w:noWrap/>
            <w:vAlign w:val="bottom"/>
            <w:hideMark/>
          </w:tcPr>
          <w:p w14:paraId="09F5556F"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24.64</w:t>
            </w:r>
          </w:p>
        </w:tc>
        <w:tc>
          <w:tcPr>
            <w:tcW w:w="386" w:type="dxa"/>
            <w:shd w:val="clear" w:color="auto" w:fill="auto"/>
            <w:noWrap/>
            <w:vAlign w:val="center"/>
            <w:hideMark/>
          </w:tcPr>
          <w:p w14:paraId="23DB2724"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110</w:t>
            </w:r>
          </w:p>
        </w:tc>
        <w:tc>
          <w:tcPr>
            <w:tcW w:w="408" w:type="dxa"/>
            <w:shd w:val="clear" w:color="auto" w:fill="auto"/>
            <w:noWrap/>
            <w:vAlign w:val="center"/>
            <w:hideMark/>
          </w:tcPr>
          <w:p w14:paraId="2979632D"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60</w:t>
            </w:r>
          </w:p>
        </w:tc>
        <w:tc>
          <w:tcPr>
            <w:tcW w:w="456" w:type="dxa"/>
            <w:shd w:val="clear" w:color="auto" w:fill="auto"/>
            <w:noWrap/>
            <w:vAlign w:val="center"/>
            <w:hideMark/>
          </w:tcPr>
          <w:p w14:paraId="30DE79AF"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249</w:t>
            </w:r>
          </w:p>
        </w:tc>
        <w:tc>
          <w:tcPr>
            <w:tcW w:w="457" w:type="dxa"/>
            <w:shd w:val="clear" w:color="auto" w:fill="auto"/>
            <w:noWrap/>
            <w:vAlign w:val="center"/>
            <w:hideMark/>
          </w:tcPr>
          <w:p w14:paraId="61EEFB39"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52.8</w:t>
            </w:r>
          </w:p>
        </w:tc>
        <w:tc>
          <w:tcPr>
            <w:tcW w:w="476" w:type="dxa"/>
            <w:shd w:val="clear" w:color="auto" w:fill="auto"/>
            <w:noWrap/>
            <w:vAlign w:val="center"/>
            <w:hideMark/>
          </w:tcPr>
          <w:p w14:paraId="2828B2F1"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4.74</w:t>
            </w:r>
          </w:p>
        </w:tc>
        <w:tc>
          <w:tcPr>
            <w:tcW w:w="456" w:type="dxa"/>
            <w:shd w:val="clear" w:color="auto" w:fill="auto"/>
            <w:noWrap/>
            <w:vAlign w:val="center"/>
            <w:hideMark/>
          </w:tcPr>
          <w:p w14:paraId="3C659D58"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202</w:t>
            </w:r>
          </w:p>
        </w:tc>
        <w:tc>
          <w:tcPr>
            <w:tcW w:w="508" w:type="dxa"/>
            <w:shd w:val="clear" w:color="auto" w:fill="auto"/>
            <w:noWrap/>
            <w:vAlign w:val="center"/>
            <w:hideMark/>
          </w:tcPr>
          <w:p w14:paraId="215211F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112</w:t>
            </w:r>
          </w:p>
        </w:tc>
        <w:tc>
          <w:tcPr>
            <w:tcW w:w="482" w:type="dxa"/>
            <w:shd w:val="clear" w:color="auto" w:fill="auto"/>
            <w:noWrap/>
            <w:vAlign w:val="center"/>
            <w:hideMark/>
          </w:tcPr>
          <w:p w14:paraId="6488C24B"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71</w:t>
            </w:r>
          </w:p>
        </w:tc>
        <w:tc>
          <w:tcPr>
            <w:tcW w:w="476" w:type="dxa"/>
            <w:shd w:val="clear" w:color="auto" w:fill="auto"/>
            <w:noWrap/>
            <w:vAlign w:val="center"/>
            <w:hideMark/>
          </w:tcPr>
          <w:p w14:paraId="6D92979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90.6</w:t>
            </w:r>
          </w:p>
        </w:tc>
        <w:tc>
          <w:tcPr>
            <w:tcW w:w="429" w:type="dxa"/>
            <w:shd w:val="clear" w:color="auto" w:fill="auto"/>
            <w:noWrap/>
            <w:vAlign w:val="center"/>
            <w:hideMark/>
          </w:tcPr>
          <w:p w14:paraId="2BCEDF6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2.8</w:t>
            </w:r>
          </w:p>
        </w:tc>
      </w:tr>
      <w:tr w:rsidR="003E284C" w:rsidRPr="003E284C" w14:paraId="04D92907" w14:textId="77777777" w:rsidTr="0018154D">
        <w:trPr>
          <w:trHeight w:val="135"/>
        </w:trPr>
        <w:tc>
          <w:tcPr>
            <w:tcW w:w="443" w:type="dxa"/>
            <w:shd w:val="clear" w:color="auto" w:fill="auto"/>
            <w:noWrap/>
            <w:vAlign w:val="bottom"/>
            <w:hideMark/>
          </w:tcPr>
          <w:p w14:paraId="3777628B"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ERO</w:t>
            </w:r>
          </w:p>
        </w:tc>
        <w:tc>
          <w:tcPr>
            <w:tcW w:w="486" w:type="dxa"/>
            <w:shd w:val="clear" w:color="auto" w:fill="auto"/>
            <w:noWrap/>
            <w:vAlign w:val="bottom"/>
            <w:hideMark/>
          </w:tcPr>
          <w:p w14:paraId="7A0C36A6"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OLI</w:t>
            </w:r>
          </w:p>
        </w:tc>
        <w:tc>
          <w:tcPr>
            <w:tcW w:w="497" w:type="dxa"/>
            <w:shd w:val="clear" w:color="auto" w:fill="auto"/>
            <w:noWrap/>
            <w:vAlign w:val="center"/>
            <w:hideMark/>
          </w:tcPr>
          <w:p w14:paraId="41997B6F"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M</w:t>
            </w:r>
          </w:p>
        </w:tc>
        <w:tc>
          <w:tcPr>
            <w:tcW w:w="572" w:type="dxa"/>
            <w:shd w:val="clear" w:color="auto" w:fill="auto"/>
            <w:noWrap/>
            <w:vAlign w:val="center"/>
            <w:hideMark/>
          </w:tcPr>
          <w:p w14:paraId="3821385A" w14:textId="2BC284F1" w:rsidR="000852E2" w:rsidRPr="003E284C" w:rsidRDefault="005279AC"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C/</w:t>
            </w:r>
            <w:r w:rsidR="000852E2" w:rsidRPr="003E284C">
              <w:rPr>
                <w:rFonts w:ascii="Times New Roman" w:eastAsia="Times New Roman" w:hAnsi="Times New Roman" w:cs="Times New Roman"/>
                <w:sz w:val="18"/>
                <w:szCs w:val="18"/>
                <w:lang w:val="es-ES"/>
              </w:rPr>
              <w:t>D</w:t>
            </w:r>
          </w:p>
        </w:tc>
        <w:tc>
          <w:tcPr>
            <w:tcW w:w="512" w:type="dxa"/>
            <w:shd w:val="clear" w:color="auto" w:fill="auto"/>
            <w:noWrap/>
            <w:vAlign w:val="center"/>
            <w:hideMark/>
          </w:tcPr>
          <w:p w14:paraId="6D7BA52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56</w:t>
            </w:r>
          </w:p>
        </w:tc>
        <w:tc>
          <w:tcPr>
            <w:tcW w:w="415" w:type="dxa"/>
            <w:shd w:val="clear" w:color="auto" w:fill="auto"/>
            <w:noWrap/>
            <w:vAlign w:val="center"/>
            <w:hideMark/>
          </w:tcPr>
          <w:p w14:paraId="3B7C3F9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50</w:t>
            </w:r>
          </w:p>
        </w:tc>
        <w:tc>
          <w:tcPr>
            <w:tcW w:w="476" w:type="dxa"/>
            <w:shd w:val="clear" w:color="auto" w:fill="auto"/>
            <w:noWrap/>
            <w:vAlign w:val="center"/>
            <w:hideMark/>
          </w:tcPr>
          <w:p w14:paraId="28A1072F"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1.152</w:t>
            </w:r>
          </w:p>
        </w:tc>
        <w:tc>
          <w:tcPr>
            <w:tcW w:w="458" w:type="dxa"/>
            <w:shd w:val="clear" w:color="auto" w:fill="auto"/>
            <w:noWrap/>
            <w:vAlign w:val="center"/>
            <w:hideMark/>
          </w:tcPr>
          <w:p w14:paraId="449D62CD"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150</w:t>
            </w:r>
          </w:p>
        </w:tc>
        <w:tc>
          <w:tcPr>
            <w:tcW w:w="476" w:type="dxa"/>
            <w:shd w:val="clear" w:color="auto" w:fill="auto"/>
            <w:noWrap/>
            <w:vAlign w:val="bottom"/>
            <w:hideMark/>
          </w:tcPr>
          <w:p w14:paraId="64E42C4F"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34.07</w:t>
            </w:r>
          </w:p>
        </w:tc>
        <w:tc>
          <w:tcPr>
            <w:tcW w:w="386" w:type="dxa"/>
            <w:shd w:val="clear" w:color="auto" w:fill="auto"/>
            <w:noWrap/>
            <w:vAlign w:val="center"/>
            <w:hideMark/>
          </w:tcPr>
          <w:p w14:paraId="2084CABD"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130</w:t>
            </w:r>
          </w:p>
        </w:tc>
        <w:tc>
          <w:tcPr>
            <w:tcW w:w="408" w:type="dxa"/>
            <w:shd w:val="clear" w:color="auto" w:fill="auto"/>
            <w:noWrap/>
            <w:vAlign w:val="center"/>
            <w:hideMark/>
          </w:tcPr>
          <w:p w14:paraId="216267B0"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80</w:t>
            </w:r>
          </w:p>
        </w:tc>
        <w:tc>
          <w:tcPr>
            <w:tcW w:w="456" w:type="dxa"/>
            <w:shd w:val="clear" w:color="auto" w:fill="auto"/>
            <w:noWrap/>
            <w:vAlign w:val="center"/>
            <w:hideMark/>
          </w:tcPr>
          <w:p w14:paraId="57309929"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192</w:t>
            </w:r>
          </w:p>
        </w:tc>
        <w:tc>
          <w:tcPr>
            <w:tcW w:w="457" w:type="dxa"/>
            <w:shd w:val="clear" w:color="auto" w:fill="auto"/>
            <w:noWrap/>
            <w:vAlign w:val="center"/>
            <w:hideMark/>
          </w:tcPr>
          <w:p w14:paraId="7E70AC02"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37.6</w:t>
            </w:r>
          </w:p>
        </w:tc>
        <w:tc>
          <w:tcPr>
            <w:tcW w:w="476" w:type="dxa"/>
            <w:shd w:val="clear" w:color="auto" w:fill="auto"/>
            <w:noWrap/>
            <w:vAlign w:val="center"/>
            <w:hideMark/>
          </w:tcPr>
          <w:p w14:paraId="4383BB11"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10.41</w:t>
            </w:r>
          </w:p>
        </w:tc>
        <w:tc>
          <w:tcPr>
            <w:tcW w:w="456" w:type="dxa"/>
            <w:shd w:val="clear" w:color="auto" w:fill="auto"/>
            <w:noWrap/>
            <w:vAlign w:val="center"/>
            <w:hideMark/>
          </w:tcPr>
          <w:p w14:paraId="2FAC5C36"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148</w:t>
            </w:r>
          </w:p>
        </w:tc>
        <w:tc>
          <w:tcPr>
            <w:tcW w:w="508" w:type="dxa"/>
            <w:shd w:val="clear" w:color="auto" w:fill="auto"/>
            <w:noWrap/>
            <w:vAlign w:val="center"/>
            <w:hideMark/>
          </w:tcPr>
          <w:p w14:paraId="025A3FB7"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249</w:t>
            </w:r>
          </w:p>
        </w:tc>
        <w:tc>
          <w:tcPr>
            <w:tcW w:w="482" w:type="dxa"/>
            <w:shd w:val="clear" w:color="auto" w:fill="auto"/>
            <w:noWrap/>
            <w:vAlign w:val="center"/>
            <w:hideMark/>
          </w:tcPr>
          <w:p w14:paraId="5B4AF684"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28</w:t>
            </w:r>
          </w:p>
        </w:tc>
        <w:tc>
          <w:tcPr>
            <w:tcW w:w="476" w:type="dxa"/>
            <w:shd w:val="clear" w:color="auto" w:fill="auto"/>
            <w:noWrap/>
            <w:vAlign w:val="center"/>
            <w:hideMark/>
          </w:tcPr>
          <w:p w14:paraId="65E01825"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90.4</w:t>
            </w:r>
          </w:p>
        </w:tc>
        <w:tc>
          <w:tcPr>
            <w:tcW w:w="429" w:type="dxa"/>
            <w:shd w:val="clear" w:color="auto" w:fill="auto"/>
            <w:noWrap/>
            <w:vAlign w:val="center"/>
            <w:hideMark/>
          </w:tcPr>
          <w:p w14:paraId="610B2D63"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5.3</w:t>
            </w:r>
          </w:p>
        </w:tc>
      </w:tr>
      <w:tr w:rsidR="003E284C" w:rsidRPr="003E284C" w14:paraId="3D0BA2EE" w14:textId="77777777" w:rsidTr="0018154D">
        <w:trPr>
          <w:trHeight w:val="357"/>
        </w:trPr>
        <w:tc>
          <w:tcPr>
            <w:tcW w:w="443" w:type="dxa"/>
            <w:shd w:val="clear" w:color="auto" w:fill="auto"/>
            <w:noWrap/>
            <w:vAlign w:val="bottom"/>
            <w:hideMark/>
          </w:tcPr>
          <w:p w14:paraId="1A07A0E6"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ERO</w:t>
            </w:r>
          </w:p>
        </w:tc>
        <w:tc>
          <w:tcPr>
            <w:tcW w:w="486" w:type="dxa"/>
            <w:shd w:val="clear" w:color="auto" w:fill="auto"/>
            <w:noWrap/>
            <w:vAlign w:val="bottom"/>
            <w:hideMark/>
          </w:tcPr>
          <w:p w14:paraId="31B4699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OLI</w:t>
            </w:r>
          </w:p>
        </w:tc>
        <w:tc>
          <w:tcPr>
            <w:tcW w:w="497" w:type="dxa"/>
            <w:shd w:val="clear" w:color="auto" w:fill="auto"/>
            <w:noWrap/>
            <w:vAlign w:val="center"/>
            <w:hideMark/>
          </w:tcPr>
          <w:p w14:paraId="71440ECF"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M</w:t>
            </w:r>
          </w:p>
        </w:tc>
        <w:tc>
          <w:tcPr>
            <w:tcW w:w="572" w:type="dxa"/>
            <w:shd w:val="clear" w:color="auto" w:fill="auto"/>
            <w:noWrap/>
            <w:vAlign w:val="center"/>
            <w:hideMark/>
          </w:tcPr>
          <w:p w14:paraId="5AF9218B" w14:textId="67B8F187" w:rsidR="000852E2" w:rsidRPr="003E284C" w:rsidRDefault="005279AC"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C/</w:t>
            </w:r>
            <w:r w:rsidR="000852E2" w:rsidRPr="003E284C">
              <w:rPr>
                <w:rFonts w:ascii="Times New Roman" w:eastAsia="Times New Roman" w:hAnsi="Times New Roman" w:cs="Times New Roman"/>
                <w:sz w:val="18"/>
                <w:szCs w:val="18"/>
                <w:lang w:val="es-ES"/>
              </w:rPr>
              <w:t>D</w:t>
            </w:r>
          </w:p>
        </w:tc>
        <w:tc>
          <w:tcPr>
            <w:tcW w:w="512" w:type="dxa"/>
            <w:shd w:val="clear" w:color="auto" w:fill="auto"/>
            <w:noWrap/>
            <w:vAlign w:val="center"/>
            <w:hideMark/>
          </w:tcPr>
          <w:p w14:paraId="2288C590"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75</w:t>
            </w:r>
          </w:p>
        </w:tc>
        <w:tc>
          <w:tcPr>
            <w:tcW w:w="415" w:type="dxa"/>
            <w:shd w:val="clear" w:color="auto" w:fill="auto"/>
            <w:noWrap/>
            <w:vAlign w:val="center"/>
            <w:hideMark/>
          </w:tcPr>
          <w:p w14:paraId="740FE6A6"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52</w:t>
            </w:r>
          </w:p>
        </w:tc>
        <w:tc>
          <w:tcPr>
            <w:tcW w:w="476" w:type="dxa"/>
            <w:shd w:val="clear" w:color="auto" w:fill="auto"/>
            <w:noWrap/>
            <w:vAlign w:val="center"/>
            <w:hideMark/>
          </w:tcPr>
          <w:p w14:paraId="21105722"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1.318</w:t>
            </w:r>
          </w:p>
        </w:tc>
        <w:tc>
          <w:tcPr>
            <w:tcW w:w="458" w:type="dxa"/>
            <w:shd w:val="clear" w:color="auto" w:fill="auto"/>
            <w:noWrap/>
            <w:vAlign w:val="center"/>
            <w:hideMark/>
          </w:tcPr>
          <w:p w14:paraId="0AEB6B54"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80</w:t>
            </w:r>
          </w:p>
        </w:tc>
        <w:tc>
          <w:tcPr>
            <w:tcW w:w="476" w:type="dxa"/>
            <w:shd w:val="clear" w:color="auto" w:fill="auto"/>
            <w:noWrap/>
            <w:vAlign w:val="bottom"/>
            <w:hideMark/>
          </w:tcPr>
          <w:p w14:paraId="04811CEF"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28.85</w:t>
            </w:r>
          </w:p>
        </w:tc>
        <w:tc>
          <w:tcPr>
            <w:tcW w:w="386" w:type="dxa"/>
            <w:shd w:val="clear" w:color="auto" w:fill="auto"/>
            <w:noWrap/>
            <w:vAlign w:val="center"/>
            <w:hideMark/>
          </w:tcPr>
          <w:p w14:paraId="683F9EC4"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120</w:t>
            </w:r>
          </w:p>
        </w:tc>
        <w:tc>
          <w:tcPr>
            <w:tcW w:w="408" w:type="dxa"/>
            <w:shd w:val="clear" w:color="auto" w:fill="auto"/>
            <w:noWrap/>
            <w:vAlign w:val="center"/>
            <w:hideMark/>
          </w:tcPr>
          <w:p w14:paraId="6BBAA9E8"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70</w:t>
            </w:r>
          </w:p>
        </w:tc>
        <w:tc>
          <w:tcPr>
            <w:tcW w:w="456" w:type="dxa"/>
            <w:shd w:val="clear" w:color="auto" w:fill="auto"/>
            <w:noWrap/>
            <w:vAlign w:val="center"/>
            <w:hideMark/>
          </w:tcPr>
          <w:p w14:paraId="731507E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85</w:t>
            </w:r>
          </w:p>
        </w:tc>
        <w:tc>
          <w:tcPr>
            <w:tcW w:w="457" w:type="dxa"/>
            <w:shd w:val="clear" w:color="auto" w:fill="auto"/>
            <w:noWrap/>
            <w:vAlign w:val="center"/>
            <w:hideMark/>
          </w:tcPr>
          <w:p w14:paraId="08DD85B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63.2</w:t>
            </w:r>
          </w:p>
        </w:tc>
        <w:tc>
          <w:tcPr>
            <w:tcW w:w="476" w:type="dxa"/>
            <w:shd w:val="clear" w:color="auto" w:fill="auto"/>
            <w:noWrap/>
            <w:vAlign w:val="center"/>
            <w:hideMark/>
          </w:tcPr>
          <w:p w14:paraId="35603C2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11</w:t>
            </w:r>
          </w:p>
        </w:tc>
        <w:tc>
          <w:tcPr>
            <w:tcW w:w="456" w:type="dxa"/>
            <w:shd w:val="clear" w:color="auto" w:fill="auto"/>
            <w:noWrap/>
            <w:vAlign w:val="center"/>
            <w:hideMark/>
          </w:tcPr>
          <w:p w14:paraId="47F0D9F2"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111</w:t>
            </w:r>
          </w:p>
        </w:tc>
        <w:tc>
          <w:tcPr>
            <w:tcW w:w="508" w:type="dxa"/>
            <w:shd w:val="clear" w:color="auto" w:fill="auto"/>
            <w:noWrap/>
            <w:vAlign w:val="center"/>
            <w:hideMark/>
          </w:tcPr>
          <w:p w14:paraId="7DE5E5B6"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96</w:t>
            </w:r>
          </w:p>
        </w:tc>
        <w:tc>
          <w:tcPr>
            <w:tcW w:w="482" w:type="dxa"/>
            <w:shd w:val="clear" w:color="auto" w:fill="auto"/>
            <w:noWrap/>
            <w:vAlign w:val="center"/>
            <w:hideMark/>
          </w:tcPr>
          <w:p w14:paraId="77AA7E49"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28</w:t>
            </w:r>
          </w:p>
        </w:tc>
        <w:tc>
          <w:tcPr>
            <w:tcW w:w="476" w:type="dxa"/>
            <w:shd w:val="clear" w:color="auto" w:fill="auto"/>
            <w:noWrap/>
            <w:vAlign w:val="center"/>
            <w:hideMark/>
          </w:tcPr>
          <w:p w14:paraId="62BBAA6F"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60.8</w:t>
            </w:r>
          </w:p>
        </w:tc>
        <w:tc>
          <w:tcPr>
            <w:tcW w:w="429" w:type="dxa"/>
            <w:shd w:val="clear" w:color="auto" w:fill="auto"/>
            <w:noWrap/>
            <w:vAlign w:val="center"/>
            <w:hideMark/>
          </w:tcPr>
          <w:p w14:paraId="54863E2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3.9</w:t>
            </w:r>
          </w:p>
        </w:tc>
      </w:tr>
      <w:tr w:rsidR="003E284C" w:rsidRPr="003E284C" w14:paraId="61988AB6" w14:textId="77777777" w:rsidTr="0018154D">
        <w:trPr>
          <w:trHeight w:val="357"/>
        </w:trPr>
        <w:tc>
          <w:tcPr>
            <w:tcW w:w="443" w:type="dxa"/>
            <w:shd w:val="clear" w:color="auto" w:fill="auto"/>
            <w:noWrap/>
            <w:vAlign w:val="bottom"/>
            <w:hideMark/>
          </w:tcPr>
          <w:p w14:paraId="02765DDB"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ERO</w:t>
            </w:r>
          </w:p>
        </w:tc>
        <w:tc>
          <w:tcPr>
            <w:tcW w:w="486" w:type="dxa"/>
            <w:shd w:val="clear" w:color="auto" w:fill="auto"/>
            <w:noWrap/>
            <w:vAlign w:val="bottom"/>
            <w:hideMark/>
          </w:tcPr>
          <w:p w14:paraId="11FB426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OLI</w:t>
            </w:r>
          </w:p>
        </w:tc>
        <w:tc>
          <w:tcPr>
            <w:tcW w:w="497" w:type="dxa"/>
            <w:shd w:val="clear" w:color="auto" w:fill="auto"/>
            <w:noWrap/>
            <w:vAlign w:val="center"/>
            <w:hideMark/>
          </w:tcPr>
          <w:p w14:paraId="6F2FF4FD"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M</w:t>
            </w:r>
          </w:p>
        </w:tc>
        <w:tc>
          <w:tcPr>
            <w:tcW w:w="572" w:type="dxa"/>
            <w:shd w:val="clear" w:color="auto" w:fill="auto"/>
            <w:noWrap/>
            <w:vAlign w:val="center"/>
            <w:hideMark/>
          </w:tcPr>
          <w:p w14:paraId="1DD670E5" w14:textId="6C32E160" w:rsidR="000852E2" w:rsidRPr="003E284C" w:rsidRDefault="005279AC"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C/</w:t>
            </w:r>
            <w:r w:rsidR="000852E2" w:rsidRPr="003E284C">
              <w:rPr>
                <w:rFonts w:ascii="Times New Roman" w:eastAsia="Times New Roman" w:hAnsi="Times New Roman" w:cs="Times New Roman"/>
                <w:sz w:val="18"/>
                <w:szCs w:val="18"/>
                <w:lang w:val="es-ES"/>
              </w:rPr>
              <w:t>D</w:t>
            </w:r>
          </w:p>
        </w:tc>
        <w:tc>
          <w:tcPr>
            <w:tcW w:w="512" w:type="dxa"/>
            <w:shd w:val="clear" w:color="auto" w:fill="auto"/>
            <w:noWrap/>
            <w:vAlign w:val="center"/>
            <w:hideMark/>
          </w:tcPr>
          <w:p w14:paraId="46B5B2B8"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85</w:t>
            </w:r>
          </w:p>
        </w:tc>
        <w:tc>
          <w:tcPr>
            <w:tcW w:w="415" w:type="dxa"/>
            <w:shd w:val="clear" w:color="auto" w:fill="auto"/>
            <w:noWrap/>
            <w:vAlign w:val="center"/>
            <w:hideMark/>
          </w:tcPr>
          <w:p w14:paraId="43961928"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51</w:t>
            </w:r>
          </w:p>
        </w:tc>
        <w:tc>
          <w:tcPr>
            <w:tcW w:w="476" w:type="dxa"/>
            <w:shd w:val="clear" w:color="auto" w:fill="auto"/>
            <w:noWrap/>
            <w:vAlign w:val="center"/>
            <w:hideMark/>
          </w:tcPr>
          <w:p w14:paraId="704FE4F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1.276</w:t>
            </w:r>
          </w:p>
        </w:tc>
        <w:tc>
          <w:tcPr>
            <w:tcW w:w="458" w:type="dxa"/>
            <w:shd w:val="clear" w:color="auto" w:fill="auto"/>
            <w:noWrap/>
            <w:vAlign w:val="center"/>
            <w:hideMark/>
          </w:tcPr>
          <w:p w14:paraId="441035AB"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10</w:t>
            </w:r>
          </w:p>
        </w:tc>
        <w:tc>
          <w:tcPr>
            <w:tcW w:w="476" w:type="dxa"/>
            <w:shd w:val="clear" w:color="auto" w:fill="auto"/>
            <w:noWrap/>
            <w:vAlign w:val="bottom"/>
            <w:hideMark/>
          </w:tcPr>
          <w:p w14:paraId="3CE7BBD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59.03</w:t>
            </w:r>
          </w:p>
        </w:tc>
        <w:tc>
          <w:tcPr>
            <w:tcW w:w="386" w:type="dxa"/>
            <w:shd w:val="clear" w:color="auto" w:fill="auto"/>
            <w:noWrap/>
            <w:vAlign w:val="center"/>
            <w:hideMark/>
          </w:tcPr>
          <w:p w14:paraId="211EBF7D"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124</w:t>
            </w:r>
          </w:p>
        </w:tc>
        <w:tc>
          <w:tcPr>
            <w:tcW w:w="408" w:type="dxa"/>
            <w:shd w:val="clear" w:color="auto" w:fill="auto"/>
            <w:noWrap/>
            <w:vAlign w:val="center"/>
            <w:hideMark/>
          </w:tcPr>
          <w:p w14:paraId="33A4ECB6"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77</w:t>
            </w:r>
          </w:p>
        </w:tc>
        <w:tc>
          <w:tcPr>
            <w:tcW w:w="456" w:type="dxa"/>
            <w:shd w:val="clear" w:color="auto" w:fill="auto"/>
            <w:noWrap/>
            <w:vAlign w:val="center"/>
            <w:hideMark/>
          </w:tcPr>
          <w:p w14:paraId="5919D4D6"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143</w:t>
            </w:r>
          </w:p>
        </w:tc>
        <w:tc>
          <w:tcPr>
            <w:tcW w:w="457" w:type="dxa"/>
            <w:shd w:val="clear" w:color="auto" w:fill="auto"/>
            <w:noWrap/>
            <w:vAlign w:val="center"/>
            <w:hideMark/>
          </w:tcPr>
          <w:p w14:paraId="4F0703F6"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28.3</w:t>
            </w:r>
          </w:p>
        </w:tc>
        <w:tc>
          <w:tcPr>
            <w:tcW w:w="476" w:type="dxa"/>
            <w:shd w:val="clear" w:color="auto" w:fill="auto"/>
            <w:noWrap/>
            <w:vAlign w:val="center"/>
            <w:hideMark/>
          </w:tcPr>
          <w:p w14:paraId="5B2FD59F"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8.41</w:t>
            </w:r>
          </w:p>
        </w:tc>
        <w:tc>
          <w:tcPr>
            <w:tcW w:w="456" w:type="dxa"/>
            <w:shd w:val="clear" w:color="auto" w:fill="auto"/>
            <w:noWrap/>
            <w:vAlign w:val="center"/>
            <w:hideMark/>
          </w:tcPr>
          <w:p w14:paraId="55232C1F"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193</w:t>
            </w:r>
          </w:p>
        </w:tc>
        <w:tc>
          <w:tcPr>
            <w:tcW w:w="508" w:type="dxa"/>
            <w:shd w:val="clear" w:color="auto" w:fill="auto"/>
            <w:noWrap/>
            <w:vAlign w:val="center"/>
            <w:hideMark/>
          </w:tcPr>
          <w:p w14:paraId="416088A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301</w:t>
            </w:r>
          </w:p>
        </w:tc>
        <w:tc>
          <w:tcPr>
            <w:tcW w:w="482" w:type="dxa"/>
            <w:shd w:val="clear" w:color="auto" w:fill="auto"/>
            <w:noWrap/>
            <w:vAlign w:val="center"/>
            <w:hideMark/>
          </w:tcPr>
          <w:p w14:paraId="2F67AEB6"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36</w:t>
            </w:r>
          </w:p>
        </w:tc>
        <w:tc>
          <w:tcPr>
            <w:tcW w:w="476" w:type="dxa"/>
            <w:shd w:val="clear" w:color="auto" w:fill="auto"/>
            <w:noWrap/>
            <w:vAlign w:val="center"/>
            <w:hideMark/>
          </w:tcPr>
          <w:p w14:paraId="37A64480"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118.4</w:t>
            </w:r>
          </w:p>
        </w:tc>
        <w:tc>
          <w:tcPr>
            <w:tcW w:w="429" w:type="dxa"/>
            <w:shd w:val="clear" w:color="auto" w:fill="auto"/>
            <w:noWrap/>
            <w:vAlign w:val="center"/>
            <w:hideMark/>
          </w:tcPr>
          <w:p w14:paraId="009EA7D0"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5.4</w:t>
            </w:r>
          </w:p>
        </w:tc>
      </w:tr>
      <w:tr w:rsidR="003E284C" w:rsidRPr="003E284C" w14:paraId="42FE964C" w14:textId="77777777" w:rsidTr="0018154D">
        <w:trPr>
          <w:trHeight w:val="357"/>
        </w:trPr>
        <w:tc>
          <w:tcPr>
            <w:tcW w:w="443" w:type="dxa"/>
            <w:shd w:val="clear" w:color="auto" w:fill="auto"/>
            <w:noWrap/>
            <w:vAlign w:val="bottom"/>
            <w:hideMark/>
          </w:tcPr>
          <w:p w14:paraId="340E5225"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ERO</w:t>
            </w:r>
          </w:p>
        </w:tc>
        <w:tc>
          <w:tcPr>
            <w:tcW w:w="486" w:type="dxa"/>
            <w:shd w:val="clear" w:color="auto" w:fill="auto"/>
            <w:noWrap/>
            <w:vAlign w:val="bottom"/>
            <w:hideMark/>
          </w:tcPr>
          <w:p w14:paraId="24721535"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OLI</w:t>
            </w:r>
          </w:p>
        </w:tc>
        <w:tc>
          <w:tcPr>
            <w:tcW w:w="497" w:type="dxa"/>
            <w:shd w:val="clear" w:color="auto" w:fill="auto"/>
            <w:noWrap/>
            <w:vAlign w:val="center"/>
            <w:hideMark/>
          </w:tcPr>
          <w:p w14:paraId="47A45BD5"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F</w:t>
            </w:r>
          </w:p>
        </w:tc>
        <w:tc>
          <w:tcPr>
            <w:tcW w:w="572" w:type="dxa"/>
            <w:shd w:val="clear" w:color="auto" w:fill="auto"/>
            <w:noWrap/>
            <w:vAlign w:val="center"/>
            <w:hideMark/>
          </w:tcPr>
          <w:p w14:paraId="0763E275" w14:textId="23025695" w:rsidR="000852E2" w:rsidRPr="003E284C" w:rsidRDefault="005279AC"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S/</w:t>
            </w:r>
            <w:r w:rsidR="000852E2" w:rsidRPr="003E284C">
              <w:rPr>
                <w:rFonts w:ascii="Times New Roman" w:eastAsia="Times New Roman" w:hAnsi="Times New Roman" w:cs="Times New Roman"/>
                <w:sz w:val="18"/>
                <w:szCs w:val="18"/>
                <w:lang w:val="es-ES"/>
              </w:rPr>
              <w:t>D</w:t>
            </w:r>
          </w:p>
        </w:tc>
        <w:tc>
          <w:tcPr>
            <w:tcW w:w="512" w:type="dxa"/>
            <w:shd w:val="clear" w:color="auto" w:fill="auto"/>
            <w:noWrap/>
            <w:vAlign w:val="center"/>
            <w:hideMark/>
          </w:tcPr>
          <w:p w14:paraId="1DF36172"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74</w:t>
            </w:r>
          </w:p>
        </w:tc>
        <w:tc>
          <w:tcPr>
            <w:tcW w:w="415" w:type="dxa"/>
            <w:shd w:val="clear" w:color="auto" w:fill="auto"/>
            <w:noWrap/>
            <w:vAlign w:val="center"/>
            <w:hideMark/>
          </w:tcPr>
          <w:p w14:paraId="1CEE1C12"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55</w:t>
            </w:r>
          </w:p>
        </w:tc>
        <w:tc>
          <w:tcPr>
            <w:tcW w:w="476" w:type="dxa"/>
            <w:shd w:val="clear" w:color="auto" w:fill="auto"/>
            <w:noWrap/>
            <w:vAlign w:val="center"/>
            <w:hideMark/>
          </w:tcPr>
          <w:p w14:paraId="75B7A737"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1.008</w:t>
            </w:r>
          </w:p>
        </w:tc>
        <w:tc>
          <w:tcPr>
            <w:tcW w:w="458" w:type="dxa"/>
            <w:shd w:val="clear" w:color="auto" w:fill="auto"/>
            <w:noWrap/>
            <w:vAlign w:val="center"/>
            <w:hideMark/>
          </w:tcPr>
          <w:p w14:paraId="2196F087"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10</w:t>
            </w:r>
          </w:p>
        </w:tc>
        <w:tc>
          <w:tcPr>
            <w:tcW w:w="476" w:type="dxa"/>
            <w:shd w:val="clear" w:color="auto" w:fill="auto"/>
            <w:noWrap/>
            <w:vAlign w:val="bottom"/>
            <w:hideMark/>
          </w:tcPr>
          <w:p w14:paraId="36963526"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37.47</w:t>
            </w:r>
          </w:p>
        </w:tc>
        <w:tc>
          <w:tcPr>
            <w:tcW w:w="386" w:type="dxa"/>
            <w:shd w:val="clear" w:color="auto" w:fill="auto"/>
            <w:noWrap/>
            <w:vAlign w:val="center"/>
            <w:hideMark/>
          </w:tcPr>
          <w:p w14:paraId="3B81BEEF"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134</w:t>
            </w:r>
          </w:p>
        </w:tc>
        <w:tc>
          <w:tcPr>
            <w:tcW w:w="408" w:type="dxa"/>
            <w:shd w:val="clear" w:color="auto" w:fill="auto"/>
            <w:noWrap/>
            <w:vAlign w:val="center"/>
            <w:hideMark/>
          </w:tcPr>
          <w:p w14:paraId="7B869F47"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62</w:t>
            </w:r>
          </w:p>
        </w:tc>
        <w:tc>
          <w:tcPr>
            <w:tcW w:w="456" w:type="dxa"/>
            <w:shd w:val="clear" w:color="auto" w:fill="auto"/>
            <w:noWrap/>
            <w:vAlign w:val="center"/>
            <w:hideMark/>
          </w:tcPr>
          <w:p w14:paraId="7699596E"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88</w:t>
            </w:r>
          </w:p>
        </w:tc>
        <w:tc>
          <w:tcPr>
            <w:tcW w:w="457" w:type="dxa"/>
            <w:shd w:val="clear" w:color="auto" w:fill="auto"/>
            <w:noWrap/>
            <w:vAlign w:val="center"/>
            <w:hideMark/>
          </w:tcPr>
          <w:p w14:paraId="7408CDDD"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46.3</w:t>
            </w:r>
          </w:p>
        </w:tc>
        <w:tc>
          <w:tcPr>
            <w:tcW w:w="476" w:type="dxa"/>
            <w:shd w:val="clear" w:color="auto" w:fill="auto"/>
            <w:noWrap/>
            <w:vAlign w:val="center"/>
            <w:hideMark/>
          </w:tcPr>
          <w:p w14:paraId="10CE8FB3"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5.81</w:t>
            </w:r>
          </w:p>
        </w:tc>
        <w:tc>
          <w:tcPr>
            <w:tcW w:w="456" w:type="dxa"/>
            <w:shd w:val="clear" w:color="auto" w:fill="auto"/>
            <w:noWrap/>
            <w:vAlign w:val="center"/>
            <w:hideMark/>
          </w:tcPr>
          <w:p w14:paraId="5F6B759B"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203</w:t>
            </w:r>
          </w:p>
        </w:tc>
        <w:tc>
          <w:tcPr>
            <w:tcW w:w="508" w:type="dxa"/>
            <w:shd w:val="clear" w:color="auto" w:fill="auto"/>
            <w:noWrap/>
            <w:vAlign w:val="center"/>
            <w:hideMark/>
          </w:tcPr>
          <w:p w14:paraId="388BA243"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154</w:t>
            </w:r>
          </w:p>
        </w:tc>
        <w:tc>
          <w:tcPr>
            <w:tcW w:w="482" w:type="dxa"/>
            <w:shd w:val="clear" w:color="auto" w:fill="auto"/>
            <w:noWrap/>
            <w:vAlign w:val="center"/>
            <w:hideMark/>
          </w:tcPr>
          <w:p w14:paraId="5FDCADD8"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55</w:t>
            </w:r>
          </w:p>
        </w:tc>
        <w:tc>
          <w:tcPr>
            <w:tcW w:w="476" w:type="dxa"/>
            <w:shd w:val="clear" w:color="auto" w:fill="auto"/>
            <w:noWrap/>
            <w:vAlign w:val="center"/>
            <w:hideMark/>
          </w:tcPr>
          <w:p w14:paraId="30061894"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107.4</w:t>
            </w:r>
          </w:p>
        </w:tc>
        <w:tc>
          <w:tcPr>
            <w:tcW w:w="429" w:type="dxa"/>
            <w:shd w:val="clear" w:color="auto" w:fill="auto"/>
            <w:noWrap/>
            <w:vAlign w:val="center"/>
            <w:hideMark/>
          </w:tcPr>
          <w:p w14:paraId="74E9A8D3"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3.7</w:t>
            </w:r>
          </w:p>
        </w:tc>
      </w:tr>
      <w:tr w:rsidR="003E284C" w:rsidRPr="003E284C" w14:paraId="10BDFEF2" w14:textId="77777777" w:rsidTr="0018154D">
        <w:trPr>
          <w:trHeight w:val="357"/>
        </w:trPr>
        <w:tc>
          <w:tcPr>
            <w:tcW w:w="443" w:type="dxa"/>
            <w:shd w:val="clear" w:color="auto" w:fill="auto"/>
            <w:noWrap/>
            <w:vAlign w:val="bottom"/>
            <w:hideMark/>
          </w:tcPr>
          <w:p w14:paraId="3BD8ADF6"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ERO</w:t>
            </w:r>
          </w:p>
        </w:tc>
        <w:tc>
          <w:tcPr>
            <w:tcW w:w="486" w:type="dxa"/>
            <w:shd w:val="clear" w:color="auto" w:fill="auto"/>
            <w:noWrap/>
            <w:vAlign w:val="bottom"/>
            <w:hideMark/>
          </w:tcPr>
          <w:p w14:paraId="029693BB"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OLI</w:t>
            </w:r>
          </w:p>
        </w:tc>
        <w:tc>
          <w:tcPr>
            <w:tcW w:w="497" w:type="dxa"/>
            <w:shd w:val="clear" w:color="auto" w:fill="auto"/>
            <w:noWrap/>
            <w:vAlign w:val="center"/>
            <w:hideMark/>
          </w:tcPr>
          <w:p w14:paraId="65AE2CD8"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F</w:t>
            </w:r>
          </w:p>
        </w:tc>
        <w:tc>
          <w:tcPr>
            <w:tcW w:w="572" w:type="dxa"/>
            <w:shd w:val="clear" w:color="auto" w:fill="auto"/>
            <w:noWrap/>
            <w:vAlign w:val="center"/>
            <w:hideMark/>
          </w:tcPr>
          <w:p w14:paraId="65FB5859" w14:textId="3209ABD5" w:rsidR="000852E2" w:rsidRPr="003E284C" w:rsidRDefault="005279AC"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S/</w:t>
            </w:r>
            <w:r w:rsidR="000852E2" w:rsidRPr="003E284C">
              <w:rPr>
                <w:rFonts w:ascii="Times New Roman" w:eastAsia="Times New Roman" w:hAnsi="Times New Roman" w:cs="Times New Roman"/>
                <w:sz w:val="18"/>
                <w:szCs w:val="18"/>
                <w:lang w:val="es-ES"/>
              </w:rPr>
              <w:t>D</w:t>
            </w:r>
          </w:p>
        </w:tc>
        <w:tc>
          <w:tcPr>
            <w:tcW w:w="512" w:type="dxa"/>
            <w:shd w:val="clear" w:color="auto" w:fill="auto"/>
            <w:noWrap/>
            <w:vAlign w:val="center"/>
            <w:hideMark/>
          </w:tcPr>
          <w:p w14:paraId="7679452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72</w:t>
            </w:r>
          </w:p>
        </w:tc>
        <w:tc>
          <w:tcPr>
            <w:tcW w:w="415" w:type="dxa"/>
            <w:shd w:val="clear" w:color="auto" w:fill="auto"/>
            <w:noWrap/>
            <w:vAlign w:val="center"/>
            <w:hideMark/>
          </w:tcPr>
          <w:p w14:paraId="255F5F9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55</w:t>
            </w:r>
          </w:p>
        </w:tc>
        <w:tc>
          <w:tcPr>
            <w:tcW w:w="476" w:type="dxa"/>
            <w:shd w:val="clear" w:color="auto" w:fill="auto"/>
            <w:noWrap/>
            <w:vAlign w:val="center"/>
            <w:hideMark/>
          </w:tcPr>
          <w:p w14:paraId="56E3A72E"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1.023</w:t>
            </w:r>
          </w:p>
        </w:tc>
        <w:tc>
          <w:tcPr>
            <w:tcW w:w="458" w:type="dxa"/>
            <w:shd w:val="clear" w:color="auto" w:fill="auto"/>
            <w:noWrap/>
            <w:vAlign w:val="center"/>
            <w:hideMark/>
          </w:tcPr>
          <w:p w14:paraId="769182C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10</w:t>
            </w:r>
          </w:p>
        </w:tc>
        <w:tc>
          <w:tcPr>
            <w:tcW w:w="476" w:type="dxa"/>
            <w:shd w:val="clear" w:color="auto" w:fill="auto"/>
            <w:noWrap/>
            <w:vAlign w:val="bottom"/>
            <w:hideMark/>
          </w:tcPr>
          <w:p w14:paraId="4753CC50"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24.87</w:t>
            </w:r>
          </w:p>
        </w:tc>
        <w:tc>
          <w:tcPr>
            <w:tcW w:w="386" w:type="dxa"/>
            <w:shd w:val="clear" w:color="auto" w:fill="auto"/>
            <w:noWrap/>
            <w:vAlign w:val="center"/>
            <w:hideMark/>
          </w:tcPr>
          <w:p w14:paraId="74D1EACE"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117</w:t>
            </w:r>
          </w:p>
        </w:tc>
        <w:tc>
          <w:tcPr>
            <w:tcW w:w="408" w:type="dxa"/>
            <w:shd w:val="clear" w:color="auto" w:fill="auto"/>
            <w:noWrap/>
            <w:vAlign w:val="center"/>
            <w:hideMark/>
          </w:tcPr>
          <w:p w14:paraId="3429E78F"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67</w:t>
            </w:r>
          </w:p>
        </w:tc>
        <w:tc>
          <w:tcPr>
            <w:tcW w:w="456" w:type="dxa"/>
            <w:shd w:val="clear" w:color="auto" w:fill="auto"/>
            <w:noWrap/>
            <w:vAlign w:val="center"/>
            <w:hideMark/>
          </w:tcPr>
          <w:p w14:paraId="46A52334"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78</w:t>
            </w:r>
          </w:p>
        </w:tc>
        <w:tc>
          <w:tcPr>
            <w:tcW w:w="457" w:type="dxa"/>
            <w:shd w:val="clear" w:color="auto" w:fill="auto"/>
            <w:noWrap/>
            <w:vAlign w:val="center"/>
            <w:hideMark/>
          </w:tcPr>
          <w:p w14:paraId="48445BF4"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43.8</w:t>
            </w:r>
          </w:p>
        </w:tc>
        <w:tc>
          <w:tcPr>
            <w:tcW w:w="476" w:type="dxa"/>
            <w:shd w:val="clear" w:color="auto" w:fill="auto"/>
            <w:noWrap/>
            <w:vAlign w:val="center"/>
            <w:hideMark/>
          </w:tcPr>
          <w:p w14:paraId="01888639"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4.96</w:t>
            </w:r>
          </w:p>
        </w:tc>
        <w:tc>
          <w:tcPr>
            <w:tcW w:w="456" w:type="dxa"/>
            <w:shd w:val="clear" w:color="auto" w:fill="auto"/>
            <w:noWrap/>
            <w:vAlign w:val="center"/>
            <w:hideMark/>
          </w:tcPr>
          <w:p w14:paraId="6D91DF5E"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157</w:t>
            </w:r>
          </w:p>
        </w:tc>
        <w:tc>
          <w:tcPr>
            <w:tcW w:w="508" w:type="dxa"/>
            <w:shd w:val="clear" w:color="auto" w:fill="auto"/>
            <w:noWrap/>
            <w:vAlign w:val="center"/>
            <w:hideMark/>
          </w:tcPr>
          <w:p w14:paraId="10330EDD"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256</w:t>
            </w:r>
          </w:p>
        </w:tc>
        <w:tc>
          <w:tcPr>
            <w:tcW w:w="482" w:type="dxa"/>
            <w:shd w:val="clear" w:color="auto" w:fill="auto"/>
            <w:noWrap/>
            <w:vAlign w:val="center"/>
            <w:hideMark/>
          </w:tcPr>
          <w:p w14:paraId="11CE0117"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37</w:t>
            </w:r>
          </w:p>
        </w:tc>
        <w:tc>
          <w:tcPr>
            <w:tcW w:w="476" w:type="dxa"/>
            <w:shd w:val="clear" w:color="auto" w:fill="auto"/>
            <w:noWrap/>
            <w:vAlign w:val="center"/>
            <w:hideMark/>
          </w:tcPr>
          <w:p w14:paraId="270C89CD"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88.6</w:t>
            </w:r>
          </w:p>
        </w:tc>
        <w:tc>
          <w:tcPr>
            <w:tcW w:w="429" w:type="dxa"/>
            <w:shd w:val="clear" w:color="auto" w:fill="auto"/>
            <w:noWrap/>
            <w:vAlign w:val="center"/>
            <w:hideMark/>
          </w:tcPr>
          <w:p w14:paraId="270F4B06"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4.2</w:t>
            </w:r>
          </w:p>
        </w:tc>
      </w:tr>
      <w:tr w:rsidR="003E284C" w:rsidRPr="003E284C" w14:paraId="49F1D858" w14:textId="77777777" w:rsidTr="0018154D">
        <w:trPr>
          <w:trHeight w:val="357"/>
        </w:trPr>
        <w:tc>
          <w:tcPr>
            <w:tcW w:w="443" w:type="dxa"/>
            <w:shd w:val="clear" w:color="auto" w:fill="auto"/>
            <w:noWrap/>
            <w:vAlign w:val="bottom"/>
            <w:hideMark/>
          </w:tcPr>
          <w:p w14:paraId="63EA549E"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ERO</w:t>
            </w:r>
          </w:p>
        </w:tc>
        <w:tc>
          <w:tcPr>
            <w:tcW w:w="486" w:type="dxa"/>
            <w:shd w:val="clear" w:color="auto" w:fill="auto"/>
            <w:noWrap/>
            <w:vAlign w:val="bottom"/>
            <w:hideMark/>
          </w:tcPr>
          <w:p w14:paraId="2FBD0EE9"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OLI</w:t>
            </w:r>
          </w:p>
        </w:tc>
        <w:tc>
          <w:tcPr>
            <w:tcW w:w="497" w:type="dxa"/>
            <w:shd w:val="clear" w:color="auto" w:fill="auto"/>
            <w:noWrap/>
            <w:vAlign w:val="center"/>
            <w:hideMark/>
          </w:tcPr>
          <w:p w14:paraId="02F1CE80"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F</w:t>
            </w:r>
          </w:p>
        </w:tc>
        <w:tc>
          <w:tcPr>
            <w:tcW w:w="572" w:type="dxa"/>
            <w:shd w:val="clear" w:color="auto" w:fill="auto"/>
            <w:noWrap/>
            <w:vAlign w:val="center"/>
            <w:hideMark/>
          </w:tcPr>
          <w:p w14:paraId="118BAD6A" w14:textId="474F4DB6" w:rsidR="000852E2" w:rsidRPr="003E284C" w:rsidRDefault="005279AC"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C/</w:t>
            </w:r>
            <w:r w:rsidR="000852E2" w:rsidRPr="003E284C">
              <w:rPr>
                <w:rFonts w:ascii="Times New Roman" w:eastAsia="Times New Roman" w:hAnsi="Times New Roman" w:cs="Times New Roman"/>
                <w:sz w:val="18"/>
                <w:szCs w:val="18"/>
                <w:lang w:val="es-ES"/>
              </w:rPr>
              <w:t>P</w:t>
            </w:r>
          </w:p>
        </w:tc>
        <w:tc>
          <w:tcPr>
            <w:tcW w:w="512" w:type="dxa"/>
            <w:shd w:val="clear" w:color="auto" w:fill="auto"/>
            <w:noWrap/>
            <w:vAlign w:val="center"/>
            <w:hideMark/>
          </w:tcPr>
          <w:p w14:paraId="368875BB"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57</w:t>
            </w:r>
          </w:p>
        </w:tc>
        <w:tc>
          <w:tcPr>
            <w:tcW w:w="415" w:type="dxa"/>
            <w:shd w:val="clear" w:color="auto" w:fill="auto"/>
            <w:noWrap/>
            <w:vAlign w:val="center"/>
            <w:hideMark/>
          </w:tcPr>
          <w:p w14:paraId="2C195695"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52</w:t>
            </w:r>
          </w:p>
        </w:tc>
        <w:tc>
          <w:tcPr>
            <w:tcW w:w="476" w:type="dxa"/>
            <w:shd w:val="clear" w:color="auto" w:fill="auto"/>
            <w:noWrap/>
            <w:vAlign w:val="center"/>
            <w:hideMark/>
          </w:tcPr>
          <w:p w14:paraId="631B6F30"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1.169</w:t>
            </w:r>
          </w:p>
        </w:tc>
        <w:tc>
          <w:tcPr>
            <w:tcW w:w="458" w:type="dxa"/>
            <w:shd w:val="clear" w:color="auto" w:fill="auto"/>
            <w:noWrap/>
            <w:vAlign w:val="center"/>
            <w:hideMark/>
          </w:tcPr>
          <w:p w14:paraId="2E857535"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10</w:t>
            </w:r>
          </w:p>
        </w:tc>
        <w:tc>
          <w:tcPr>
            <w:tcW w:w="476" w:type="dxa"/>
            <w:shd w:val="clear" w:color="auto" w:fill="auto"/>
            <w:noWrap/>
            <w:vAlign w:val="bottom"/>
            <w:hideMark/>
          </w:tcPr>
          <w:p w14:paraId="50EE33E4"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32.02</w:t>
            </w:r>
          </w:p>
        </w:tc>
        <w:tc>
          <w:tcPr>
            <w:tcW w:w="386" w:type="dxa"/>
            <w:shd w:val="clear" w:color="auto" w:fill="auto"/>
            <w:noWrap/>
            <w:vAlign w:val="center"/>
            <w:hideMark/>
          </w:tcPr>
          <w:p w14:paraId="5D499029"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116</w:t>
            </w:r>
          </w:p>
        </w:tc>
        <w:tc>
          <w:tcPr>
            <w:tcW w:w="408" w:type="dxa"/>
            <w:shd w:val="clear" w:color="auto" w:fill="auto"/>
            <w:noWrap/>
            <w:vAlign w:val="center"/>
            <w:hideMark/>
          </w:tcPr>
          <w:p w14:paraId="6A2C6908"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72</w:t>
            </w:r>
          </w:p>
        </w:tc>
        <w:tc>
          <w:tcPr>
            <w:tcW w:w="456" w:type="dxa"/>
            <w:shd w:val="clear" w:color="auto" w:fill="auto"/>
            <w:noWrap/>
            <w:vAlign w:val="center"/>
            <w:hideMark/>
          </w:tcPr>
          <w:p w14:paraId="44C64693"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109</w:t>
            </w:r>
          </w:p>
        </w:tc>
        <w:tc>
          <w:tcPr>
            <w:tcW w:w="457" w:type="dxa"/>
            <w:shd w:val="clear" w:color="auto" w:fill="auto"/>
            <w:noWrap/>
            <w:vAlign w:val="center"/>
            <w:hideMark/>
          </w:tcPr>
          <w:p w14:paraId="058E5A1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41.6</w:t>
            </w:r>
          </w:p>
        </w:tc>
        <w:tc>
          <w:tcPr>
            <w:tcW w:w="476" w:type="dxa"/>
            <w:shd w:val="clear" w:color="auto" w:fill="auto"/>
            <w:noWrap/>
            <w:vAlign w:val="center"/>
            <w:hideMark/>
          </w:tcPr>
          <w:p w14:paraId="41239C71"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4.93</w:t>
            </w:r>
          </w:p>
        </w:tc>
        <w:tc>
          <w:tcPr>
            <w:tcW w:w="456" w:type="dxa"/>
            <w:shd w:val="clear" w:color="auto" w:fill="auto"/>
            <w:noWrap/>
            <w:vAlign w:val="center"/>
            <w:hideMark/>
          </w:tcPr>
          <w:p w14:paraId="0E3584B4"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220</w:t>
            </w:r>
          </w:p>
        </w:tc>
        <w:tc>
          <w:tcPr>
            <w:tcW w:w="508" w:type="dxa"/>
            <w:shd w:val="clear" w:color="auto" w:fill="auto"/>
            <w:noWrap/>
            <w:vAlign w:val="center"/>
            <w:hideMark/>
          </w:tcPr>
          <w:p w14:paraId="3630A537"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222</w:t>
            </w:r>
          </w:p>
        </w:tc>
        <w:tc>
          <w:tcPr>
            <w:tcW w:w="482" w:type="dxa"/>
            <w:shd w:val="clear" w:color="auto" w:fill="auto"/>
            <w:noWrap/>
            <w:vAlign w:val="center"/>
            <w:hideMark/>
          </w:tcPr>
          <w:p w14:paraId="033EEED3"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55</w:t>
            </w:r>
          </w:p>
        </w:tc>
        <w:tc>
          <w:tcPr>
            <w:tcW w:w="476" w:type="dxa"/>
            <w:shd w:val="clear" w:color="auto" w:fill="auto"/>
            <w:noWrap/>
            <w:vAlign w:val="center"/>
            <w:hideMark/>
          </w:tcPr>
          <w:p w14:paraId="205CBED7"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121</w:t>
            </w:r>
          </w:p>
        </w:tc>
        <w:tc>
          <w:tcPr>
            <w:tcW w:w="429" w:type="dxa"/>
            <w:shd w:val="clear" w:color="auto" w:fill="auto"/>
            <w:noWrap/>
            <w:vAlign w:val="center"/>
            <w:hideMark/>
          </w:tcPr>
          <w:p w14:paraId="2111FBB3"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4</w:t>
            </w:r>
          </w:p>
        </w:tc>
      </w:tr>
      <w:tr w:rsidR="003E284C" w:rsidRPr="003E284C" w14:paraId="1EF9EDDA" w14:textId="77777777" w:rsidTr="0018154D">
        <w:trPr>
          <w:trHeight w:val="357"/>
        </w:trPr>
        <w:tc>
          <w:tcPr>
            <w:tcW w:w="443" w:type="dxa"/>
            <w:shd w:val="clear" w:color="auto" w:fill="auto"/>
            <w:noWrap/>
            <w:vAlign w:val="bottom"/>
            <w:hideMark/>
          </w:tcPr>
          <w:p w14:paraId="5E058B66"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ERO</w:t>
            </w:r>
          </w:p>
        </w:tc>
        <w:tc>
          <w:tcPr>
            <w:tcW w:w="486" w:type="dxa"/>
            <w:shd w:val="clear" w:color="auto" w:fill="auto"/>
            <w:noWrap/>
            <w:vAlign w:val="bottom"/>
            <w:hideMark/>
          </w:tcPr>
          <w:p w14:paraId="15C1A352"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OLI</w:t>
            </w:r>
          </w:p>
        </w:tc>
        <w:tc>
          <w:tcPr>
            <w:tcW w:w="497" w:type="dxa"/>
            <w:shd w:val="clear" w:color="auto" w:fill="auto"/>
            <w:noWrap/>
            <w:vAlign w:val="center"/>
            <w:hideMark/>
          </w:tcPr>
          <w:p w14:paraId="40A33D68"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F</w:t>
            </w:r>
          </w:p>
        </w:tc>
        <w:tc>
          <w:tcPr>
            <w:tcW w:w="572" w:type="dxa"/>
            <w:shd w:val="clear" w:color="auto" w:fill="auto"/>
            <w:noWrap/>
            <w:vAlign w:val="center"/>
            <w:hideMark/>
          </w:tcPr>
          <w:p w14:paraId="51779699" w14:textId="0EEA960B" w:rsidR="000852E2" w:rsidRPr="003E284C" w:rsidRDefault="005279AC"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S/</w:t>
            </w:r>
            <w:r w:rsidR="000852E2" w:rsidRPr="003E284C">
              <w:rPr>
                <w:rFonts w:ascii="Times New Roman" w:eastAsia="Times New Roman" w:hAnsi="Times New Roman" w:cs="Times New Roman"/>
                <w:sz w:val="18"/>
                <w:szCs w:val="18"/>
                <w:lang w:val="es-ES"/>
              </w:rPr>
              <w:t>D</w:t>
            </w:r>
          </w:p>
        </w:tc>
        <w:tc>
          <w:tcPr>
            <w:tcW w:w="512" w:type="dxa"/>
            <w:shd w:val="clear" w:color="auto" w:fill="auto"/>
            <w:noWrap/>
            <w:vAlign w:val="center"/>
            <w:hideMark/>
          </w:tcPr>
          <w:p w14:paraId="73D940E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76</w:t>
            </w:r>
          </w:p>
        </w:tc>
        <w:tc>
          <w:tcPr>
            <w:tcW w:w="415" w:type="dxa"/>
            <w:shd w:val="clear" w:color="auto" w:fill="auto"/>
            <w:noWrap/>
            <w:vAlign w:val="center"/>
            <w:hideMark/>
          </w:tcPr>
          <w:p w14:paraId="709C99A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53</w:t>
            </w:r>
          </w:p>
        </w:tc>
        <w:tc>
          <w:tcPr>
            <w:tcW w:w="476" w:type="dxa"/>
            <w:shd w:val="clear" w:color="auto" w:fill="auto"/>
            <w:noWrap/>
            <w:vAlign w:val="center"/>
            <w:hideMark/>
          </w:tcPr>
          <w:p w14:paraId="42BFF962"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1.020</w:t>
            </w:r>
          </w:p>
        </w:tc>
        <w:tc>
          <w:tcPr>
            <w:tcW w:w="458" w:type="dxa"/>
            <w:shd w:val="clear" w:color="auto" w:fill="auto"/>
            <w:noWrap/>
            <w:vAlign w:val="center"/>
            <w:hideMark/>
          </w:tcPr>
          <w:p w14:paraId="59CEEA5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10</w:t>
            </w:r>
          </w:p>
        </w:tc>
        <w:tc>
          <w:tcPr>
            <w:tcW w:w="476" w:type="dxa"/>
            <w:shd w:val="clear" w:color="auto" w:fill="auto"/>
            <w:noWrap/>
            <w:vAlign w:val="bottom"/>
            <w:hideMark/>
          </w:tcPr>
          <w:p w14:paraId="7201A961"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29.75</w:t>
            </w:r>
          </w:p>
        </w:tc>
        <w:tc>
          <w:tcPr>
            <w:tcW w:w="386" w:type="dxa"/>
            <w:shd w:val="clear" w:color="auto" w:fill="auto"/>
            <w:noWrap/>
            <w:vAlign w:val="center"/>
            <w:hideMark/>
          </w:tcPr>
          <w:p w14:paraId="44CBE5E6"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125</w:t>
            </w:r>
          </w:p>
        </w:tc>
        <w:tc>
          <w:tcPr>
            <w:tcW w:w="408" w:type="dxa"/>
            <w:shd w:val="clear" w:color="auto" w:fill="auto"/>
            <w:noWrap/>
            <w:vAlign w:val="center"/>
            <w:hideMark/>
          </w:tcPr>
          <w:p w14:paraId="5D3F858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70</w:t>
            </w:r>
          </w:p>
        </w:tc>
        <w:tc>
          <w:tcPr>
            <w:tcW w:w="456" w:type="dxa"/>
            <w:shd w:val="clear" w:color="auto" w:fill="auto"/>
            <w:noWrap/>
            <w:vAlign w:val="center"/>
            <w:hideMark/>
          </w:tcPr>
          <w:p w14:paraId="68F2E8EE"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89</w:t>
            </w:r>
          </w:p>
        </w:tc>
        <w:tc>
          <w:tcPr>
            <w:tcW w:w="457" w:type="dxa"/>
            <w:shd w:val="clear" w:color="auto" w:fill="auto"/>
            <w:noWrap/>
            <w:vAlign w:val="center"/>
            <w:hideMark/>
          </w:tcPr>
          <w:p w14:paraId="49DEDE95"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31.3</w:t>
            </w:r>
          </w:p>
        </w:tc>
        <w:tc>
          <w:tcPr>
            <w:tcW w:w="476" w:type="dxa"/>
            <w:shd w:val="clear" w:color="auto" w:fill="auto"/>
            <w:noWrap/>
            <w:vAlign w:val="center"/>
            <w:hideMark/>
          </w:tcPr>
          <w:p w14:paraId="060DD818"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7.4</w:t>
            </w:r>
          </w:p>
        </w:tc>
        <w:tc>
          <w:tcPr>
            <w:tcW w:w="456" w:type="dxa"/>
            <w:shd w:val="clear" w:color="auto" w:fill="auto"/>
            <w:noWrap/>
            <w:vAlign w:val="center"/>
            <w:hideMark/>
          </w:tcPr>
          <w:p w14:paraId="5C27BBA7"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241</w:t>
            </w:r>
          </w:p>
        </w:tc>
        <w:tc>
          <w:tcPr>
            <w:tcW w:w="508" w:type="dxa"/>
            <w:shd w:val="clear" w:color="auto" w:fill="auto"/>
            <w:noWrap/>
            <w:vAlign w:val="center"/>
            <w:hideMark/>
          </w:tcPr>
          <w:p w14:paraId="7B56D293"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260</w:t>
            </w:r>
          </w:p>
        </w:tc>
        <w:tc>
          <w:tcPr>
            <w:tcW w:w="482" w:type="dxa"/>
            <w:shd w:val="clear" w:color="auto" w:fill="auto"/>
            <w:noWrap/>
            <w:vAlign w:val="center"/>
            <w:hideMark/>
          </w:tcPr>
          <w:p w14:paraId="4CD95A98"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38</w:t>
            </w:r>
          </w:p>
        </w:tc>
        <w:tc>
          <w:tcPr>
            <w:tcW w:w="476" w:type="dxa"/>
            <w:shd w:val="clear" w:color="auto" w:fill="auto"/>
            <w:noWrap/>
            <w:vAlign w:val="center"/>
            <w:hideMark/>
          </w:tcPr>
          <w:p w14:paraId="49756989"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154.8</w:t>
            </w:r>
          </w:p>
        </w:tc>
        <w:tc>
          <w:tcPr>
            <w:tcW w:w="429" w:type="dxa"/>
            <w:shd w:val="clear" w:color="auto" w:fill="auto"/>
            <w:noWrap/>
            <w:vAlign w:val="center"/>
            <w:hideMark/>
          </w:tcPr>
          <w:p w14:paraId="385E9153"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6.3</w:t>
            </w:r>
          </w:p>
        </w:tc>
      </w:tr>
      <w:tr w:rsidR="003E284C" w:rsidRPr="003E284C" w14:paraId="2ADD4AF1" w14:textId="77777777" w:rsidTr="0018154D">
        <w:trPr>
          <w:trHeight w:val="342"/>
        </w:trPr>
        <w:tc>
          <w:tcPr>
            <w:tcW w:w="443" w:type="dxa"/>
            <w:shd w:val="clear" w:color="auto" w:fill="auto"/>
            <w:noWrap/>
            <w:vAlign w:val="bottom"/>
            <w:hideMark/>
          </w:tcPr>
          <w:p w14:paraId="75268FB8"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ERO</w:t>
            </w:r>
          </w:p>
        </w:tc>
        <w:tc>
          <w:tcPr>
            <w:tcW w:w="486" w:type="dxa"/>
            <w:shd w:val="clear" w:color="auto" w:fill="auto"/>
            <w:noWrap/>
            <w:vAlign w:val="bottom"/>
            <w:hideMark/>
          </w:tcPr>
          <w:p w14:paraId="636489A4"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OLI</w:t>
            </w:r>
          </w:p>
        </w:tc>
        <w:tc>
          <w:tcPr>
            <w:tcW w:w="497" w:type="dxa"/>
            <w:shd w:val="clear" w:color="auto" w:fill="auto"/>
            <w:noWrap/>
            <w:vAlign w:val="center"/>
            <w:hideMark/>
          </w:tcPr>
          <w:p w14:paraId="230145E7"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M</w:t>
            </w:r>
          </w:p>
        </w:tc>
        <w:tc>
          <w:tcPr>
            <w:tcW w:w="572" w:type="dxa"/>
            <w:shd w:val="clear" w:color="auto" w:fill="auto"/>
            <w:noWrap/>
            <w:vAlign w:val="center"/>
            <w:hideMark/>
          </w:tcPr>
          <w:p w14:paraId="02E362E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ND</w:t>
            </w:r>
          </w:p>
        </w:tc>
        <w:tc>
          <w:tcPr>
            <w:tcW w:w="512" w:type="dxa"/>
            <w:shd w:val="clear" w:color="auto" w:fill="auto"/>
            <w:noWrap/>
            <w:vAlign w:val="center"/>
            <w:hideMark/>
          </w:tcPr>
          <w:p w14:paraId="6856AD75"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84</w:t>
            </w:r>
          </w:p>
        </w:tc>
        <w:tc>
          <w:tcPr>
            <w:tcW w:w="415" w:type="dxa"/>
            <w:shd w:val="clear" w:color="auto" w:fill="auto"/>
            <w:noWrap/>
            <w:vAlign w:val="center"/>
            <w:hideMark/>
          </w:tcPr>
          <w:p w14:paraId="60494469"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59</w:t>
            </w:r>
          </w:p>
        </w:tc>
        <w:tc>
          <w:tcPr>
            <w:tcW w:w="476" w:type="dxa"/>
            <w:shd w:val="clear" w:color="auto" w:fill="auto"/>
            <w:noWrap/>
            <w:vAlign w:val="center"/>
            <w:hideMark/>
          </w:tcPr>
          <w:p w14:paraId="75D257FE"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1.138</w:t>
            </w:r>
          </w:p>
        </w:tc>
        <w:tc>
          <w:tcPr>
            <w:tcW w:w="458" w:type="dxa"/>
            <w:shd w:val="clear" w:color="auto" w:fill="auto"/>
            <w:noWrap/>
            <w:vAlign w:val="center"/>
            <w:hideMark/>
          </w:tcPr>
          <w:p w14:paraId="2186A209"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10</w:t>
            </w:r>
          </w:p>
        </w:tc>
        <w:tc>
          <w:tcPr>
            <w:tcW w:w="476" w:type="dxa"/>
            <w:shd w:val="clear" w:color="auto" w:fill="auto"/>
            <w:noWrap/>
            <w:vAlign w:val="bottom"/>
            <w:hideMark/>
          </w:tcPr>
          <w:p w14:paraId="4503095D"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24.69</w:t>
            </w:r>
          </w:p>
        </w:tc>
        <w:tc>
          <w:tcPr>
            <w:tcW w:w="386" w:type="dxa"/>
            <w:shd w:val="clear" w:color="auto" w:fill="auto"/>
            <w:noWrap/>
            <w:vAlign w:val="center"/>
            <w:hideMark/>
          </w:tcPr>
          <w:p w14:paraId="208B0350"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133</w:t>
            </w:r>
          </w:p>
        </w:tc>
        <w:tc>
          <w:tcPr>
            <w:tcW w:w="408" w:type="dxa"/>
            <w:shd w:val="clear" w:color="auto" w:fill="auto"/>
            <w:noWrap/>
            <w:vAlign w:val="center"/>
            <w:hideMark/>
          </w:tcPr>
          <w:p w14:paraId="100AD554"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68</w:t>
            </w:r>
          </w:p>
        </w:tc>
        <w:tc>
          <w:tcPr>
            <w:tcW w:w="456" w:type="dxa"/>
            <w:shd w:val="clear" w:color="auto" w:fill="auto"/>
            <w:noWrap/>
            <w:vAlign w:val="center"/>
            <w:hideMark/>
          </w:tcPr>
          <w:p w14:paraId="0AA6B303"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94</w:t>
            </w:r>
          </w:p>
        </w:tc>
        <w:tc>
          <w:tcPr>
            <w:tcW w:w="457" w:type="dxa"/>
            <w:shd w:val="clear" w:color="auto" w:fill="auto"/>
            <w:noWrap/>
            <w:vAlign w:val="center"/>
            <w:hideMark/>
          </w:tcPr>
          <w:p w14:paraId="382E361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25.4</w:t>
            </w:r>
          </w:p>
        </w:tc>
        <w:tc>
          <w:tcPr>
            <w:tcW w:w="476" w:type="dxa"/>
            <w:shd w:val="clear" w:color="auto" w:fill="auto"/>
            <w:noWrap/>
            <w:vAlign w:val="center"/>
            <w:hideMark/>
          </w:tcPr>
          <w:p w14:paraId="5FDE969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6.55</w:t>
            </w:r>
          </w:p>
        </w:tc>
        <w:tc>
          <w:tcPr>
            <w:tcW w:w="456" w:type="dxa"/>
            <w:shd w:val="clear" w:color="auto" w:fill="auto"/>
            <w:noWrap/>
            <w:vAlign w:val="center"/>
            <w:hideMark/>
          </w:tcPr>
          <w:p w14:paraId="79448841"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158</w:t>
            </w:r>
          </w:p>
        </w:tc>
        <w:tc>
          <w:tcPr>
            <w:tcW w:w="508" w:type="dxa"/>
            <w:shd w:val="clear" w:color="auto" w:fill="auto"/>
            <w:noWrap/>
            <w:vAlign w:val="center"/>
            <w:hideMark/>
          </w:tcPr>
          <w:p w14:paraId="552C1E8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103</w:t>
            </w:r>
          </w:p>
        </w:tc>
        <w:tc>
          <w:tcPr>
            <w:tcW w:w="482" w:type="dxa"/>
            <w:shd w:val="clear" w:color="auto" w:fill="auto"/>
            <w:noWrap/>
            <w:vAlign w:val="center"/>
            <w:hideMark/>
          </w:tcPr>
          <w:p w14:paraId="189CC14B"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46</w:t>
            </w:r>
          </w:p>
        </w:tc>
        <w:tc>
          <w:tcPr>
            <w:tcW w:w="476" w:type="dxa"/>
            <w:shd w:val="clear" w:color="auto" w:fill="auto"/>
            <w:noWrap/>
            <w:vAlign w:val="center"/>
            <w:hideMark/>
          </w:tcPr>
          <w:p w14:paraId="50B02B51"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80.4</w:t>
            </w:r>
          </w:p>
        </w:tc>
        <w:tc>
          <w:tcPr>
            <w:tcW w:w="429" w:type="dxa"/>
            <w:shd w:val="clear" w:color="auto" w:fill="auto"/>
            <w:noWrap/>
            <w:vAlign w:val="center"/>
            <w:hideMark/>
          </w:tcPr>
          <w:p w14:paraId="117AB0C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3.4</w:t>
            </w:r>
          </w:p>
        </w:tc>
      </w:tr>
      <w:tr w:rsidR="003E284C" w:rsidRPr="003E284C" w14:paraId="07BB4DA7" w14:textId="77777777" w:rsidTr="0018154D">
        <w:trPr>
          <w:trHeight w:val="342"/>
        </w:trPr>
        <w:tc>
          <w:tcPr>
            <w:tcW w:w="443" w:type="dxa"/>
            <w:shd w:val="clear" w:color="auto" w:fill="auto"/>
            <w:noWrap/>
            <w:vAlign w:val="bottom"/>
            <w:hideMark/>
          </w:tcPr>
          <w:p w14:paraId="0690C84F"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ERO</w:t>
            </w:r>
          </w:p>
        </w:tc>
        <w:tc>
          <w:tcPr>
            <w:tcW w:w="486" w:type="dxa"/>
            <w:shd w:val="clear" w:color="auto" w:fill="auto"/>
            <w:noWrap/>
            <w:vAlign w:val="bottom"/>
            <w:hideMark/>
          </w:tcPr>
          <w:p w14:paraId="7B61407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CH</w:t>
            </w:r>
          </w:p>
        </w:tc>
        <w:tc>
          <w:tcPr>
            <w:tcW w:w="497" w:type="dxa"/>
            <w:shd w:val="clear" w:color="auto" w:fill="auto"/>
            <w:noWrap/>
            <w:vAlign w:val="center"/>
            <w:hideMark/>
          </w:tcPr>
          <w:p w14:paraId="5CF3C151"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F</w:t>
            </w:r>
          </w:p>
        </w:tc>
        <w:tc>
          <w:tcPr>
            <w:tcW w:w="572" w:type="dxa"/>
            <w:shd w:val="clear" w:color="auto" w:fill="auto"/>
            <w:noWrap/>
            <w:vAlign w:val="center"/>
            <w:hideMark/>
          </w:tcPr>
          <w:p w14:paraId="0E4C2C67" w14:textId="0EE8CD82" w:rsidR="000852E2" w:rsidRPr="003E284C" w:rsidRDefault="005279AC"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C/</w:t>
            </w:r>
            <w:r w:rsidR="000852E2" w:rsidRPr="003E284C">
              <w:rPr>
                <w:rFonts w:ascii="Times New Roman" w:eastAsia="Times New Roman" w:hAnsi="Times New Roman" w:cs="Times New Roman"/>
                <w:sz w:val="18"/>
                <w:szCs w:val="18"/>
                <w:lang w:val="es-ES"/>
              </w:rPr>
              <w:t>D</w:t>
            </w:r>
          </w:p>
        </w:tc>
        <w:tc>
          <w:tcPr>
            <w:tcW w:w="512" w:type="dxa"/>
            <w:shd w:val="clear" w:color="auto" w:fill="auto"/>
            <w:noWrap/>
            <w:vAlign w:val="bottom"/>
            <w:hideMark/>
          </w:tcPr>
          <w:p w14:paraId="1B501515"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53</w:t>
            </w:r>
          </w:p>
        </w:tc>
        <w:tc>
          <w:tcPr>
            <w:tcW w:w="415" w:type="dxa"/>
            <w:shd w:val="clear" w:color="auto" w:fill="auto"/>
            <w:noWrap/>
            <w:vAlign w:val="bottom"/>
            <w:hideMark/>
          </w:tcPr>
          <w:p w14:paraId="6A4579CD"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59</w:t>
            </w:r>
          </w:p>
        </w:tc>
        <w:tc>
          <w:tcPr>
            <w:tcW w:w="476" w:type="dxa"/>
            <w:shd w:val="clear" w:color="auto" w:fill="auto"/>
            <w:noWrap/>
            <w:vAlign w:val="bottom"/>
            <w:hideMark/>
          </w:tcPr>
          <w:p w14:paraId="065EB000"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1.07</w:t>
            </w:r>
          </w:p>
        </w:tc>
        <w:tc>
          <w:tcPr>
            <w:tcW w:w="458" w:type="dxa"/>
            <w:shd w:val="clear" w:color="auto" w:fill="auto"/>
            <w:noWrap/>
            <w:vAlign w:val="bottom"/>
            <w:hideMark/>
          </w:tcPr>
          <w:p w14:paraId="7992B382"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8</w:t>
            </w:r>
          </w:p>
        </w:tc>
        <w:tc>
          <w:tcPr>
            <w:tcW w:w="476" w:type="dxa"/>
            <w:shd w:val="clear" w:color="auto" w:fill="auto"/>
            <w:noWrap/>
            <w:vAlign w:val="bottom"/>
            <w:hideMark/>
          </w:tcPr>
          <w:p w14:paraId="0BFD7552"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26.5</w:t>
            </w:r>
          </w:p>
        </w:tc>
        <w:tc>
          <w:tcPr>
            <w:tcW w:w="386" w:type="dxa"/>
            <w:shd w:val="clear" w:color="auto" w:fill="auto"/>
            <w:noWrap/>
            <w:vAlign w:val="bottom"/>
            <w:hideMark/>
          </w:tcPr>
          <w:p w14:paraId="158A7E45"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113</w:t>
            </w:r>
          </w:p>
        </w:tc>
        <w:tc>
          <w:tcPr>
            <w:tcW w:w="408" w:type="dxa"/>
            <w:shd w:val="clear" w:color="auto" w:fill="auto"/>
            <w:noWrap/>
            <w:vAlign w:val="bottom"/>
            <w:hideMark/>
          </w:tcPr>
          <w:p w14:paraId="7D1AC85F"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72</w:t>
            </w:r>
          </w:p>
        </w:tc>
        <w:tc>
          <w:tcPr>
            <w:tcW w:w="456" w:type="dxa"/>
            <w:shd w:val="clear" w:color="auto" w:fill="auto"/>
            <w:noWrap/>
            <w:vAlign w:val="bottom"/>
            <w:hideMark/>
          </w:tcPr>
          <w:p w14:paraId="0785E445"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136</w:t>
            </w:r>
          </w:p>
        </w:tc>
        <w:tc>
          <w:tcPr>
            <w:tcW w:w="457" w:type="dxa"/>
            <w:shd w:val="clear" w:color="auto" w:fill="auto"/>
            <w:noWrap/>
            <w:vAlign w:val="bottom"/>
            <w:hideMark/>
          </w:tcPr>
          <w:p w14:paraId="3692D301"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51</w:t>
            </w:r>
          </w:p>
        </w:tc>
        <w:tc>
          <w:tcPr>
            <w:tcW w:w="476" w:type="dxa"/>
            <w:shd w:val="clear" w:color="auto" w:fill="auto"/>
            <w:noWrap/>
            <w:vAlign w:val="bottom"/>
            <w:hideMark/>
          </w:tcPr>
          <w:p w14:paraId="39B5A016"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7.5</w:t>
            </w:r>
          </w:p>
        </w:tc>
        <w:tc>
          <w:tcPr>
            <w:tcW w:w="456" w:type="dxa"/>
            <w:shd w:val="clear" w:color="auto" w:fill="auto"/>
            <w:noWrap/>
            <w:vAlign w:val="bottom"/>
            <w:hideMark/>
          </w:tcPr>
          <w:p w14:paraId="07CB33D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211</w:t>
            </w:r>
          </w:p>
        </w:tc>
        <w:tc>
          <w:tcPr>
            <w:tcW w:w="508" w:type="dxa"/>
            <w:shd w:val="clear" w:color="auto" w:fill="auto"/>
            <w:noWrap/>
            <w:vAlign w:val="bottom"/>
            <w:hideMark/>
          </w:tcPr>
          <w:p w14:paraId="1990ED17"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162</w:t>
            </w:r>
          </w:p>
        </w:tc>
        <w:tc>
          <w:tcPr>
            <w:tcW w:w="482" w:type="dxa"/>
            <w:shd w:val="clear" w:color="auto" w:fill="auto"/>
            <w:noWrap/>
            <w:vAlign w:val="bottom"/>
            <w:hideMark/>
          </w:tcPr>
          <w:p w14:paraId="67E45C5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45</w:t>
            </w:r>
          </w:p>
        </w:tc>
        <w:tc>
          <w:tcPr>
            <w:tcW w:w="476" w:type="dxa"/>
            <w:shd w:val="clear" w:color="auto" w:fill="auto"/>
            <w:noWrap/>
            <w:vAlign w:val="bottom"/>
            <w:hideMark/>
          </w:tcPr>
          <w:p w14:paraId="3EB7D019"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123</w:t>
            </w:r>
          </w:p>
        </w:tc>
        <w:tc>
          <w:tcPr>
            <w:tcW w:w="429" w:type="dxa"/>
            <w:shd w:val="clear" w:color="auto" w:fill="auto"/>
            <w:noWrap/>
            <w:vAlign w:val="bottom"/>
            <w:hideMark/>
          </w:tcPr>
          <w:p w14:paraId="2CB71C09"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4.69</w:t>
            </w:r>
          </w:p>
        </w:tc>
      </w:tr>
      <w:tr w:rsidR="003E284C" w:rsidRPr="003E284C" w14:paraId="59A4A196" w14:textId="77777777" w:rsidTr="0018154D">
        <w:trPr>
          <w:trHeight w:val="342"/>
        </w:trPr>
        <w:tc>
          <w:tcPr>
            <w:tcW w:w="443" w:type="dxa"/>
            <w:shd w:val="clear" w:color="auto" w:fill="auto"/>
            <w:noWrap/>
            <w:vAlign w:val="bottom"/>
            <w:hideMark/>
          </w:tcPr>
          <w:p w14:paraId="379EC4F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ERO</w:t>
            </w:r>
          </w:p>
        </w:tc>
        <w:tc>
          <w:tcPr>
            <w:tcW w:w="486" w:type="dxa"/>
            <w:shd w:val="clear" w:color="auto" w:fill="auto"/>
            <w:noWrap/>
            <w:vAlign w:val="bottom"/>
            <w:hideMark/>
          </w:tcPr>
          <w:p w14:paraId="60F78555"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CH</w:t>
            </w:r>
          </w:p>
        </w:tc>
        <w:tc>
          <w:tcPr>
            <w:tcW w:w="497" w:type="dxa"/>
            <w:shd w:val="clear" w:color="auto" w:fill="auto"/>
            <w:noWrap/>
            <w:vAlign w:val="center"/>
            <w:hideMark/>
          </w:tcPr>
          <w:p w14:paraId="12C2F7E8"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F</w:t>
            </w:r>
          </w:p>
        </w:tc>
        <w:tc>
          <w:tcPr>
            <w:tcW w:w="572" w:type="dxa"/>
            <w:shd w:val="clear" w:color="auto" w:fill="auto"/>
            <w:noWrap/>
            <w:vAlign w:val="center"/>
            <w:hideMark/>
          </w:tcPr>
          <w:p w14:paraId="5CAD3394" w14:textId="5B1C06C9" w:rsidR="000852E2" w:rsidRPr="003E284C" w:rsidRDefault="005279AC"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C/</w:t>
            </w:r>
            <w:r w:rsidR="000852E2" w:rsidRPr="003E284C">
              <w:rPr>
                <w:rFonts w:ascii="Times New Roman" w:eastAsia="Times New Roman" w:hAnsi="Times New Roman" w:cs="Times New Roman"/>
                <w:sz w:val="18"/>
                <w:szCs w:val="18"/>
                <w:lang w:val="es-ES"/>
              </w:rPr>
              <w:t>D</w:t>
            </w:r>
          </w:p>
        </w:tc>
        <w:tc>
          <w:tcPr>
            <w:tcW w:w="512" w:type="dxa"/>
            <w:shd w:val="clear" w:color="auto" w:fill="auto"/>
            <w:noWrap/>
            <w:vAlign w:val="bottom"/>
            <w:hideMark/>
          </w:tcPr>
          <w:p w14:paraId="7BA0ACB9"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85</w:t>
            </w:r>
          </w:p>
        </w:tc>
        <w:tc>
          <w:tcPr>
            <w:tcW w:w="415" w:type="dxa"/>
            <w:shd w:val="clear" w:color="auto" w:fill="auto"/>
            <w:noWrap/>
            <w:vAlign w:val="bottom"/>
            <w:hideMark/>
          </w:tcPr>
          <w:p w14:paraId="5E0F2DFD"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54</w:t>
            </w:r>
          </w:p>
        </w:tc>
        <w:tc>
          <w:tcPr>
            <w:tcW w:w="476" w:type="dxa"/>
            <w:shd w:val="clear" w:color="auto" w:fill="auto"/>
            <w:noWrap/>
            <w:vAlign w:val="bottom"/>
            <w:hideMark/>
          </w:tcPr>
          <w:p w14:paraId="07643BA0"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0.96</w:t>
            </w:r>
          </w:p>
        </w:tc>
        <w:tc>
          <w:tcPr>
            <w:tcW w:w="458" w:type="dxa"/>
            <w:shd w:val="clear" w:color="auto" w:fill="auto"/>
            <w:noWrap/>
            <w:vAlign w:val="bottom"/>
            <w:hideMark/>
          </w:tcPr>
          <w:p w14:paraId="2B500E24"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20</w:t>
            </w:r>
          </w:p>
        </w:tc>
        <w:tc>
          <w:tcPr>
            <w:tcW w:w="476" w:type="dxa"/>
            <w:shd w:val="clear" w:color="auto" w:fill="auto"/>
            <w:noWrap/>
            <w:vAlign w:val="bottom"/>
            <w:hideMark/>
          </w:tcPr>
          <w:p w14:paraId="393B4A94"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32</w:t>
            </w:r>
          </w:p>
        </w:tc>
        <w:tc>
          <w:tcPr>
            <w:tcW w:w="386" w:type="dxa"/>
            <w:shd w:val="clear" w:color="auto" w:fill="auto"/>
            <w:noWrap/>
            <w:vAlign w:val="bottom"/>
            <w:hideMark/>
          </w:tcPr>
          <w:p w14:paraId="32A8DEE4"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125</w:t>
            </w:r>
          </w:p>
        </w:tc>
        <w:tc>
          <w:tcPr>
            <w:tcW w:w="408" w:type="dxa"/>
            <w:shd w:val="clear" w:color="auto" w:fill="auto"/>
            <w:noWrap/>
            <w:vAlign w:val="bottom"/>
            <w:hideMark/>
          </w:tcPr>
          <w:p w14:paraId="137BA37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78</w:t>
            </w:r>
          </w:p>
        </w:tc>
        <w:tc>
          <w:tcPr>
            <w:tcW w:w="456" w:type="dxa"/>
            <w:shd w:val="clear" w:color="auto" w:fill="auto"/>
            <w:noWrap/>
            <w:vAlign w:val="bottom"/>
            <w:hideMark/>
          </w:tcPr>
          <w:p w14:paraId="093B4036"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98</w:t>
            </w:r>
          </w:p>
        </w:tc>
        <w:tc>
          <w:tcPr>
            <w:tcW w:w="457" w:type="dxa"/>
            <w:shd w:val="clear" w:color="auto" w:fill="auto"/>
            <w:noWrap/>
            <w:vAlign w:val="bottom"/>
            <w:hideMark/>
          </w:tcPr>
          <w:p w14:paraId="411B16A2"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65</w:t>
            </w:r>
          </w:p>
        </w:tc>
        <w:tc>
          <w:tcPr>
            <w:tcW w:w="476" w:type="dxa"/>
            <w:shd w:val="clear" w:color="auto" w:fill="auto"/>
            <w:noWrap/>
            <w:vAlign w:val="bottom"/>
            <w:hideMark/>
          </w:tcPr>
          <w:p w14:paraId="47401579"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6.8</w:t>
            </w:r>
          </w:p>
        </w:tc>
        <w:tc>
          <w:tcPr>
            <w:tcW w:w="456" w:type="dxa"/>
            <w:shd w:val="clear" w:color="auto" w:fill="auto"/>
            <w:noWrap/>
            <w:vAlign w:val="bottom"/>
            <w:hideMark/>
          </w:tcPr>
          <w:p w14:paraId="0084ADE2"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222</w:t>
            </w:r>
          </w:p>
        </w:tc>
        <w:tc>
          <w:tcPr>
            <w:tcW w:w="508" w:type="dxa"/>
            <w:shd w:val="clear" w:color="auto" w:fill="auto"/>
            <w:noWrap/>
            <w:vAlign w:val="bottom"/>
            <w:hideMark/>
          </w:tcPr>
          <w:p w14:paraId="7D0F724B"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126</w:t>
            </w:r>
          </w:p>
        </w:tc>
        <w:tc>
          <w:tcPr>
            <w:tcW w:w="482" w:type="dxa"/>
            <w:shd w:val="clear" w:color="auto" w:fill="auto"/>
            <w:noWrap/>
            <w:vAlign w:val="bottom"/>
            <w:hideMark/>
          </w:tcPr>
          <w:p w14:paraId="54A0941E"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64</w:t>
            </w:r>
          </w:p>
        </w:tc>
        <w:tc>
          <w:tcPr>
            <w:tcW w:w="476" w:type="dxa"/>
            <w:shd w:val="clear" w:color="auto" w:fill="auto"/>
            <w:noWrap/>
            <w:vAlign w:val="bottom"/>
            <w:hideMark/>
          </w:tcPr>
          <w:p w14:paraId="2F5F256E"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113.6</w:t>
            </w:r>
          </w:p>
        </w:tc>
        <w:tc>
          <w:tcPr>
            <w:tcW w:w="429" w:type="dxa"/>
            <w:shd w:val="clear" w:color="auto" w:fill="auto"/>
            <w:noWrap/>
            <w:vAlign w:val="bottom"/>
            <w:hideMark/>
          </w:tcPr>
          <w:p w14:paraId="702BC154"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3.5</w:t>
            </w:r>
          </w:p>
        </w:tc>
      </w:tr>
      <w:tr w:rsidR="003E284C" w:rsidRPr="003E284C" w14:paraId="31F54D2A" w14:textId="77777777" w:rsidTr="0018154D">
        <w:trPr>
          <w:trHeight w:val="357"/>
        </w:trPr>
        <w:tc>
          <w:tcPr>
            <w:tcW w:w="443" w:type="dxa"/>
            <w:shd w:val="clear" w:color="auto" w:fill="auto"/>
            <w:noWrap/>
            <w:vAlign w:val="bottom"/>
            <w:hideMark/>
          </w:tcPr>
          <w:p w14:paraId="1BD7CAE4"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ERO</w:t>
            </w:r>
          </w:p>
        </w:tc>
        <w:tc>
          <w:tcPr>
            <w:tcW w:w="486" w:type="dxa"/>
            <w:shd w:val="clear" w:color="auto" w:fill="auto"/>
            <w:noWrap/>
            <w:vAlign w:val="bottom"/>
            <w:hideMark/>
          </w:tcPr>
          <w:p w14:paraId="408F46A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CH</w:t>
            </w:r>
          </w:p>
        </w:tc>
        <w:tc>
          <w:tcPr>
            <w:tcW w:w="497" w:type="dxa"/>
            <w:shd w:val="clear" w:color="auto" w:fill="auto"/>
            <w:noWrap/>
            <w:vAlign w:val="center"/>
            <w:hideMark/>
          </w:tcPr>
          <w:p w14:paraId="53971704"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F</w:t>
            </w:r>
          </w:p>
        </w:tc>
        <w:tc>
          <w:tcPr>
            <w:tcW w:w="572" w:type="dxa"/>
            <w:shd w:val="clear" w:color="auto" w:fill="auto"/>
            <w:noWrap/>
            <w:vAlign w:val="center"/>
            <w:hideMark/>
          </w:tcPr>
          <w:p w14:paraId="665AC8D2" w14:textId="700F08DA" w:rsidR="000852E2" w:rsidRPr="003E284C" w:rsidRDefault="005279AC"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S/</w:t>
            </w:r>
            <w:r w:rsidR="000852E2" w:rsidRPr="003E284C">
              <w:rPr>
                <w:rFonts w:ascii="Times New Roman" w:eastAsia="Times New Roman" w:hAnsi="Times New Roman" w:cs="Times New Roman"/>
                <w:sz w:val="18"/>
                <w:szCs w:val="18"/>
                <w:lang w:val="es-ES"/>
              </w:rPr>
              <w:t>D</w:t>
            </w:r>
          </w:p>
        </w:tc>
        <w:tc>
          <w:tcPr>
            <w:tcW w:w="512" w:type="dxa"/>
            <w:shd w:val="clear" w:color="auto" w:fill="auto"/>
            <w:noWrap/>
            <w:vAlign w:val="bottom"/>
            <w:hideMark/>
          </w:tcPr>
          <w:p w14:paraId="43D70E5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72</w:t>
            </w:r>
          </w:p>
        </w:tc>
        <w:tc>
          <w:tcPr>
            <w:tcW w:w="415" w:type="dxa"/>
            <w:shd w:val="clear" w:color="auto" w:fill="auto"/>
            <w:noWrap/>
            <w:vAlign w:val="bottom"/>
            <w:hideMark/>
          </w:tcPr>
          <w:p w14:paraId="2C4EB2BE"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56</w:t>
            </w:r>
          </w:p>
        </w:tc>
        <w:tc>
          <w:tcPr>
            <w:tcW w:w="476" w:type="dxa"/>
            <w:shd w:val="clear" w:color="auto" w:fill="auto"/>
            <w:noWrap/>
            <w:vAlign w:val="bottom"/>
            <w:hideMark/>
          </w:tcPr>
          <w:p w14:paraId="622BFC43"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w:t>
            </w:r>
          </w:p>
        </w:tc>
        <w:tc>
          <w:tcPr>
            <w:tcW w:w="458" w:type="dxa"/>
            <w:shd w:val="clear" w:color="auto" w:fill="auto"/>
            <w:noWrap/>
            <w:vAlign w:val="bottom"/>
            <w:hideMark/>
          </w:tcPr>
          <w:p w14:paraId="4C797CFE"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10</w:t>
            </w:r>
          </w:p>
        </w:tc>
        <w:tc>
          <w:tcPr>
            <w:tcW w:w="476" w:type="dxa"/>
            <w:shd w:val="clear" w:color="auto" w:fill="auto"/>
            <w:noWrap/>
            <w:vAlign w:val="bottom"/>
            <w:hideMark/>
          </w:tcPr>
          <w:p w14:paraId="6BBCF044"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28.7</w:t>
            </w:r>
          </w:p>
        </w:tc>
        <w:tc>
          <w:tcPr>
            <w:tcW w:w="386" w:type="dxa"/>
            <w:shd w:val="clear" w:color="auto" w:fill="auto"/>
            <w:noWrap/>
            <w:vAlign w:val="bottom"/>
            <w:hideMark/>
          </w:tcPr>
          <w:p w14:paraId="4A5A524B"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122</w:t>
            </w:r>
          </w:p>
        </w:tc>
        <w:tc>
          <w:tcPr>
            <w:tcW w:w="408" w:type="dxa"/>
            <w:shd w:val="clear" w:color="auto" w:fill="auto"/>
            <w:noWrap/>
            <w:vAlign w:val="bottom"/>
            <w:hideMark/>
          </w:tcPr>
          <w:p w14:paraId="0613EF2D"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82</w:t>
            </w:r>
          </w:p>
        </w:tc>
        <w:tc>
          <w:tcPr>
            <w:tcW w:w="456" w:type="dxa"/>
            <w:shd w:val="clear" w:color="auto" w:fill="auto"/>
            <w:noWrap/>
            <w:vAlign w:val="bottom"/>
            <w:hideMark/>
          </w:tcPr>
          <w:p w14:paraId="45CB425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77</w:t>
            </w:r>
          </w:p>
        </w:tc>
        <w:tc>
          <w:tcPr>
            <w:tcW w:w="457" w:type="dxa"/>
            <w:shd w:val="clear" w:color="auto" w:fill="auto"/>
            <w:noWrap/>
            <w:vAlign w:val="bottom"/>
            <w:hideMark/>
          </w:tcPr>
          <w:p w14:paraId="21BD4898"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36</w:t>
            </w:r>
          </w:p>
        </w:tc>
        <w:tc>
          <w:tcPr>
            <w:tcW w:w="476" w:type="dxa"/>
            <w:shd w:val="clear" w:color="auto" w:fill="auto"/>
            <w:noWrap/>
            <w:vAlign w:val="bottom"/>
            <w:hideMark/>
          </w:tcPr>
          <w:p w14:paraId="7596B726"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3.9</w:t>
            </w:r>
          </w:p>
        </w:tc>
        <w:tc>
          <w:tcPr>
            <w:tcW w:w="456" w:type="dxa"/>
            <w:shd w:val="clear" w:color="auto" w:fill="auto"/>
            <w:noWrap/>
            <w:vAlign w:val="bottom"/>
            <w:hideMark/>
          </w:tcPr>
          <w:p w14:paraId="31FD1508"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184</w:t>
            </w:r>
          </w:p>
        </w:tc>
        <w:tc>
          <w:tcPr>
            <w:tcW w:w="508" w:type="dxa"/>
            <w:shd w:val="clear" w:color="auto" w:fill="auto"/>
            <w:noWrap/>
            <w:vAlign w:val="bottom"/>
            <w:hideMark/>
          </w:tcPr>
          <w:p w14:paraId="551CA0DB"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127</w:t>
            </w:r>
          </w:p>
        </w:tc>
        <w:tc>
          <w:tcPr>
            <w:tcW w:w="482" w:type="dxa"/>
            <w:shd w:val="clear" w:color="auto" w:fill="auto"/>
            <w:noWrap/>
            <w:vAlign w:val="bottom"/>
            <w:hideMark/>
          </w:tcPr>
          <w:p w14:paraId="4653E04D"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69</w:t>
            </w:r>
          </w:p>
        </w:tc>
        <w:tc>
          <w:tcPr>
            <w:tcW w:w="476" w:type="dxa"/>
            <w:shd w:val="clear" w:color="auto" w:fill="auto"/>
            <w:noWrap/>
            <w:vAlign w:val="bottom"/>
            <w:hideMark/>
          </w:tcPr>
          <w:p w14:paraId="1AD0D5A6"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89.6</w:t>
            </w:r>
          </w:p>
        </w:tc>
        <w:tc>
          <w:tcPr>
            <w:tcW w:w="429" w:type="dxa"/>
            <w:shd w:val="clear" w:color="auto" w:fill="auto"/>
            <w:noWrap/>
            <w:vAlign w:val="bottom"/>
            <w:hideMark/>
          </w:tcPr>
          <w:p w14:paraId="58A0F574"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2.67</w:t>
            </w:r>
          </w:p>
        </w:tc>
      </w:tr>
      <w:tr w:rsidR="003E284C" w:rsidRPr="003E284C" w14:paraId="043BA738" w14:textId="77777777" w:rsidTr="0018154D">
        <w:trPr>
          <w:trHeight w:val="357"/>
        </w:trPr>
        <w:tc>
          <w:tcPr>
            <w:tcW w:w="443" w:type="dxa"/>
            <w:shd w:val="clear" w:color="auto" w:fill="auto"/>
            <w:noWrap/>
            <w:vAlign w:val="bottom"/>
            <w:hideMark/>
          </w:tcPr>
          <w:p w14:paraId="2A9E1EE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ER</w:t>
            </w:r>
          </w:p>
        </w:tc>
        <w:tc>
          <w:tcPr>
            <w:tcW w:w="486" w:type="dxa"/>
            <w:shd w:val="clear" w:color="auto" w:fill="auto"/>
            <w:noWrap/>
            <w:vAlign w:val="bottom"/>
            <w:hideMark/>
          </w:tcPr>
          <w:p w14:paraId="0F151556"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OLI</w:t>
            </w:r>
          </w:p>
        </w:tc>
        <w:tc>
          <w:tcPr>
            <w:tcW w:w="497" w:type="dxa"/>
            <w:shd w:val="clear" w:color="auto" w:fill="auto"/>
            <w:noWrap/>
            <w:vAlign w:val="center"/>
            <w:hideMark/>
          </w:tcPr>
          <w:p w14:paraId="36E0304D"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F</w:t>
            </w:r>
          </w:p>
        </w:tc>
        <w:tc>
          <w:tcPr>
            <w:tcW w:w="572" w:type="dxa"/>
            <w:shd w:val="clear" w:color="auto" w:fill="auto"/>
            <w:noWrap/>
            <w:vAlign w:val="center"/>
            <w:hideMark/>
          </w:tcPr>
          <w:p w14:paraId="51A9CC51" w14:textId="16712BBF" w:rsidR="000852E2" w:rsidRPr="003E284C" w:rsidRDefault="005279AC"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C/</w:t>
            </w:r>
            <w:r w:rsidR="000852E2" w:rsidRPr="003E284C">
              <w:rPr>
                <w:rFonts w:ascii="Times New Roman" w:eastAsia="Times New Roman" w:hAnsi="Times New Roman" w:cs="Times New Roman"/>
                <w:sz w:val="18"/>
                <w:szCs w:val="18"/>
                <w:lang w:val="es-ES"/>
              </w:rPr>
              <w:t>D</w:t>
            </w:r>
          </w:p>
        </w:tc>
        <w:tc>
          <w:tcPr>
            <w:tcW w:w="512" w:type="dxa"/>
            <w:shd w:val="clear" w:color="auto" w:fill="auto"/>
            <w:noWrap/>
            <w:vAlign w:val="center"/>
            <w:hideMark/>
          </w:tcPr>
          <w:p w14:paraId="7A10312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78</w:t>
            </w:r>
          </w:p>
        </w:tc>
        <w:tc>
          <w:tcPr>
            <w:tcW w:w="415" w:type="dxa"/>
            <w:shd w:val="clear" w:color="auto" w:fill="auto"/>
            <w:noWrap/>
            <w:vAlign w:val="center"/>
            <w:hideMark/>
          </w:tcPr>
          <w:p w14:paraId="5A3B0E1E"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39</w:t>
            </w:r>
          </w:p>
        </w:tc>
        <w:tc>
          <w:tcPr>
            <w:tcW w:w="476" w:type="dxa"/>
            <w:shd w:val="clear" w:color="auto" w:fill="auto"/>
            <w:noWrap/>
            <w:vAlign w:val="center"/>
            <w:hideMark/>
          </w:tcPr>
          <w:p w14:paraId="26998A76"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1.317</w:t>
            </w:r>
          </w:p>
        </w:tc>
        <w:tc>
          <w:tcPr>
            <w:tcW w:w="458" w:type="dxa"/>
            <w:shd w:val="clear" w:color="auto" w:fill="auto"/>
            <w:noWrap/>
            <w:vAlign w:val="center"/>
            <w:hideMark/>
          </w:tcPr>
          <w:p w14:paraId="6B61AA7B"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10</w:t>
            </w:r>
          </w:p>
        </w:tc>
        <w:tc>
          <w:tcPr>
            <w:tcW w:w="476" w:type="dxa"/>
            <w:shd w:val="clear" w:color="auto" w:fill="auto"/>
            <w:noWrap/>
            <w:vAlign w:val="bottom"/>
            <w:hideMark/>
          </w:tcPr>
          <w:p w14:paraId="1CD613D1"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21.1</w:t>
            </w:r>
          </w:p>
        </w:tc>
        <w:tc>
          <w:tcPr>
            <w:tcW w:w="386" w:type="dxa"/>
            <w:shd w:val="clear" w:color="auto" w:fill="auto"/>
            <w:noWrap/>
            <w:vAlign w:val="center"/>
            <w:hideMark/>
          </w:tcPr>
          <w:p w14:paraId="5BC2F864"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120</w:t>
            </w:r>
          </w:p>
        </w:tc>
        <w:tc>
          <w:tcPr>
            <w:tcW w:w="408" w:type="dxa"/>
            <w:shd w:val="clear" w:color="auto" w:fill="auto"/>
            <w:noWrap/>
            <w:vAlign w:val="center"/>
            <w:hideMark/>
          </w:tcPr>
          <w:p w14:paraId="61BFE865"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75</w:t>
            </w:r>
          </w:p>
        </w:tc>
        <w:tc>
          <w:tcPr>
            <w:tcW w:w="456" w:type="dxa"/>
            <w:shd w:val="clear" w:color="auto" w:fill="auto"/>
            <w:noWrap/>
            <w:vAlign w:val="center"/>
            <w:hideMark/>
          </w:tcPr>
          <w:p w14:paraId="1A436341"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473</w:t>
            </w:r>
          </w:p>
        </w:tc>
        <w:tc>
          <w:tcPr>
            <w:tcW w:w="457" w:type="dxa"/>
            <w:shd w:val="clear" w:color="auto" w:fill="auto"/>
            <w:noWrap/>
            <w:vAlign w:val="center"/>
            <w:hideMark/>
          </w:tcPr>
          <w:p w14:paraId="2643720E"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72.4</w:t>
            </w:r>
          </w:p>
        </w:tc>
        <w:tc>
          <w:tcPr>
            <w:tcW w:w="476" w:type="dxa"/>
            <w:shd w:val="clear" w:color="auto" w:fill="auto"/>
            <w:noWrap/>
            <w:vAlign w:val="center"/>
            <w:hideMark/>
          </w:tcPr>
          <w:p w14:paraId="047B5AD5"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6.74</w:t>
            </w:r>
          </w:p>
        </w:tc>
        <w:tc>
          <w:tcPr>
            <w:tcW w:w="456" w:type="dxa"/>
            <w:shd w:val="clear" w:color="auto" w:fill="auto"/>
            <w:noWrap/>
            <w:vAlign w:val="center"/>
            <w:hideMark/>
          </w:tcPr>
          <w:p w14:paraId="0B584565"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157</w:t>
            </w:r>
          </w:p>
        </w:tc>
        <w:tc>
          <w:tcPr>
            <w:tcW w:w="508" w:type="dxa"/>
            <w:shd w:val="clear" w:color="auto" w:fill="auto"/>
            <w:noWrap/>
            <w:vAlign w:val="center"/>
            <w:hideMark/>
          </w:tcPr>
          <w:p w14:paraId="546AE704"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116</w:t>
            </w:r>
          </w:p>
        </w:tc>
        <w:tc>
          <w:tcPr>
            <w:tcW w:w="482" w:type="dxa"/>
            <w:shd w:val="clear" w:color="auto" w:fill="auto"/>
            <w:noWrap/>
            <w:vAlign w:val="center"/>
            <w:hideMark/>
          </w:tcPr>
          <w:p w14:paraId="242D6E8E"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51</w:t>
            </w:r>
          </w:p>
        </w:tc>
        <w:tc>
          <w:tcPr>
            <w:tcW w:w="476" w:type="dxa"/>
            <w:shd w:val="clear" w:color="auto" w:fill="auto"/>
            <w:noWrap/>
            <w:vAlign w:val="center"/>
            <w:hideMark/>
          </w:tcPr>
          <w:p w14:paraId="7DF6F8D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74.6</w:t>
            </w:r>
          </w:p>
        </w:tc>
        <w:tc>
          <w:tcPr>
            <w:tcW w:w="429" w:type="dxa"/>
            <w:shd w:val="clear" w:color="auto" w:fill="auto"/>
            <w:noWrap/>
            <w:vAlign w:val="center"/>
            <w:hideMark/>
          </w:tcPr>
          <w:p w14:paraId="06B5B70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3.1</w:t>
            </w:r>
          </w:p>
        </w:tc>
      </w:tr>
      <w:tr w:rsidR="003E284C" w:rsidRPr="003E284C" w14:paraId="4B93DD4D" w14:textId="77777777" w:rsidTr="0018154D">
        <w:trPr>
          <w:trHeight w:val="357"/>
        </w:trPr>
        <w:tc>
          <w:tcPr>
            <w:tcW w:w="443" w:type="dxa"/>
            <w:shd w:val="clear" w:color="auto" w:fill="auto"/>
            <w:noWrap/>
            <w:vAlign w:val="bottom"/>
            <w:hideMark/>
          </w:tcPr>
          <w:p w14:paraId="7F8AC5BD"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ER</w:t>
            </w:r>
          </w:p>
        </w:tc>
        <w:tc>
          <w:tcPr>
            <w:tcW w:w="486" w:type="dxa"/>
            <w:shd w:val="clear" w:color="auto" w:fill="auto"/>
            <w:noWrap/>
            <w:vAlign w:val="bottom"/>
            <w:hideMark/>
          </w:tcPr>
          <w:p w14:paraId="09D0DEE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OLI</w:t>
            </w:r>
          </w:p>
        </w:tc>
        <w:tc>
          <w:tcPr>
            <w:tcW w:w="497" w:type="dxa"/>
            <w:shd w:val="clear" w:color="auto" w:fill="auto"/>
            <w:noWrap/>
            <w:vAlign w:val="center"/>
            <w:hideMark/>
          </w:tcPr>
          <w:p w14:paraId="2D04AF92"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F</w:t>
            </w:r>
          </w:p>
        </w:tc>
        <w:tc>
          <w:tcPr>
            <w:tcW w:w="572" w:type="dxa"/>
            <w:shd w:val="clear" w:color="auto" w:fill="auto"/>
            <w:noWrap/>
            <w:vAlign w:val="center"/>
            <w:hideMark/>
          </w:tcPr>
          <w:p w14:paraId="27D0317B" w14:textId="6C32E805" w:rsidR="000852E2" w:rsidRPr="003E284C" w:rsidRDefault="005279AC"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C/</w:t>
            </w:r>
            <w:r w:rsidR="000852E2" w:rsidRPr="003E284C">
              <w:rPr>
                <w:rFonts w:ascii="Times New Roman" w:eastAsia="Times New Roman" w:hAnsi="Times New Roman" w:cs="Times New Roman"/>
                <w:sz w:val="18"/>
                <w:szCs w:val="18"/>
                <w:lang w:val="es-ES"/>
              </w:rPr>
              <w:t>D</w:t>
            </w:r>
          </w:p>
        </w:tc>
        <w:tc>
          <w:tcPr>
            <w:tcW w:w="512" w:type="dxa"/>
            <w:shd w:val="clear" w:color="auto" w:fill="auto"/>
            <w:noWrap/>
            <w:vAlign w:val="center"/>
            <w:hideMark/>
          </w:tcPr>
          <w:p w14:paraId="7907136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85</w:t>
            </w:r>
          </w:p>
        </w:tc>
        <w:tc>
          <w:tcPr>
            <w:tcW w:w="415" w:type="dxa"/>
            <w:shd w:val="clear" w:color="auto" w:fill="auto"/>
            <w:noWrap/>
            <w:vAlign w:val="center"/>
            <w:hideMark/>
          </w:tcPr>
          <w:p w14:paraId="1F810AF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8</w:t>
            </w:r>
          </w:p>
        </w:tc>
        <w:tc>
          <w:tcPr>
            <w:tcW w:w="476" w:type="dxa"/>
            <w:shd w:val="clear" w:color="auto" w:fill="auto"/>
            <w:noWrap/>
            <w:vAlign w:val="center"/>
            <w:hideMark/>
          </w:tcPr>
          <w:p w14:paraId="348ECC4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4.72</w:t>
            </w:r>
          </w:p>
        </w:tc>
        <w:tc>
          <w:tcPr>
            <w:tcW w:w="458" w:type="dxa"/>
            <w:shd w:val="clear" w:color="auto" w:fill="auto"/>
            <w:noWrap/>
            <w:vAlign w:val="center"/>
            <w:hideMark/>
          </w:tcPr>
          <w:p w14:paraId="65405147"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10</w:t>
            </w:r>
          </w:p>
        </w:tc>
        <w:tc>
          <w:tcPr>
            <w:tcW w:w="476" w:type="dxa"/>
            <w:shd w:val="clear" w:color="auto" w:fill="auto"/>
            <w:noWrap/>
            <w:vAlign w:val="bottom"/>
            <w:hideMark/>
          </w:tcPr>
          <w:p w14:paraId="6F7B108B"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30.40</w:t>
            </w:r>
          </w:p>
        </w:tc>
        <w:tc>
          <w:tcPr>
            <w:tcW w:w="386" w:type="dxa"/>
            <w:shd w:val="clear" w:color="auto" w:fill="auto"/>
            <w:noWrap/>
            <w:vAlign w:val="center"/>
            <w:hideMark/>
          </w:tcPr>
          <w:p w14:paraId="5F369915"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120</w:t>
            </w:r>
          </w:p>
        </w:tc>
        <w:tc>
          <w:tcPr>
            <w:tcW w:w="408" w:type="dxa"/>
            <w:shd w:val="clear" w:color="auto" w:fill="auto"/>
            <w:noWrap/>
            <w:vAlign w:val="center"/>
            <w:hideMark/>
          </w:tcPr>
          <w:p w14:paraId="4C9BACBF"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60</w:t>
            </w:r>
          </w:p>
        </w:tc>
        <w:tc>
          <w:tcPr>
            <w:tcW w:w="456" w:type="dxa"/>
            <w:shd w:val="clear" w:color="auto" w:fill="auto"/>
            <w:noWrap/>
            <w:vAlign w:val="center"/>
            <w:hideMark/>
          </w:tcPr>
          <w:p w14:paraId="0B3EE75E"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76</w:t>
            </w:r>
          </w:p>
        </w:tc>
        <w:tc>
          <w:tcPr>
            <w:tcW w:w="457" w:type="dxa"/>
            <w:shd w:val="clear" w:color="auto" w:fill="auto"/>
            <w:noWrap/>
            <w:vAlign w:val="center"/>
            <w:hideMark/>
          </w:tcPr>
          <w:p w14:paraId="073EBBA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201</w:t>
            </w:r>
          </w:p>
        </w:tc>
        <w:tc>
          <w:tcPr>
            <w:tcW w:w="476" w:type="dxa"/>
            <w:shd w:val="clear" w:color="auto" w:fill="auto"/>
            <w:noWrap/>
            <w:vAlign w:val="center"/>
            <w:hideMark/>
          </w:tcPr>
          <w:p w14:paraId="0CB263A5"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12.1</w:t>
            </w:r>
          </w:p>
        </w:tc>
        <w:tc>
          <w:tcPr>
            <w:tcW w:w="456" w:type="dxa"/>
            <w:shd w:val="clear" w:color="auto" w:fill="auto"/>
            <w:noWrap/>
            <w:vAlign w:val="center"/>
            <w:hideMark/>
          </w:tcPr>
          <w:p w14:paraId="32A56039"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176</w:t>
            </w:r>
          </w:p>
        </w:tc>
        <w:tc>
          <w:tcPr>
            <w:tcW w:w="508" w:type="dxa"/>
            <w:shd w:val="clear" w:color="auto" w:fill="auto"/>
            <w:noWrap/>
            <w:vAlign w:val="center"/>
            <w:hideMark/>
          </w:tcPr>
          <w:p w14:paraId="0D6935C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101</w:t>
            </w:r>
          </w:p>
        </w:tc>
        <w:tc>
          <w:tcPr>
            <w:tcW w:w="482" w:type="dxa"/>
            <w:shd w:val="clear" w:color="auto" w:fill="auto"/>
            <w:noWrap/>
            <w:vAlign w:val="center"/>
            <w:hideMark/>
          </w:tcPr>
          <w:p w14:paraId="18413A03"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48</w:t>
            </w:r>
          </w:p>
        </w:tc>
        <w:tc>
          <w:tcPr>
            <w:tcW w:w="476" w:type="dxa"/>
            <w:shd w:val="clear" w:color="auto" w:fill="auto"/>
            <w:noWrap/>
            <w:vAlign w:val="center"/>
            <w:hideMark/>
          </w:tcPr>
          <w:p w14:paraId="195B3E56"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92.8</w:t>
            </w:r>
          </w:p>
        </w:tc>
        <w:tc>
          <w:tcPr>
            <w:tcW w:w="429" w:type="dxa"/>
            <w:shd w:val="clear" w:color="auto" w:fill="auto"/>
            <w:noWrap/>
            <w:vAlign w:val="center"/>
            <w:hideMark/>
          </w:tcPr>
          <w:p w14:paraId="5C733A63"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3.6</w:t>
            </w:r>
          </w:p>
        </w:tc>
      </w:tr>
      <w:tr w:rsidR="003E284C" w:rsidRPr="003E284C" w14:paraId="30E381FD" w14:textId="77777777" w:rsidTr="0018154D">
        <w:trPr>
          <w:trHeight w:val="342"/>
        </w:trPr>
        <w:tc>
          <w:tcPr>
            <w:tcW w:w="443" w:type="dxa"/>
            <w:shd w:val="clear" w:color="auto" w:fill="auto"/>
            <w:noWrap/>
            <w:vAlign w:val="bottom"/>
            <w:hideMark/>
          </w:tcPr>
          <w:p w14:paraId="029DBE0D"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ER</w:t>
            </w:r>
          </w:p>
        </w:tc>
        <w:tc>
          <w:tcPr>
            <w:tcW w:w="486" w:type="dxa"/>
            <w:shd w:val="clear" w:color="auto" w:fill="auto"/>
            <w:noWrap/>
            <w:vAlign w:val="bottom"/>
            <w:hideMark/>
          </w:tcPr>
          <w:p w14:paraId="78909B7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OLI</w:t>
            </w:r>
          </w:p>
        </w:tc>
        <w:tc>
          <w:tcPr>
            <w:tcW w:w="497" w:type="dxa"/>
            <w:shd w:val="clear" w:color="auto" w:fill="auto"/>
            <w:noWrap/>
            <w:vAlign w:val="center"/>
            <w:hideMark/>
          </w:tcPr>
          <w:p w14:paraId="5EA9EF0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M</w:t>
            </w:r>
          </w:p>
        </w:tc>
        <w:tc>
          <w:tcPr>
            <w:tcW w:w="572" w:type="dxa"/>
            <w:shd w:val="clear" w:color="auto" w:fill="auto"/>
            <w:noWrap/>
            <w:vAlign w:val="center"/>
            <w:hideMark/>
          </w:tcPr>
          <w:p w14:paraId="3844414D" w14:textId="2EE7857D" w:rsidR="000852E2" w:rsidRPr="003E284C" w:rsidRDefault="005279AC"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S/</w:t>
            </w:r>
            <w:r w:rsidR="000852E2" w:rsidRPr="003E284C">
              <w:rPr>
                <w:rFonts w:ascii="Times New Roman" w:eastAsia="Times New Roman" w:hAnsi="Times New Roman" w:cs="Times New Roman"/>
                <w:sz w:val="18"/>
                <w:szCs w:val="18"/>
                <w:lang w:val="es-ES"/>
              </w:rPr>
              <w:t>D</w:t>
            </w:r>
          </w:p>
        </w:tc>
        <w:tc>
          <w:tcPr>
            <w:tcW w:w="512" w:type="dxa"/>
            <w:shd w:val="clear" w:color="auto" w:fill="auto"/>
            <w:noWrap/>
            <w:vAlign w:val="center"/>
            <w:hideMark/>
          </w:tcPr>
          <w:p w14:paraId="2D8A0BAD"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87</w:t>
            </w:r>
          </w:p>
        </w:tc>
        <w:tc>
          <w:tcPr>
            <w:tcW w:w="415" w:type="dxa"/>
            <w:shd w:val="clear" w:color="auto" w:fill="auto"/>
            <w:noWrap/>
            <w:vAlign w:val="center"/>
            <w:hideMark/>
          </w:tcPr>
          <w:p w14:paraId="23EECA7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28</w:t>
            </w:r>
          </w:p>
        </w:tc>
        <w:tc>
          <w:tcPr>
            <w:tcW w:w="476" w:type="dxa"/>
            <w:shd w:val="clear" w:color="auto" w:fill="auto"/>
            <w:noWrap/>
            <w:vAlign w:val="center"/>
            <w:hideMark/>
          </w:tcPr>
          <w:p w14:paraId="1ADABA56"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2.060</w:t>
            </w:r>
          </w:p>
        </w:tc>
        <w:tc>
          <w:tcPr>
            <w:tcW w:w="458" w:type="dxa"/>
            <w:shd w:val="clear" w:color="auto" w:fill="auto"/>
            <w:noWrap/>
            <w:vAlign w:val="center"/>
            <w:hideMark/>
          </w:tcPr>
          <w:p w14:paraId="542B2D10"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10</w:t>
            </w:r>
          </w:p>
        </w:tc>
        <w:tc>
          <w:tcPr>
            <w:tcW w:w="476" w:type="dxa"/>
            <w:shd w:val="clear" w:color="auto" w:fill="auto"/>
            <w:noWrap/>
            <w:vAlign w:val="bottom"/>
            <w:hideMark/>
          </w:tcPr>
          <w:p w14:paraId="176CA504"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22.93</w:t>
            </w:r>
          </w:p>
        </w:tc>
        <w:tc>
          <w:tcPr>
            <w:tcW w:w="386" w:type="dxa"/>
            <w:shd w:val="clear" w:color="auto" w:fill="auto"/>
            <w:noWrap/>
            <w:vAlign w:val="center"/>
            <w:hideMark/>
          </w:tcPr>
          <w:p w14:paraId="3E035B00"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110</w:t>
            </w:r>
          </w:p>
        </w:tc>
        <w:tc>
          <w:tcPr>
            <w:tcW w:w="408" w:type="dxa"/>
            <w:shd w:val="clear" w:color="auto" w:fill="auto"/>
            <w:noWrap/>
            <w:vAlign w:val="center"/>
            <w:hideMark/>
          </w:tcPr>
          <w:p w14:paraId="21C6F2F5"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71</w:t>
            </w:r>
          </w:p>
        </w:tc>
        <w:tc>
          <w:tcPr>
            <w:tcW w:w="456" w:type="dxa"/>
            <w:shd w:val="clear" w:color="auto" w:fill="auto"/>
            <w:noWrap/>
            <w:vAlign w:val="center"/>
            <w:hideMark/>
          </w:tcPr>
          <w:p w14:paraId="68636051"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82</w:t>
            </w:r>
          </w:p>
        </w:tc>
        <w:tc>
          <w:tcPr>
            <w:tcW w:w="457" w:type="dxa"/>
            <w:shd w:val="clear" w:color="auto" w:fill="auto"/>
            <w:noWrap/>
            <w:vAlign w:val="center"/>
            <w:hideMark/>
          </w:tcPr>
          <w:p w14:paraId="4772EFE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59</w:t>
            </w:r>
          </w:p>
        </w:tc>
        <w:tc>
          <w:tcPr>
            <w:tcW w:w="476" w:type="dxa"/>
            <w:shd w:val="clear" w:color="auto" w:fill="auto"/>
            <w:noWrap/>
            <w:vAlign w:val="center"/>
            <w:hideMark/>
          </w:tcPr>
          <w:p w14:paraId="1F6B0B2D"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6.52</w:t>
            </w:r>
          </w:p>
        </w:tc>
        <w:tc>
          <w:tcPr>
            <w:tcW w:w="456" w:type="dxa"/>
            <w:shd w:val="clear" w:color="auto" w:fill="auto"/>
            <w:noWrap/>
            <w:vAlign w:val="center"/>
            <w:hideMark/>
          </w:tcPr>
          <w:p w14:paraId="68987A0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139</w:t>
            </w:r>
          </w:p>
        </w:tc>
        <w:tc>
          <w:tcPr>
            <w:tcW w:w="508" w:type="dxa"/>
            <w:shd w:val="clear" w:color="auto" w:fill="auto"/>
            <w:noWrap/>
            <w:vAlign w:val="center"/>
            <w:hideMark/>
          </w:tcPr>
          <w:p w14:paraId="3C8EB06B"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108</w:t>
            </w:r>
          </w:p>
        </w:tc>
        <w:tc>
          <w:tcPr>
            <w:tcW w:w="482" w:type="dxa"/>
            <w:shd w:val="clear" w:color="auto" w:fill="auto"/>
            <w:noWrap/>
            <w:vAlign w:val="center"/>
            <w:hideMark/>
          </w:tcPr>
          <w:p w14:paraId="4912CA18"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38</w:t>
            </w:r>
          </w:p>
        </w:tc>
        <w:tc>
          <w:tcPr>
            <w:tcW w:w="476" w:type="dxa"/>
            <w:shd w:val="clear" w:color="auto" w:fill="auto"/>
            <w:noWrap/>
            <w:vAlign w:val="center"/>
            <w:hideMark/>
          </w:tcPr>
          <w:p w14:paraId="70DFD0A9"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73.2</w:t>
            </w:r>
          </w:p>
        </w:tc>
        <w:tc>
          <w:tcPr>
            <w:tcW w:w="429" w:type="dxa"/>
            <w:shd w:val="clear" w:color="auto" w:fill="auto"/>
            <w:noWrap/>
            <w:vAlign w:val="center"/>
            <w:hideMark/>
          </w:tcPr>
          <w:p w14:paraId="5554CA58"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3.7</w:t>
            </w:r>
          </w:p>
        </w:tc>
      </w:tr>
      <w:tr w:rsidR="003E284C" w:rsidRPr="003E284C" w14:paraId="32F7E4F5" w14:textId="77777777" w:rsidTr="0018154D">
        <w:trPr>
          <w:trHeight w:val="342"/>
        </w:trPr>
        <w:tc>
          <w:tcPr>
            <w:tcW w:w="443" w:type="dxa"/>
            <w:shd w:val="clear" w:color="auto" w:fill="auto"/>
            <w:noWrap/>
            <w:vAlign w:val="bottom"/>
            <w:hideMark/>
          </w:tcPr>
          <w:p w14:paraId="22FE8F98"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ER</w:t>
            </w:r>
          </w:p>
        </w:tc>
        <w:tc>
          <w:tcPr>
            <w:tcW w:w="486" w:type="dxa"/>
            <w:shd w:val="clear" w:color="auto" w:fill="auto"/>
            <w:noWrap/>
            <w:vAlign w:val="bottom"/>
            <w:hideMark/>
          </w:tcPr>
          <w:p w14:paraId="1AD7750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CH</w:t>
            </w:r>
          </w:p>
        </w:tc>
        <w:tc>
          <w:tcPr>
            <w:tcW w:w="497" w:type="dxa"/>
            <w:shd w:val="clear" w:color="auto" w:fill="auto"/>
            <w:noWrap/>
            <w:vAlign w:val="center"/>
            <w:hideMark/>
          </w:tcPr>
          <w:p w14:paraId="56B1CAA9"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M</w:t>
            </w:r>
          </w:p>
        </w:tc>
        <w:tc>
          <w:tcPr>
            <w:tcW w:w="572" w:type="dxa"/>
            <w:shd w:val="clear" w:color="auto" w:fill="auto"/>
            <w:noWrap/>
            <w:vAlign w:val="center"/>
            <w:hideMark/>
          </w:tcPr>
          <w:p w14:paraId="7DB8A0EA" w14:textId="27E05C59" w:rsidR="000852E2" w:rsidRPr="003E284C" w:rsidRDefault="005279AC"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C/</w:t>
            </w:r>
            <w:r w:rsidR="000852E2" w:rsidRPr="003E284C">
              <w:rPr>
                <w:rFonts w:ascii="Times New Roman" w:eastAsia="Times New Roman" w:hAnsi="Times New Roman" w:cs="Times New Roman"/>
                <w:sz w:val="18"/>
                <w:szCs w:val="18"/>
                <w:lang w:val="es-ES"/>
              </w:rPr>
              <w:t>D</w:t>
            </w:r>
          </w:p>
        </w:tc>
        <w:tc>
          <w:tcPr>
            <w:tcW w:w="512" w:type="dxa"/>
            <w:shd w:val="clear" w:color="auto" w:fill="auto"/>
            <w:noWrap/>
            <w:vAlign w:val="bottom"/>
            <w:hideMark/>
          </w:tcPr>
          <w:p w14:paraId="2F0223F3"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70</w:t>
            </w:r>
          </w:p>
        </w:tc>
        <w:tc>
          <w:tcPr>
            <w:tcW w:w="415" w:type="dxa"/>
            <w:shd w:val="clear" w:color="auto" w:fill="auto"/>
            <w:noWrap/>
            <w:vAlign w:val="bottom"/>
            <w:hideMark/>
          </w:tcPr>
          <w:p w14:paraId="0029ED55"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46</w:t>
            </w:r>
          </w:p>
        </w:tc>
        <w:tc>
          <w:tcPr>
            <w:tcW w:w="476" w:type="dxa"/>
            <w:shd w:val="clear" w:color="auto" w:fill="auto"/>
            <w:noWrap/>
            <w:vAlign w:val="bottom"/>
            <w:hideMark/>
          </w:tcPr>
          <w:p w14:paraId="6382975D"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1.5</w:t>
            </w:r>
          </w:p>
        </w:tc>
        <w:tc>
          <w:tcPr>
            <w:tcW w:w="458" w:type="dxa"/>
            <w:shd w:val="clear" w:color="auto" w:fill="auto"/>
            <w:noWrap/>
            <w:vAlign w:val="bottom"/>
            <w:hideMark/>
          </w:tcPr>
          <w:p w14:paraId="23F5C18D"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150</w:t>
            </w:r>
          </w:p>
        </w:tc>
        <w:tc>
          <w:tcPr>
            <w:tcW w:w="476" w:type="dxa"/>
            <w:shd w:val="clear" w:color="auto" w:fill="auto"/>
            <w:noWrap/>
            <w:vAlign w:val="bottom"/>
            <w:hideMark/>
          </w:tcPr>
          <w:p w14:paraId="260EFC44"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30.8</w:t>
            </w:r>
          </w:p>
        </w:tc>
        <w:tc>
          <w:tcPr>
            <w:tcW w:w="386" w:type="dxa"/>
            <w:shd w:val="clear" w:color="auto" w:fill="auto"/>
            <w:noWrap/>
            <w:vAlign w:val="bottom"/>
            <w:hideMark/>
          </w:tcPr>
          <w:p w14:paraId="27F07F77"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196</w:t>
            </w:r>
          </w:p>
        </w:tc>
        <w:tc>
          <w:tcPr>
            <w:tcW w:w="408" w:type="dxa"/>
            <w:shd w:val="clear" w:color="auto" w:fill="auto"/>
            <w:noWrap/>
            <w:vAlign w:val="bottom"/>
            <w:hideMark/>
          </w:tcPr>
          <w:p w14:paraId="5056CC00"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110</w:t>
            </w:r>
          </w:p>
        </w:tc>
        <w:tc>
          <w:tcPr>
            <w:tcW w:w="456" w:type="dxa"/>
            <w:shd w:val="clear" w:color="auto" w:fill="auto"/>
            <w:noWrap/>
            <w:vAlign w:val="bottom"/>
            <w:hideMark/>
          </w:tcPr>
          <w:p w14:paraId="2CDCF8B0"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183</w:t>
            </w:r>
          </w:p>
        </w:tc>
        <w:tc>
          <w:tcPr>
            <w:tcW w:w="457" w:type="dxa"/>
            <w:shd w:val="clear" w:color="auto" w:fill="auto"/>
            <w:noWrap/>
            <w:vAlign w:val="bottom"/>
            <w:hideMark/>
          </w:tcPr>
          <w:p w14:paraId="343D45DD"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42</w:t>
            </w:r>
          </w:p>
        </w:tc>
        <w:tc>
          <w:tcPr>
            <w:tcW w:w="476" w:type="dxa"/>
            <w:shd w:val="clear" w:color="auto" w:fill="auto"/>
            <w:noWrap/>
            <w:vAlign w:val="bottom"/>
            <w:hideMark/>
          </w:tcPr>
          <w:p w14:paraId="2DAE0587"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6.9</w:t>
            </w:r>
          </w:p>
        </w:tc>
        <w:tc>
          <w:tcPr>
            <w:tcW w:w="456" w:type="dxa"/>
            <w:shd w:val="clear" w:color="auto" w:fill="auto"/>
            <w:noWrap/>
            <w:vAlign w:val="bottom"/>
            <w:hideMark/>
          </w:tcPr>
          <w:p w14:paraId="0816E882"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158</w:t>
            </w:r>
          </w:p>
        </w:tc>
        <w:tc>
          <w:tcPr>
            <w:tcW w:w="508" w:type="dxa"/>
            <w:shd w:val="clear" w:color="auto" w:fill="auto"/>
            <w:noWrap/>
            <w:vAlign w:val="bottom"/>
            <w:hideMark/>
          </w:tcPr>
          <w:p w14:paraId="71E27C3F"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185</w:t>
            </w:r>
          </w:p>
        </w:tc>
        <w:tc>
          <w:tcPr>
            <w:tcW w:w="482" w:type="dxa"/>
            <w:shd w:val="clear" w:color="auto" w:fill="auto"/>
            <w:noWrap/>
            <w:vAlign w:val="bottom"/>
            <w:hideMark/>
          </w:tcPr>
          <w:p w14:paraId="18C55F7F"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28</w:t>
            </w:r>
          </w:p>
        </w:tc>
        <w:tc>
          <w:tcPr>
            <w:tcW w:w="476" w:type="dxa"/>
            <w:shd w:val="clear" w:color="auto" w:fill="auto"/>
            <w:noWrap/>
            <w:vAlign w:val="bottom"/>
            <w:hideMark/>
          </w:tcPr>
          <w:p w14:paraId="66ED401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98.4</w:t>
            </w:r>
          </w:p>
        </w:tc>
        <w:tc>
          <w:tcPr>
            <w:tcW w:w="429" w:type="dxa"/>
            <w:shd w:val="clear" w:color="auto" w:fill="auto"/>
            <w:noWrap/>
            <w:vAlign w:val="bottom"/>
            <w:hideMark/>
          </w:tcPr>
          <w:p w14:paraId="36C15C1F"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5.64</w:t>
            </w:r>
          </w:p>
        </w:tc>
      </w:tr>
      <w:tr w:rsidR="003E284C" w:rsidRPr="003E284C" w14:paraId="5A56BDBF" w14:textId="77777777" w:rsidTr="0018154D">
        <w:trPr>
          <w:trHeight w:val="342"/>
        </w:trPr>
        <w:tc>
          <w:tcPr>
            <w:tcW w:w="443" w:type="dxa"/>
            <w:shd w:val="clear" w:color="auto" w:fill="auto"/>
            <w:noWrap/>
            <w:vAlign w:val="bottom"/>
            <w:hideMark/>
          </w:tcPr>
          <w:p w14:paraId="6B1760B8"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ER</w:t>
            </w:r>
          </w:p>
        </w:tc>
        <w:tc>
          <w:tcPr>
            <w:tcW w:w="486" w:type="dxa"/>
            <w:shd w:val="clear" w:color="auto" w:fill="auto"/>
            <w:noWrap/>
            <w:vAlign w:val="bottom"/>
            <w:hideMark/>
          </w:tcPr>
          <w:p w14:paraId="7AE66B40"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CH</w:t>
            </w:r>
          </w:p>
        </w:tc>
        <w:tc>
          <w:tcPr>
            <w:tcW w:w="497" w:type="dxa"/>
            <w:shd w:val="clear" w:color="auto" w:fill="auto"/>
            <w:noWrap/>
            <w:vAlign w:val="center"/>
            <w:hideMark/>
          </w:tcPr>
          <w:p w14:paraId="74AD728E"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F</w:t>
            </w:r>
          </w:p>
        </w:tc>
        <w:tc>
          <w:tcPr>
            <w:tcW w:w="572" w:type="dxa"/>
            <w:shd w:val="clear" w:color="auto" w:fill="auto"/>
            <w:noWrap/>
            <w:vAlign w:val="center"/>
            <w:hideMark/>
          </w:tcPr>
          <w:p w14:paraId="3D10989D" w14:textId="0930CB33" w:rsidR="000852E2" w:rsidRPr="003E284C" w:rsidRDefault="005279AC"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C/</w:t>
            </w:r>
            <w:r w:rsidR="000852E2" w:rsidRPr="003E284C">
              <w:rPr>
                <w:rFonts w:ascii="Times New Roman" w:eastAsia="Times New Roman" w:hAnsi="Times New Roman" w:cs="Times New Roman"/>
                <w:sz w:val="18"/>
                <w:szCs w:val="18"/>
                <w:lang w:val="es-ES"/>
              </w:rPr>
              <w:t>D</w:t>
            </w:r>
          </w:p>
        </w:tc>
        <w:tc>
          <w:tcPr>
            <w:tcW w:w="512" w:type="dxa"/>
            <w:shd w:val="clear" w:color="auto" w:fill="auto"/>
            <w:noWrap/>
            <w:vAlign w:val="bottom"/>
            <w:hideMark/>
          </w:tcPr>
          <w:p w14:paraId="40BB8F95"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59</w:t>
            </w:r>
          </w:p>
        </w:tc>
        <w:tc>
          <w:tcPr>
            <w:tcW w:w="415" w:type="dxa"/>
            <w:shd w:val="clear" w:color="auto" w:fill="auto"/>
            <w:noWrap/>
            <w:vAlign w:val="bottom"/>
            <w:hideMark/>
          </w:tcPr>
          <w:p w14:paraId="76802B15"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44</w:t>
            </w:r>
          </w:p>
        </w:tc>
        <w:tc>
          <w:tcPr>
            <w:tcW w:w="476" w:type="dxa"/>
            <w:shd w:val="clear" w:color="auto" w:fill="auto"/>
            <w:noWrap/>
            <w:vAlign w:val="bottom"/>
            <w:hideMark/>
          </w:tcPr>
          <w:p w14:paraId="2E01AA4F"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1.32</w:t>
            </w:r>
          </w:p>
        </w:tc>
        <w:tc>
          <w:tcPr>
            <w:tcW w:w="458" w:type="dxa"/>
            <w:shd w:val="clear" w:color="auto" w:fill="auto"/>
            <w:noWrap/>
            <w:vAlign w:val="bottom"/>
            <w:hideMark/>
          </w:tcPr>
          <w:p w14:paraId="10EF5EE9"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80</w:t>
            </w:r>
          </w:p>
        </w:tc>
        <w:tc>
          <w:tcPr>
            <w:tcW w:w="476" w:type="dxa"/>
            <w:shd w:val="clear" w:color="auto" w:fill="auto"/>
            <w:noWrap/>
            <w:vAlign w:val="bottom"/>
            <w:hideMark/>
          </w:tcPr>
          <w:p w14:paraId="4A18CBB0"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30.7</w:t>
            </w:r>
          </w:p>
        </w:tc>
        <w:tc>
          <w:tcPr>
            <w:tcW w:w="386" w:type="dxa"/>
            <w:shd w:val="clear" w:color="auto" w:fill="auto"/>
            <w:noWrap/>
            <w:vAlign w:val="bottom"/>
            <w:hideMark/>
          </w:tcPr>
          <w:p w14:paraId="344AFDDF"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120</w:t>
            </w:r>
          </w:p>
        </w:tc>
        <w:tc>
          <w:tcPr>
            <w:tcW w:w="408" w:type="dxa"/>
            <w:shd w:val="clear" w:color="auto" w:fill="auto"/>
            <w:noWrap/>
            <w:vAlign w:val="bottom"/>
            <w:hideMark/>
          </w:tcPr>
          <w:p w14:paraId="3BFA332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75</w:t>
            </w:r>
          </w:p>
        </w:tc>
        <w:tc>
          <w:tcPr>
            <w:tcW w:w="456" w:type="dxa"/>
            <w:shd w:val="clear" w:color="auto" w:fill="auto"/>
            <w:noWrap/>
            <w:vAlign w:val="bottom"/>
            <w:hideMark/>
          </w:tcPr>
          <w:p w14:paraId="0889ECB0"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141</w:t>
            </w:r>
          </w:p>
        </w:tc>
        <w:tc>
          <w:tcPr>
            <w:tcW w:w="457" w:type="dxa"/>
            <w:shd w:val="clear" w:color="auto" w:fill="auto"/>
            <w:noWrap/>
            <w:vAlign w:val="bottom"/>
            <w:hideMark/>
          </w:tcPr>
          <w:p w14:paraId="2E49DD47"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73</w:t>
            </w:r>
          </w:p>
        </w:tc>
        <w:tc>
          <w:tcPr>
            <w:tcW w:w="476" w:type="dxa"/>
            <w:shd w:val="clear" w:color="auto" w:fill="auto"/>
            <w:noWrap/>
            <w:vAlign w:val="bottom"/>
            <w:hideMark/>
          </w:tcPr>
          <w:p w14:paraId="62BAAF41"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3.6</w:t>
            </w:r>
          </w:p>
        </w:tc>
        <w:tc>
          <w:tcPr>
            <w:tcW w:w="456" w:type="dxa"/>
            <w:shd w:val="clear" w:color="auto" w:fill="auto"/>
            <w:noWrap/>
            <w:vAlign w:val="bottom"/>
            <w:hideMark/>
          </w:tcPr>
          <w:p w14:paraId="2EE22EE0"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298</w:t>
            </w:r>
          </w:p>
        </w:tc>
        <w:tc>
          <w:tcPr>
            <w:tcW w:w="508" w:type="dxa"/>
            <w:shd w:val="clear" w:color="auto" w:fill="auto"/>
            <w:noWrap/>
            <w:vAlign w:val="bottom"/>
            <w:hideMark/>
          </w:tcPr>
          <w:p w14:paraId="362D0E2F"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241</w:t>
            </w:r>
          </w:p>
        </w:tc>
        <w:tc>
          <w:tcPr>
            <w:tcW w:w="482" w:type="dxa"/>
            <w:shd w:val="clear" w:color="auto" w:fill="auto"/>
            <w:noWrap/>
            <w:vAlign w:val="bottom"/>
            <w:hideMark/>
          </w:tcPr>
          <w:p w14:paraId="7985ED7F"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49</w:t>
            </w:r>
          </w:p>
        </w:tc>
        <w:tc>
          <w:tcPr>
            <w:tcW w:w="476" w:type="dxa"/>
            <w:shd w:val="clear" w:color="auto" w:fill="auto"/>
            <w:noWrap/>
            <w:vAlign w:val="bottom"/>
            <w:hideMark/>
          </w:tcPr>
          <w:p w14:paraId="21F52BD5"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189.4</w:t>
            </w:r>
          </w:p>
        </w:tc>
        <w:tc>
          <w:tcPr>
            <w:tcW w:w="429" w:type="dxa"/>
            <w:shd w:val="clear" w:color="auto" w:fill="auto"/>
            <w:noWrap/>
            <w:vAlign w:val="bottom"/>
            <w:hideMark/>
          </w:tcPr>
          <w:p w14:paraId="559F463F"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6.08</w:t>
            </w:r>
          </w:p>
        </w:tc>
      </w:tr>
      <w:tr w:rsidR="003E284C" w:rsidRPr="003E284C" w14:paraId="7C87F79A" w14:textId="77777777" w:rsidTr="0018154D">
        <w:trPr>
          <w:trHeight w:val="342"/>
        </w:trPr>
        <w:tc>
          <w:tcPr>
            <w:tcW w:w="443" w:type="dxa"/>
            <w:shd w:val="clear" w:color="auto" w:fill="auto"/>
            <w:noWrap/>
            <w:vAlign w:val="bottom"/>
            <w:hideMark/>
          </w:tcPr>
          <w:p w14:paraId="4CBA2094"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ER</w:t>
            </w:r>
          </w:p>
        </w:tc>
        <w:tc>
          <w:tcPr>
            <w:tcW w:w="486" w:type="dxa"/>
            <w:shd w:val="clear" w:color="auto" w:fill="auto"/>
            <w:noWrap/>
            <w:vAlign w:val="bottom"/>
            <w:hideMark/>
          </w:tcPr>
          <w:p w14:paraId="1B809F97"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CH</w:t>
            </w:r>
          </w:p>
        </w:tc>
        <w:tc>
          <w:tcPr>
            <w:tcW w:w="497" w:type="dxa"/>
            <w:shd w:val="clear" w:color="auto" w:fill="auto"/>
            <w:noWrap/>
            <w:vAlign w:val="center"/>
            <w:hideMark/>
          </w:tcPr>
          <w:p w14:paraId="307724D2"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F</w:t>
            </w:r>
          </w:p>
        </w:tc>
        <w:tc>
          <w:tcPr>
            <w:tcW w:w="572" w:type="dxa"/>
            <w:shd w:val="clear" w:color="auto" w:fill="auto"/>
            <w:noWrap/>
            <w:vAlign w:val="center"/>
            <w:hideMark/>
          </w:tcPr>
          <w:p w14:paraId="65CC5245" w14:textId="4AA7EA17" w:rsidR="000852E2" w:rsidRPr="003E284C" w:rsidRDefault="005279AC"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C/</w:t>
            </w:r>
            <w:r w:rsidR="000852E2" w:rsidRPr="003E284C">
              <w:rPr>
                <w:rFonts w:ascii="Times New Roman" w:eastAsia="Times New Roman" w:hAnsi="Times New Roman" w:cs="Times New Roman"/>
                <w:sz w:val="18"/>
                <w:szCs w:val="18"/>
                <w:lang w:val="es-ES"/>
              </w:rPr>
              <w:t>D</w:t>
            </w:r>
          </w:p>
        </w:tc>
        <w:tc>
          <w:tcPr>
            <w:tcW w:w="512" w:type="dxa"/>
            <w:shd w:val="clear" w:color="auto" w:fill="auto"/>
            <w:noWrap/>
            <w:vAlign w:val="bottom"/>
            <w:hideMark/>
          </w:tcPr>
          <w:p w14:paraId="6A7D13EE"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60</w:t>
            </w:r>
          </w:p>
        </w:tc>
        <w:tc>
          <w:tcPr>
            <w:tcW w:w="415" w:type="dxa"/>
            <w:shd w:val="clear" w:color="auto" w:fill="auto"/>
            <w:noWrap/>
            <w:vAlign w:val="bottom"/>
            <w:hideMark/>
          </w:tcPr>
          <w:p w14:paraId="5B727CC2"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45</w:t>
            </w:r>
          </w:p>
        </w:tc>
        <w:tc>
          <w:tcPr>
            <w:tcW w:w="476" w:type="dxa"/>
            <w:shd w:val="clear" w:color="auto" w:fill="auto"/>
            <w:noWrap/>
            <w:vAlign w:val="bottom"/>
            <w:hideMark/>
          </w:tcPr>
          <w:p w14:paraId="5228FC83"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1.28</w:t>
            </w:r>
          </w:p>
        </w:tc>
        <w:tc>
          <w:tcPr>
            <w:tcW w:w="458" w:type="dxa"/>
            <w:shd w:val="clear" w:color="auto" w:fill="auto"/>
            <w:noWrap/>
            <w:vAlign w:val="bottom"/>
            <w:hideMark/>
          </w:tcPr>
          <w:p w14:paraId="096C05D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150</w:t>
            </w:r>
          </w:p>
        </w:tc>
        <w:tc>
          <w:tcPr>
            <w:tcW w:w="476" w:type="dxa"/>
            <w:shd w:val="clear" w:color="auto" w:fill="auto"/>
            <w:noWrap/>
            <w:vAlign w:val="bottom"/>
            <w:hideMark/>
          </w:tcPr>
          <w:p w14:paraId="10297B5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28.4</w:t>
            </w:r>
          </w:p>
        </w:tc>
        <w:tc>
          <w:tcPr>
            <w:tcW w:w="386" w:type="dxa"/>
            <w:shd w:val="clear" w:color="auto" w:fill="auto"/>
            <w:noWrap/>
            <w:vAlign w:val="bottom"/>
            <w:hideMark/>
          </w:tcPr>
          <w:p w14:paraId="226DE88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123</w:t>
            </w:r>
          </w:p>
        </w:tc>
        <w:tc>
          <w:tcPr>
            <w:tcW w:w="408" w:type="dxa"/>
            <w:shd w:val="clear" w:color="auto" w:fill="auto"/>
            <w:noWrap/>
            <w:vAlign w:val="bottom"/>
            <w:hideMark/>
          </w:tcPr>
          <w:p w14:paraId="6D7EBC7D"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57</w:t>
            </w:r>
          </w:p>
        </w:tc>
        <w:tc>
          <w:tcPr>
            <w:tcW w:w="456" w:type="dxa"/>
            <w:shd w:val="clear" w:color="auto" w:fill="auto"/>
            <w:noWrap/>
            <w:vAlign w:val="bottom"/>
            <w:hideMark/>
          </w:tcPr>
          <w:p w14:paraId="3211F6C1"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157</w:t>
            </w:r>
          </w:p>
        </w:tc>
        <w:tc>
          <w:tcPr>
            <w:tcW w:w="457" w:type="dxa"/>
            <w:shd w:val="clear" w:color="auto" w:fill="auto"/>
            <w:noWrap/>
            <w:vAlign w:val="bottom"/>
            <w:hideMark/>
          </w:tcPr>
          <w:p w14:paraId="763420F4"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130</w:t>
            </w:r>
          </w:p>
        </w:tc>
        <w:tc>
          <w:tcPr>
            <w:tcW w:w="476" w:type="dxa"/>
            <w:shd w:val="clear" w:color="auto" w:fill="auto"/>
            <w:noWrap/>
            <w:vAlign w:val="bottom"/>
            <w:hideMark/>
          </w:tcPr>
          <w:p w14:paraId="48E11E7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8.7</w:t>
            </w:r>
          </w:p>
        </w:tc>
        <w:tc>
          <w:tcPr>
            <w:tcW w:w="456" w:type="dxa"/>
            <w:shd w:val="clear" w:color="auto" w:fill="auto"/>
            <w:noWrap/>
            <w:vAlign w:val="bottom"/>
            <w:hideMark/>
          </w:tcPr>
          <w:p w14:paraId="7F5B5FF9"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251</w:t>
            </w:r>
          </w:p>
        </w:tc>
        <w:tc>
          <w:tcPr>
            <w:tcW w:w="508" w:type="dxa"/>
            <w:shd w:val="clear" w:color="auto" w:fill="auto"/>
            <w:noWrap/>
            <w:vAlign w:val="bottom"/>
            <w:hideMark/>
          </w:tcPr>
          <w:p w14:paraId="6F7DC6FE"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201</w:t>
            </w:r>
          </w:p>
        </w:tc>
        <w:tc>
          <w:tcPr>
            <w:tcW w:w="482" w:type="dxa"/>
            <w:shd w:val="clear" w:color="auto" w:fill="auto"/>
            <w:noWrap/>
            <w:vAlign w:val="bottom"/>
            <w:hideMark/>
          </w:tcPr>
          <w:p w14:paraId="47480212"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50</w:t>
            </w:r>
          </w:p>
        </w:tc>
        <w:tc>
          <w:tcPr>
            <w:tcW w:w="476" w:type="dxa"/>
            <w:shd w:val="clear" w:color="auto" w:fill="auto"/>
            <w:noWrap/>
            <w:vAlign w:val="bottom"/>
            <w:hideMark/>
          </w:tcPr>
          <w:p w14:paraId="308459D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150.8</w:t>
            </w:r>
          </w:p>
        </w:tc>
        <w:tc>
          <w:tcPr>
            <w:tcW w:w="429" w:type="dxa"/>
            <w:shd w:val="clear" w:color="auto" w:fill="auto"/>
            <w:noWrap/>
            <w:vAlign w:val="bottom"/>
            <w:hideMark/>
          </w:tcPr>
          <w:p w14:paraId="60782749"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5.02</w:t>
            </w:r>
          </w:p>
        </w:tc>
      </w:tr>
      <w:tr w:rsidR="003E284C" w:rsidRPr="003E284C" w14:paraId="1EE9C3C0" w14:textId="77777777" w:rsidTr="0018154D">
        <w:trPr>
          <w:trHeight w:val="342"/>
        </w:trPr>
        <w:tc>
          <w:tcPr>
            <w:tcW w:w="443" w:type="dxa"/>
            <w:shd w:val="clear" w:color="auto" w:fill="auto"/>
            <w:noWrap/>
            <w:vAlign w:val="bottom"/>
            <w:hideMark/>
          </w:tcPr>
          <w:p w14:paraId="0732D838"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ER</w:t>
            </w:r>
          </w:p>
        </w:tc>
        <w:tc>
          <w:tcPr>
            <w:tcW w:w="486" w:type="dxa"/>
            <w:shd w:val="clear" w:color="auto" w:fill="auto"/>
            <w:noWrap/>
            <w:vAlign w:val="bottom"/>
            <w:hideMark/>
          </w:tcPr>
          <w:p w14:paraId="449D86D4"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CH</w:t>
            </w:r>
          </w:p>
        </w:tc>
        <w:tc>
          <w:tcPr>
            <w:tcW w:w="497" w:type="dxa"/>
            <w:shd w:val="clear" w:color="auto" w:fill="auto"/>
            <w:noWrap/>
            <w:vAlign w:val="center"/>
            <w:hideMark/>
          </w:tcPr>
          <w:p w14:paraId="6A4A4C7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M</w:t>
            </w:r>
          </w:p>
        </w:tc>
        <w:tc>
          <w:tcPr>
            <w:tcW w:w="572" w:type="dxa"/>
            <w:shd w:val="clear" w:color="auto" w:fill="auto"/>
            <w:noWrap/>
            <w:vAlign w:val="center"/>
            <w:hideMark/>
          </w:tcPr>
          <w:p w14:paraId="3F64DFE1" w14:textId="2ECE3EBA" w:rsidR="000852E2" w:rsidRPr="003E284C" w:rsidRDefault="005279AC"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C/</w:t>
            </w:r>
            <w:r w:rsidR="000852E2" w:rsidRPr="003E284C">
              <w:rPr>
                <w:rFonts w:ascii="Times New Roman" w:eastAsia="Times New Roman" w:hAnsi="Times New Roman" w:cs="Times New Roman"/>
                <w:sz w:val="18"/>
                <w:szCs w:val="18"/>
                <w:lang w:val="es-ES"/>
              </w:rPr>
              <w:t>D</w:t>
            </w:r>
          </w:p>
        </w:tc>
        <w:tc>
          <w:tcPr>
            <w:tcW w:w="512" w:type="dxa"/>
            <w:shd w:val="clear" w:color="auto" w:fill="auto"/>
            <w:noWrap/>
            <w:vAlign w:val="bottom"/>
            <w:hideMark/>
          </w:tcPr>
          <w:p w14:paraId="1BED825F"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49</w:t>
            </w:r>
          </w:p>
        </w:tc>
        <w:tc>
          <w:tcPr>
            <w:tcW w:w="415" w:type="dxa"/>
            <w:shd w:val="clear" w:color="auto" w:fill="auto"/>
            <w:noWrap/>
            <w:vAlign w:val="bottom"/>
            <w:hideMark/>
          </w:tcPr>
          <w:p w14:paraId="01AF42DE"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15</w:t>
            </w:r>
          </w:p>
        </w:tc>
        <w:tc>
          <w:tcPr>
            <w:tcW w:w="476" w:type="dxa"/>
            <w:shd w:val="clear" w:color="auto" w:fill="auto"/>
            <w:noWrap/>
            <w:vAlign w:val="bottom"/>
            <w:hideMark/>
          </w:tcPr>
          <w:p w14:paraId="3BA4F5A5"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4.4</w:t>
            </w:r>
          </w:p>
        </w:tc>
        <w:tc>
          <w:tcPr>
            <w:tcW w:w="458" w:type="dxa"/>
            <w:shd w:val="clear" w:color="auto" w:fill="auto"/>
            <w:noWrap/>
            <w:vAlign w:val="bottom"/>
            <w:hideMark/>
          </w:tcPr>
          <w:p w14:paraId="4270A139"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150</w:t>
            </w:r>
          </w:p>
        </w:tc>
        <w:tc>
          <w:tcPr>
            <w:tcW w:w="476" w:type="dxa"/>
            <w:shd w:val="clear" w:color="auto" w:fill="auto"/>
            <w:noWrap/>
            <w:vAlign w:val="bottom"/>
            <w:hideMark/>
          </w:tcPr>
          <w:p w14:paraId="75E5CFD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32.71</w:t>
            </w:r>
          </w:p>
        </w:tc>
        <w:tc>
          <w:tcPr>
            <w:tcW w:w="386" w:type="dxa"/>
            <w:shd w:val="clear" w:color="auto" w:fill="auto"/>
            <w:noWrap/>
            <w:vAlign w:val="bottom"/>
            <w:hideMark/>
          </w:tcPr>
          <w:p w14:paraId="0C64280E"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132</w:t>
            </w:r>
          </w:p>
        </w:tc>
        <w:tc>
          <w:tcPr>
            <w:tcW w:w="408" w:type="dxa"/>
            <w:shd w:val="clear" w:color="auto" w:fill="auto"/>
            <w:noWrap/>
            <w:vAlign w:val="bottom"/>
            <w:hideMark/>
          </w:tcPr>
          <w:p w14:paraId="796161BF"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85</w:t>
            </w:r>
          </w:p>
        </w:tc>
        <w:tc>
          <w:tcPr>
            <w:tcW w:w="456" w:type="dxa"/>
            <w:shd w:val="clear" w:color="auto" w:fill="auto"/>
            <w:noWrap/>
            <w:vAlign w:val="bottom"/>
            <w:hideMark/>
          </w:tcPr>
          <w:p w14:paraId="27EFD33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142</w:t>
            </w:r>
          </w:p>
        </w:tc>
        <w:tc>
          <w:tcPr>
            <w:tcW w:w="457" w:type="dxa"/>
            <w:shd w:val="clear" w:color="auto" w:fill="auto"/>
            <w:noWrap/>
            <w:vAlign w:val="bottom"/>
            <w:hideMark/>
          </w:tcPr>
          <w:p w14:paraId="36870ED8"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132</w:t>
            </w:r>
          </w:p>
        </w:tc>
        <w:tc>
          <w:tcPr>
            <w:tcW w:w="476" w:type="dxa"/>
            <w:shd w:val="clear" w:color="auto" w:fill="auto"/>
            <w:noWrap/>
            <w:vAlign w:val="bottom"/>
            <w:hideMark/>
          </w:tcPr>
          <w:p w14:paraId="765145D6"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6.2</w:t>
            </w:r>
          </w:p>
        </w:tc>
        <w:tc>
          <w:tcPr>
            <w:tcW w:w="456" w:type="dxa"/>
            <w:shd w:val="clear" w:color="auto" w:fill="auto"/>
            <w:noWrap/>
            <w:vAlign w:val="bottom"/>
            <w:hideMark/>
          </w:tcPr>
          <w:p w14:paraId="26F12CFD"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226</w:t>
            </w:r>
          </w:p>
        </w:tc>
        <w:tc>
          <w:tcPr>
            <w:tcW w:w="508" w:type="dxa"/>
            <w:shd w:val="clear" w:color="auto" w:fill="auto"/>
            <w:noWrap/>
            <w:vAlign w:val="bottom"/>
            <w:hideMark/>
          </w:tcPr>
          <w:p w14:paraId="0D579E56"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298</w:t>
            </w:r>
          </w:p>
        </w:tc>
        <w:tc>
          <w:tcPr>
            <w:tcW w:w="482" w:type="dxa"/>
            <w:shd w:val="clear" w:color="auto" w:fill="auto"/>
            <w:noWrap/>
            <w:vAlign w:val="bottom"/>
            <w:hideMark/>
          </w:tcPr>
          <w:p w14:paraId="7561F419"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65</w:t>
            </w:r>
          </w:p>
        </w:tc>
        <w:tc>
          <w:tcPr>
            <w:tcW w:w="476" w:type="dxa"/>
            <w:shd w:val="clear" w:color="auto" w:fill="auto"/>
            <w:noWrap/>
            <w:vAlign w:val="bottom"/>
            <w:hideMark/>
          </w:tcPr>
          <w:p w14:paraId="49DE5F63"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115.8</w:t>
            </w:r>
          </w:p>
        </w:tc>
        <w:tc>
          <w:tcPr>
            <w:tcW w:w="429" w:type="dxa"/>
            <w:shd w:val="clear" w:color="auto" w:fill="auto"/>
            <w:noWrap/>
            <w:vAlign w:val="bottom"/>
            <w:hideMark/>
          </w:tcPr>
          <w:p w14:paraId="72FE3FFD"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3.5</w:t>
            </w:r>
          </w:p>
        </w:tc>
      </w:tr>
      <w:tr w:rsidR="003E284C" w:rsidRPr="003E284C" w14:paraId="2226FBE2" w14:textId="77777777" w:rsidTr="0018154D">
        <w:trPr>
          <w:trHeight w:val="397"/>
        </w:trPr>
        <w:tc>
          <w:tcPr>
            <w:tcW w:w="443" w:type="dxa"/>
            <w:shd w:val="clear" w:color="auto" w:fill="auto"/>
            <w:noWrap/>
            <w:vAlign w:val="bottom"/>
            <w:hideMark/>
          </w:tcPr>
          <w:p w14:paraId="09075387"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ER</w:t>
            </w:r>
          </w:p>
        </w:tc>
        <w:tc>
          <w:tcPr>
            <w:tcW w:w="486" w:type="dxa"/>
            <w:shd w:val="clear" w:color="auto" w:fill="auto"/>
            <w:noWrap/>
            <w:vAlign w:val="bottom"/>
            <w:hideMark/>
          </w:tcPr>
          <w:p w14:paraId="791C0D0C"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CH</w:t>
            </w:r>
          </w:p>
        </w:tc>
        <w:tc>
          <w:tcPr>
            <w:tcW w:w="497" w:type="dxa"/>
            <w:shd w:val="clear" w:color="auto" w:fill="auto"/>
            <w:noWrap/>
            <w:vAlign w:val="center"/>
            <w:hideMark/>
          </w:tcPr>
          <w:p w14:paraId="442D8F9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M</w:t>
            </w:r>
          </w:p>
        </w:tc>
        <w:tc>
          <w:tcPr>
            <w:tcW w:w="572" w:type="dxa"/>
            <w:shd w:val="clear" w:color="auto" w:fill="auto"/>
            <w:noWrap/>
            <w:vAlign w:val="center"/>
            <w:hideMark/>
          </w:tcPr>
          <w:p w14:paraId="22EAE5BB" w14:textId="4BD64FB8" w:rsidR="000852E2" w:rsidRPr="003E284C" w:rsidRDefault="005279AC"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C/</w:t>
            </w:r>
            <w:r w:rsidR="000852E2" w:rsidRPr="003E284C">
              <w:rPr>
                <w:rFonts w:ascii="Times New Roman" w:eastAsia="Times New Roman" w:hAnsi="Times New Roman" w:cs="Times New Roman"/>
                <w:sz w:val="18"/>
                <w:szCs w:val="18"/>
                <w:lang w:val="es-ES"/>
              </w:rPr>
              <w:t>D</w:t>
            </w:r>
          </w:p>
        </w:tc>
        <w:tc>
          <w:tcPr>
            <w:tcW w:w="512" w:type="dxa"/>
            <w:shd w:val="clear" w:color="auto" w:fill="auto"/>
            <w:noWrap/>
            <w:vAlign w:val="bottom"/>
            <w:hideMark/>
          </w:tcPr>
          <w:p w14:paraId="287C0828"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64</w:t>
            </w:r>
          </w:p>
        </w:tc>
        <w:tc>
          <w:tcPr>
            <w:tcW w:w="415" w:type="dxa"/>
            <w:shd w:val="clear" w:color="auto" w:fill="auto"/>
            <w:noWrap/>
            <w:vAlign w:val="bottom"/>
            <w:hideMark/>
          </w:tcPr>
          <w:p w14:paraId="3951BC7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34</w:t>
            </w:r>
          </w:p>
        </w:tc>
        <w:tc>
          <w:tcPr>
            <w:tcW w:w="476" w:type="dxa"/>
            <w:shd w:val="clear" w:color="auto" w:fill="auto"/>
            <w:noWrap/>
            <w:vAlign w:val="bottom"/>
            <w:hideMark/>
          </w:tcPr>
          <w:p w14:paraId="0FB854E9"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2.02</w:t>
            </w:r>
          </w:p>
        </w:tc>
        <w:tc>
          <w:tcPr>
            <w:tcW w:w="458" w:type="dxa"/>
            <w:shd w:val="clear" w:color="auto" w:fill="auto"/>
            <w:noWrap/>
            <w:vAlign w:val="bottom"/>
            <w:hideMark/>
          </w:tcPr>
          <w:p w14:paraId="2D9E3827"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150</w:t>
            </w:r>
          </w:p>
        </w:tc>
        <w:tc>
          <w:tcPr>
            <w:tcW w:w="476" w:type="dxa"/>
            <w:shd w:val="clear" w:color="auto" w:fill="auto"/>
            <w:noWrap/>
            <w:vAlign w:val="bottom"/>
            <w:hideMark/>
          </w:tcPr>
          <w:p w14:paraId="29DCEAEA"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21.7</w:t>
            </w:r>
          </w:p>
        </w:tc>
        <w:tc>
          <w:tcPr>
            <w:tcW w:w="386" w:type="dxa"/>
            <w:shd w:val="clear" w:color="auto" w:fill="auto"/>
            <w:noWrap/>
            <w:vAlign w:val="bottom"/>
            <w:hideMark/>
          </w:tcPr>
          <w:p w14:paraId="1B2CD612"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186</w:t>
            </w:r>
          </w:p>
        </w:tc>
        <w:tc>
          <w:tcPr>
            <w:tcW w:w="408" w:type="dxa"/>
            <w:shd w:val="clear" w:color="auto" w:fill="auto"/>
            <w:noWrap/>
            <w:vAlign w:val="bottom"/>
            <w:hideMark/>
          </w:tcPr>
          <w:p w14:paraId="221D39D2"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86</w:t>
            </w:r>
          </w:p>
        </w:tc>
        <w:tc>
          <w:tcPr>
            <w:tcW w:w="456" w:type="dxa"/>
            <w:shd w:val="clear" w:color="auto" w:fill="auto"/>
            <w:noWrap/>
            <w:vAlign w:val="bottom"/>
            <w:hideMark/>
          </w:tcPr>
          <w:p w14:paraId="563FF97D"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157</w:t>
            </w:r>
          </w:p>
        </w:tc>
        <w:tc>
          <w:tcPr>
            <w:tcW w:w="457" w:type="dxa"/>
            <w:shd w:val="clear" w:color="auto" w:fill="auto"/>
            <w:noWrap/>
            <w:vAlign w:val="bottom"/>
            <w:hideMark/>
          </w:tcPr>
          <w:p w14:paraId="6F532632"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61</w:t>
            </w:r>
          </w:p>
        </w:tc>
        <w:tc>
          <w:tcPr>
            <w:tcW w:w="476" w:type="dxa"/>
            <w:shd w:val="clear" w:color="auto" w:fill="auto"/>
            <w:noWrap/>
            <w:vAlign w:val="bottom"/>
            <w:hideMark/>
          </w:tcPr>
          <w:p w14:paraId="63ED3AAE"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6.1</w:t>
            </w:r>
          </w:p>
        </w:tc>
        <w:tc>
          <w:tcPr>
            <w:tcW w:w="456" w:type="dxa"/>
            <w:shd w:val="clear" w:color="auto" w:fill="auto"/>
            <w:noWrap/>
            <w:vAlign w:val="bottom"/>
            <w:hideMark/>
          </w:tcPr>
          <w:p w14:paraId="1EF1226B"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236</w:t>
            </w:r>
          </w:p>
        </w:tc>
        <w:tc>
          <w:tcPr>
            <w:tcW w:w="508" w:type="dxa"/>
            <w:shd w:val="clear" w:color="auto" w:fill="auto"/>
            <w:noWrap/>
            <w:vAlign w:val="bottom"/>
            <w:hideMark/>
          </w:tcPr>
          <w:p w14:paraId="23C22A5B"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188</w:t>
            </w:r>
          </w:p>
        </w:tc>
        <w:tc>
          <w:tcPr>
            <w:tcW w:w="482" w:type="dxa"/>
            <w:shd w:val="clear" w:color="auto" w:fill="auto"/>
            <w:noWrap/>
            <w:vAlign w:val="bottom"/>
            <w:hideMark/>
          </w:tcPr>
          <w:p w14:paraId="6ADFA379"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50</w:t>
            </w:r>
          </w:p>
        </w:tc>
        <w:tc>
          <w:tcPr>
            <w:tcW w:w="476" w:type="dxa"/>
            <w:shd w:val="clear" w:color="auto" w:fill="auto"/>
            <w:noWrap/>
            <w:vAlign w:val="bottom"/>
            <w:hideMark/>
          </w:tcPr>
          <w:p w14:paraId="208F3E90" w14:textId="77777777" w:rsidR="000852E2" w:rsidRPr="003E284C" w:rsidRDefault="000852E2" w:rsidP="006E2873">
            <w:pPr>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50</w:t>
            </w:r>
          </w:p>
        </w:tc>
        <w:tc>
          <w:tcPr>
            <w:tcW w:w="429" w:type="dxa"/>
            <w:shd w:val="clear" w:color="auto" w:fill="auto"/>
            <w:noWrap/>
            <w:vAlign w:val="bottom"/>
            <w:hideMark/>
          </w:tcPr>
          <w:p w14:paraId="325FD97A" w14:textId="77777777" w:rsidR="000852E2" w:rsidRPr="003E284C" w:rsidRDefault="000852E2" w:rsidP="006E2873">
            <w:pPr>
              <w:keepNext/>
              <w:spacing w:line="240" w:lineRule="auto"/>
              <w:jc w:val="center"/>
              <w:rPr>
                <w:rFonts w:ascii="Times New Roman" w:eastAsia="Times New Roman" w:hAnsi="Times New Roman" w:cs="Times New Roman"/>
                <w:sz w:val="18"/>
                <w:szCs w:val="18"/>
                <w:lang w:val="es-ES"/>
              </w:rPr>
            </w:pPr>
            <w:r w:rsidRPr="003E284C">
              <w:rPr>
                <w:rFonts w:ascii="Times New Roman" w:eastAsia="Times New Roman" w:hAnsi="Times New Roman" w:cs="Times New Roman"/>
                <w:sz w:val="18"/>
                <w:szCs w:val="18"/>
                <w:lang w:val="es-ES"/>
              </w:rPr>
              <w:t>4.72</w:t>
            </w:r>
          </w:p>
        </w:tc>
      </w:tr>
      <w:bookmarkEnd w:id="5"/>
    </w:tbl>
    <w:p w14:paraId="67A2FB28" w14:textId="77777777" w:rsidR="003E284C" w:rsidRDefault="003E284C" w:rsidP="0018154D">
      <w:pPr>
        <w:spacing w:after="0" w:line="360" w:lineRule="auto"/>
        <w:jc w:val="center"/>
        <w:rPr>
          <w:rFonts w:ascii="Times New Roman" w:hAnsi="Times New Roman" w:cs="Times New Roman"/>
          <w:sz w:val="24"/>
          <w:szCs w:val="24"/>
          <w:lang w:val="es-ES"/>
        </w:rPr>
      </w:pPr>
    </w:p>
    <w:p w14:paraId="453B7CFC" w14:textId="3A659F74" w:rsidR="00846908" w:rsidRPr="003E284C" w:rsidRDefault="00846908" w:rsidP="0018154D">
      <w:pPr>
        <w:spacing w:after="0" w:line="360" w:lineRule="auto"/>
        <w:jc w:val="center"/>
        <w:rPr>
          <w:rFonts w:ascii="Times New Roman" w:hAnsi="Times New Roman" w:cs="Times New Roman"/>
          <w:sz w:val="24"/>
          <w:szCs w:val="24"/>
          <w:lang w:val="es-ES"/>
        </w:rPr>
      </w:pPr>
      <w:r w:rsidRPr="003E284C">
        <w:rPr>
          <w:rFonts w:ascii="Times New Roman" w:hAnsi="Times New Roman" w:cs="Times New Roman"/>
          <w:sz w:val="24"/>
          <w:szCs w:val="24"/>
          <w:lang w:val="es-ES"/>
        </w:rPr>
        <w:t>Fuente: Elaboración propia</w:t>
      </w:r>
      <w:r w:rsidR="00766DB5" w:rsidRPr="003E284C">
        <w:rPr>
          <w:rFonts w:ascii="Times New Roman" w:hAnsi="Times New Roman" w:cs="Times New Roman"/>
          <w:sz w:val="24"/>
          <w:szCs w:val="24"/>
          <w:lang w:val="es-ES"/>
        </w:rPr>
        <w:t>. Datos procesados en Excel.</w:t>
      </w:r>
    </w:p>
    <w:p w14:paraId="4C74B6DE" w14:textId="03FE136A" w:rsidR="00BC141D" w:rsidRPr="003E284C" w:rsidRDefault="000852E2" w:rsidP="0018154D">
      <w:pPr>
        <w:spacing w:after="0" w:line="360" w:lineRule="auto"/>
        <w:jc w:val="center"/>
        <w:rPr>
          <w:rFonts w:ascii="Times New Roman" w:hAnsi="Times New Roman" w:cs="Times New Roman"/>
          <w:sz w:val="24"/>
          <w:szCs w:val="24"/>
          <w:lang w:val="es-ES"/>
        </w:rPr>
      </w:pPr>
      <w:r w:rsidRPr="003E284C">
        <w:rPr>
          <w:rFonts w:ascii="Times New Roman" w:hAnsi="Times New Roman" w:cs="Times New Roman"/>
          <w:sz w:val="24"/>
          <w:szCs w:val="24"/>
          <w:lang w:val="es-ES"/>
        </w:rPr>
        <w:t>Abreviaciones: Patología renal (PR), Enfermedad renal oculta (ERO), Enfermedad renal (ER), Municipio (MUN), Olinalá (OLI), Chilpancingo (CH), Femenino (F), Masculino (M), Estatus (ESTAT),</w:t>
      </w:r>
      <w:r w:rsidR="005279AC" w:rsidRPr="003E284C">
        <w:rPr>
          <w:rFonts w:ascii="Times New Roman" w:hAnsi="Times New Roman" w:cs="Times New Roman"/>
          <w:sz w:val="24"/>
          <w:szCs w:val="24"/>
          <w:lang w:val="es-ES"/>
        </w:rPr>
        <w:t xml:space="preserve"> Con </w:t>
      </w:r>
      <w:r w:rsidRPr="003E284C">
        <w:rPr>
          <w:rFonts w:ascii="Times New Roman" w:hAnsi="Times New Roman" w:cs="Times New Roman"/>
          <w:sz w:val="24"/>
          <w:szCs w:val="24"/>
          <w:lang w:val="es-ES"/>
        </w:rPr>
        <w:t>Diab</w:t>
      </w:r>
      <w:r w:rsidR="005279AC" w:rsidRPr="003E284C">
        <w:rPr>
          <w:rFonts w:ascii="Times New Roman" w:hAnsi="Times New Roman" w:cs="Times New Roman"/>
          <w:sz w:val="24"/>
          <w:szCs w:val="24"/>
          <w:lang w:val="es-ES"/>
        </w:rPr>
        <w:t>etes</w:t>
      </w:r>
      <w:r w:rsidRPr="003E284C">
        <w:rPr>
          <w:rFonts w:ascii="Times New Roman" w:hAnsi="Times New Roman" w:cs="Times New Roman"/>
          <w:sz w:val="24"/>
          <w:szCs w:val="24"/>
          <w:lang w:val="es-ES"/>
        </w:rPr>
        <w:t xml:space="preserve"> (</w:t>
      </w:r>
      <w:r w:rsidR="005279AC" w:rsidRPr="003E284C">
        <w:rPr>
          <w:rFonts w:ascii="Times New Roman" w:hAnsi="Times New Roman" w:cs="Times New Roman"/>
          <w:sz w:val="24"/>
          <w:szCs w:val="24"/>
          <w:lang w:val="es-ES"/>
        </w:rPr>
        <w:t>C/</w:t>
      </w:r>
      <w:r w:rsidRPr="003E284C">
        <w:rPr>
          <w:rFonts w:ascii="Times New Roman" w:hAnsi="Times New Roman" w:cs="Times New Roman"/>
          <w:sz w:val="24"/>
          <w:szCs w:val="24"/>
          <w:lang w:val="es-ES"/>
        </w:rPr>
        <w:t xml:space="preserve">D), </w:t>
      </w:r>
      <w:r w:rsidR="005279AC" w:rsidRPr="003E284C">
        <w:rPr>
          <w:rFonts w:ascii="Times New Roman" w:hAnsi="Times New Roman" w:cs="Times New Roman"/>
          <w:sz w:val="24"/>
          <w:szCs w:val="24"/>
          <w:lang w:val="es-ES"/>
        </w:rPr>
        <w:t xml:space="preserve">Sin </w:t>
      </w:r>
      <w:r w:rsidRPr="003E284C">
        <w:rPr>
          <w:rFonts w:ascii="Times New Roman" w:hAnsi="Times New Roman" w:cs="Times New Roman"/>
          <w:sz w:val="24"/>
          <w:szCs w:val="24"/>
          <w:lang w:val="es-ES"/>
        </w:rPr>
        <w:t>diab</w:t>
      </w:r>
      <w:r w:rsidR="005279AC" w:rsidRPr="003E284C">
        <w:rPr>
          <w:rFonts w:ascii="Times New Roman" w:hAnsi="Times New Roman" w:cs="Times New Roman"/>
          <w:sz w:val="24"/>
          <w:szCs w:val="24"/>
          <w:lang w:val="es-ES"/>
        </w:rPr>
        <w:t>etes</w:t>
      </w:r>
      <w:r w:rsidRPr="003E284C">
        <w:rPr>
          <w:rFonts w:ascii="Times New Roman" w:hAnsi="Times New Roman" w:cs="Times New Roman"/>
          <w:sz w:val="24"/>
          <w:szCs w:val="24"/>
          <w:lang w:val="es-ES"/>
        </w:rPr>
        <w:t xml:space="preserve"> (ND), </w:t>
      </w:r>
      <w:r w:rsidR="005279AC" w:rsidRPr="003E284C">
        <w:rPr>
          <w:rFonts w:ascii="Times New Roman" w:hAnsi="Times New Roman" w:cs="Times New Roman"/>
          <w:sz w:val="24"/>
          <w:szCs w:val="24"/>
          <w:lang w:val="es-ES"/>
        </w:rPr>
        <w:t xml:space="preserve">Con </w:t>
      </w:r>
      <w:r w:rsidRPr="003E284C">
        <w:rPr>
          <w:rFonts w:ascii="Times New Roman" w:hAnsi="Times New Roman" w:cs="Times New Roman"/>
          <w:sz w:val="24"/>
          <w:szCs w:val="24"/>
          <w:lang w:val="es-ES"/>
        </w:rPr>
        <w:t>Prediab</w:t>
      </w:r>
      <w:r w:rsidR="005279AC" w:rsidRPr="003E284C">
        <w:rPr>
          <w:rFonts w:ascii="Times New Roman" w:hAnsi="Times New Roman" w:cs="Times New Roman"/>
          <w:sz w:val="24"/>
          <w:szCs w:val="24"/>
          <w:lang w:val="es-ES"/>
        </w:rPr>
        <w:t>etes</w:t>
      </w:r>
      <w:r w:rsidRPr="003E284C">
        <w:rPr>
          <w:rFonts w:ascii="Times New Roman" w:hAnsi="Times New Roman" w:cs="Times New Roman"/>
          <w:sz w:val="24"/>
          <w:szCs w:val="24"/>
          <w:lang w:val="es-ES"/>
        </w:rPr>
        <w:t xml:space="preserve"> (</w:t>
      </w:r>
      <w:r w:rsidR="005279AC" w:rsidRPr="003E284C">
        <w:rPr>
          <w:rFonts w:ascii="Times New Roman" w:hAnsi="Times New Roman" w:cs="Times New Roman"/>
          <w:sz w:val="24"/>
          <w:szCs w:val="24"/>
          <w:lang w:val="es-ES"/>
        </w:rPr>
        <w:t>C/</w:t>
      </w:r>
      <w:r w:rsidRPr="003E284C">
        <w:rPr>
          <w:rFonts w:ascii="Times New Roman" w:hAnsi="Times New Roman" w:cs="Times New Roman"/>
          <w:sz w:val="24"/>
          <w:szCs w:val="24"/>
          <w:lang w:val="es-ES"/>
        </w:rPr>
        <w:t xml:space="preserve">P), Filtrado glomerular (FG), Creatinina sérica (CRS), Albuminuria (ALB), Índice de masa corporal (IMC), Presión arterial sistólica (PAS), Presión arterial diastólica (PAD), Glucosa (GLU), Urea (U), Ácido úrico (AU), Colesterol (COL), Triglicéridos (TRIG), </w:t>
      </w:r>
      <w:r w:rsidR="00CE7C83" w:rsidRPr="003E284C">
        <w:rPr>
          <w:rFonts w:ascii="Times New Roman" w:hAnsi="Times New Roman" w:cs="Times New Roman"/>
          <w:sz w:val="24"/>
          <w:szCs w:val="24"/>
          <w:lang w:val="es-ES"/>
        </w:rPr>
        <w:t>Colesterol</w:t>
      </w:r>
      <w:r w:rsidRPr="003E284C">
        <w:rPr>
          <w:rFonts w:ascii="Times New Roman" w:hAnsi="Times New Roman" w:cs="Times New Roman"/>
          <w:sz w:val="24"/>
          <w:szCs w:val="24"/>
          <w:lang w:val="es-ES"/>
        </w:rPr>
        <w:t xml:space="preserve"> de alta densidad (HDL</w:t>
      </w:r>
      <w:r w:rsidR="007955D5" w:rsidRPr="003E284C">
        <w:rPr>
          <w:rFonts w:ascii="Times New Roman" w:hAnsi="Times New Roman" w:cs="Times New Roman"/>
          <w:sz w:val="24"/>
          <w:szCs w:val="24"/>
          <w:lang w:val="es-ES"/>
        </w:rPr>
        <w:t>c</w:t>
      </w:r>
      <w:r w:rsidRPr="003E284C">
        <w:rPr>
          <w:rFonts w:ascii="Times New Roman" w:hAnsi="Times New Roman" w:cs="Times New Roman"/>
          <w:sz w:val="24"/>
          <w:szCs w:val="24"/>
          <w:lang w:val="es-ES"/>
        </w:rPr>
        <w:t xml:space="preserve">), </w:t>
      </w:r>
      <w:r w:rsidR="00CE7C83" w:rsidRPr="003E284C">
        <w:rPr>
          <w:rFonts w:ascii="Times New Roman" w:hAnsi="Times New Roman" w:cs="Times New Roman"/>
          <w:sz w:val="24"/>
          <w:szCs w:val="24"/>
          <w:lang w:val="es-ES"/>
        </w:rPr>
        <w:t>Colesterol</w:t>
      </w:r>
      <w:r w:rsidRPr="003E284C">
        <w:rPr>
          <w:rFonts w:ascii="Times New Roman" w:hAnsi="Times New Roman" w:cs="Times New Roman"/>
          <w:sz w:val="24"/>
          <w:szCs w:val="24"/>
          <w:lang w:val="es-ES"/>
        </w:rPr>
        <w:t xml:space="preserve"> de baja densidad (LDL</w:t>
      </w:r>
      <w:r w:rsidR="007955D5" w:rsidRPr="003E284C">
        <w:rPr>
          <w:rFonts w:ascii="Times New Roman" w:hAnsi="Times New Roman" w:cs="Times New Roman"/>
          <w:sz w:val="24"/>
          <w:szCs w:val="24"/>
          <w:lang w:val="es-ES"/>
        </w:rPr>
        <w:t>c</w:t>
      </w:r>
      <w:r w:rsidRPr="003E284C">
        <w:rPr>
          <w:rFonts w:ascii="Times New Roman" w:hAnsi="Times New Roman" w:cs="Times New Roman"/>
          <w:sz w:val="24"/>
          <w:szCs w:val="24"/>
          <w:lang w:val="es-ES"/>
        </w:rPr>
        <w:t>), Índice aterogénico (IA).</w:t>
      </w:r>
      <w:bookmarkStart w:id="6" w:name="_Hlk135771325"/>
    </w:p>
    <w:bookmarkEnd w:id="6"/>
    <w:p w14:paraId="668513F4" w14:textId="77777777" w:rsidR="002A7BBB" w:rsidRPr="003E284C" w:rsidRDefault="002A7BBB" w:rsidP="00EE7462">
      <w:pPr>
        <w:pStyle w:val="Normal1"/>
        <w:rPr>
          <w:color w:val="auto"/>
          <w:lang w:val="es-ES"/>
        </w:rPr>
      </w:pPr>
    </w:p>
    <w:p w14:paraId="403A005A" w14:textId="77777777" w:rsidR="002A7BBB" w:rsidRPr="003E284C" w:rsidRDefault="002A7BBB">
      <w:pPr>
        <w:rPr>
          <w:rFonts w:ascii="Times New Roman" w:eastAsia="Times New Roman" w:hAnsi="Times New Roman" w:cs="Times New Roman"/>
          <w:sz w:val="24"/>
          <w:szCs w:val="24"/>
          <w:lang w:val="es-ES" w:eastAsia="es-MX"/>
        </w:rPr>
      </w:pPr>
      <w:r w:rsidRPr="003E284C">
        <w:rPr>
          <w:lang w:val="es-ES"/>
        </w:rPr>
        <w:br w:type="page"/>
      </w:r>
    </w:p>
    <w:p w14:paraId="3B7BFA2C" w14:textId="1053D439" w:rsidR="00667620" w:rsidRPr="003E284C" w:rsidRDefault="00667620" w:rsidP="00EE7462">
      <w:pPr>
        <w:pStyle w:val="Normal1"/>
        <w:rPr>
          <w:color w:val="auto"/>
          <w:lang w:val="es-ES"/>
        </w:rPr>
      </w:pPr>
      <w:r w:rsidRPr="003E284C">
        <w:rPr>
          <w:color w:val="auto"/>
          <w:lang w:val="es-ES"/>
        </w:rPr>
        <w:lastRenderedPageBreak/>
        <w:t xml:space="preserve">Después de determinar el FG y los niveles de creatinina sérica, </w:t>
      </w:r>
      <w:r w:rsidR="00F8268A" w:rsidRPr="003E284C">
        <w:rPr>
          <w:color w:val="auto"/>
          <w:lang w:val="es-ES"/>
        </w:rPr>
        <w:t>se encontró</w:t>
      </w:r>
      <w:r w:rsidRPr="003E284C">
        <w:rPr>
          <w:color w:val="auto"/>
          <w:lang w:val="es-ES"/>
        </w:rPr>
        <w:t xml:space="preserve"> un grupo de 8 pacientes </w:t>
      </w:r>
      <w:r w:rsidR="00EE7462" w:rsidRPr="003E284C">
        <w:rPr>
          <w:color w:val="auto"/>
          <w:lang w:val="es-ES"/>
        </w:rPr>
        <w:t>con</w:t>
      </w:r>
      <w:r w:rsidRPr="003E284C">
        <w:rPr>
          <w:color w:val="auto"/>
          <w:lang w:val="es-ES"/>
        </w:rPr>
        <w:t xml:space="preserve"> una disminución del FG &lt; de 60 ml/min/1,73 m</w:t>
      </w:r>
      <w:r w:rsidRPr="003E284C">
        <w:rPr>
          <w:color w:val="auto"/>
          <w:vertAlign w:val="superscript"/>
          <w:lang w:val="es-ES"/>
        </w:rPr>
        <w:t>2</w:t>
      </w:r>
      <w:r w:rsidRPr="003E284C">
        <w:rPr>
          <w:color w:val="auto"/>
          <w:lang w:val="es-ES"/>
        </w:rPr>
        <w:t xml:space="preserve"> y niveles de creatinina alta, lo que indica presencia de enfermedad renal, representando un 2.27</w:t>
      </w:r>
      <w:r w:rsidR="00AA31FF" w:rsidRPr="003E284C">
        <w:rPr>
          <w:color w:val="auto"/>
          <w:lang w:val="es-ES"/>
        </w:rPr>
        <w:t xml:space="preserve"> </w:t>
      </w:r>
      <w:r w:rsidRPr="003E284C">
        <w:rPr>
          <w:color w:val="auto"/>
          <w:lang w:val="es-ES"/>
        </w:rPr>
        <w:t xml:space="preserve">% de </w:t>
      </w:r>
      <w:r w:rsidR="00EE7462" w:rsidRPr="003E284C">
        <w:rPr>
          <w:color w:val="auto"/>
          <w:lang w:val="es-ES"/>
        </w:rPr>
        <w:t>la</w:t>
      </w:r>
      <w:r w:rsidR="00995A46" w:rsidRPr="003E284C">
        <w:rPr>
          <w:color w:val="auto"/>
          <w:lang w:val="es-ES"/>
        </w:rPr>
        <w:t xml:space="preserve"> </w:t>
      </w:r>
      <w:r w:rsidRPr="003E284C">
        <w:rPr>
          <w:color w:val="auto"/>
          <w:lang w:val="es-ES"/>
        </w:rPr>
        <w:t>población</w:t>
      </w:r>
      <w:r w:rsidR="00EE7462" w:rsidRPr="003E284C">
        <w:rPr>
          <w:color w:val="auto"/>
          <w:lang w:val="es-ES"/>
        </w:rPr>
        <w:t xml:space="preserve"> de estudio</w:t>
      </w:r>
      <w:r w:rsidRPr="003E284C">
        <w:rPr>
          <w:color w:val="auto"/>
          <w:lang w:val="es-ES"/>
        </w:rPr>
        <w:t xml:space="preserve">. </w:t>
      </w:r>
      <w:r w:rsidR="00456A9D" w:rsidRPr="003E284C">
        <w:rPr>
          <w:color w:val="auto"/>
          <w:lang w:val="es-ES"/>
        </w:rPr>
        <w:t xml:space="preserve">Además, se identificaron </w:t>
      </w:r>
      <w:r w:rsidR="00EE7462" w:rsidRPr="003E284C">
        <w:rPr>
          <w:color w:val="auto"/>
          <w:lang w:val="es-ES"/>
        </w:rPr>
        <w:t>pacientes con</w:t>
      </w:r>
      <w:r w:rsidRPr="003E284C">
        <w:rPr>
          <w:color w:val="auto"/>
          <w:lang w:val="es-ES"/>
        </w:rPr>
        <w:t xml:space="preserve"> un FG &lt; de 60 ml/min/1,73 m</w:t>
      </w:r>
      <w:r w:rsidRPr="003E284C">
        <w:rPr>
          <w:color w:val="auto"/>
          <w:vertAlign w:val="superscript"/>
          <w:lang w:val="es-ES"/>
        </w:rPr>
        <w:t xml:space="preserve">2 </w:t>
      </w:r>
      <w:r w:rsidRPr="003E284C">
        <w:rPr>
          <w:color w:val="auto"/>
          <w:lang w:val="es-ES"/>
        </w:rPr>
        <w:t>y creatinina normal</w:t>
      </w:r>
      <w:r w:rsidR="000F2617" w:rsidRPr="003E284C">
        <w:rPr>
          <w:color w:val="auto"/>
          <w:lang w:val="es-ES"/>
        </w:rPr>
        <w:t>,</w:t>
      </w:r>
      <w:r w:rsidRPr="003E284C">
        <w:rPr>
          <w:color w:val="auto"/>
          <w:lang w:val="es-ES"/>
        </w:rPr>
        <w:t xml:space="preserve"> </w:t>
      </w:r>
      <w:r w:rsidR="00EE7462" w:rsidRPr="003E284C">
        <w:rPr>
          <w:color w:val="auto"/>
          <w:lang w:val="es-ES"/>
        </w:rPr>
        <w:t xml:space="preserve">con datos </w:t>
      </w:r>
      <w:r w:rsidRPr="003E284C">
        <w:rPr>
          <w:color w:val="auto"/>
          <w:lang w:val="es-ES"/>
        </w:rPr>
        <w:t>de ERO representando un porcentaje de 3.40</w:t>
      </w:r>
      <w:r w:rsidR="00AA31FF" w:rsidRPr="003E284C">
        <w:rPr>
          <w:color w:val="auto"/>
          <w:lang w:val="es-ES"/>
        </w:rPr>
        <w:t xml:space="preserve"> </w:t>
      </w:r>
      <w:r w:rsidRPr="003E284C">
        <w:rPr>
          <w:color w:val="auto"/>
          <w:lang w:val="es-ES"/>
        </w:rPr>
        <w:t xml:space="preserve">% (12 pacientes) </w:t>
      </w:r>
      <w:r w:rsidR="0074183A" w:rsidRPr="003E284C">
        <w:rPr>
          <w:color w:val="auto"/>
          <w:lang w:val="es-ES"/>
        </w:rPr>
        <w:t>(figura</w:t>
      </w:r>
      <w:r w:rsidRPr="003E284C">
        <w:rPr>
          <w:color w:val="auto"/>
          <w:lang w:val="es-ES"/>
        </w:rPr>
        <w:t xml:space="preserve"> </w:t>
      </w:r>
      <w:r w:rsidR="002A7BBB" w:rsidRPr="003E284C">
        <w:rPr>
          <w:color w:val="auto"/>
          <w:lang w:val="es-ES"/>
        </w:rPr>
        <w:t>2</w:t>
      </w:r>
      <w:r w:rsidR="0074183A" w:rsidRPr="003E284C">
        <w:rPr>
          <w:color w:val="auto"/>
          <w:lang w:val="es-ES"/>
        </w:rPr>
        <w:t>).</w:t>
      </w:r>
    </w:p>
    <w:p w14:paraId="35AD30A1" w14:textId="128C4548" w:rsidR="00667620" w:rsidRPr="003E284C" w:rsidRDefault="00667620" w:rsidP="00667620">
      <w:pPr>
        <w:tabs>
          <w:tab w:val="left" w:pos="709"/>
        </w:tabs>
        <w:spacing w:line="276" w:lineRule="auto"/>
        <w:rPr>
          <w:rFonts w:ascii="Times New Roman" w:hAnsi="Times New Roman" w:cs="Times New Roman"/>
          <w:sz w:val="24"/>
          <w:szCs w:val="24"/>
          <w:lang w:val="es-ES"/>
        </w:rPr>
      </w:pPr>
    </w:p>
    <w:p w14:paraId="6BD2C8EB" w14:textId="1943D9C1" w:rsidR="000F2617" w:rsidRPr="003E284C" w:rsidRDefault="00846908" w:rsidP="00456A9D">
      <w:pPr>
        <w:tabs>
          <w:tab w:val="left" w:pos="709"/>
        </w:tabs>
        <w:spacing w:line="276" w:lineRule="auto"/>
        <w:jc w:val="center"/>
        <w:rPr>
          <w:rFonts w:ascii="Times New Roman" w:hAnsi="Times New Roman" w:cs="Times New Roman"/>
          <w:sz w:val="24"/>
          <w:szCs w:val="24"/>
          <w:lang w:val="es-ES"/>
        </w:rPr>
      </w:pPr>
      <w:r w:rsidRPr="003E284C">
        <w:rPr>
          <w:rFonts w:ascii="Times New Roman" w:hAnsi="Times New Roman" w:cs="Times New Roman"/>
          <w:b/>
          <w:bCs/>
          <w:sz w:val="24"/>
          <w:szCs w:val="24"/>
          <w:lang w:val="es-ES"/>
        </w:rPr>
        <w:t>Figura 2</w:t>
      </w:r>
      <w:r w:rsidR="00456A9D" w:rsidRPr="003E284C">
        <w:rPr>
          <w:rFonts w:ascii="Times New Roman" w:hAnsi="Times New Roman" w:cs="Times New Roman"/>
          <w:b/>
          <w:bCs/>
          <w:sz w:val="24"/>
          <w:szCs w:val="24"/>
          <w:lang w:val="es-ES"/>
        </w:rPr>
        <w:t>.</w:t>
      </w:r>
      <w:r w:rsidRPr="003E284C">
        <w:rPr>
          <w:rFonts w:ascii="Times New Roman" w:hAnsi="Times New Roman" w:cs="Times New Roman"/>
          <w:b/>
          <w:bCs/>
          <w:sz w:val="24"/>
          <w:szCs w:val="24"/>
          <w:lang w:val="es-ES"/>
        </w:rPr>
        <w:t xml:space="preserve"> </w:t>
      </w:r>
      <w:r w:rsidRPr="003E284C">
        <w:rPr>
          <w:rFonts w:ascii="Times New Roman" w:hAnsi="Times New Roman" w:cs="Times New Roman"/>
          <w:sz w:val="24"/>
          <w:szCs w:val="24"/>
          <w:lang w:val="es-ES"/>
        </w:rPr>
        <w:t>Distribución de los pacientes del estudio según la tasa de FG y valores de creatinina sérica</w:t>
      </w:r>
    </w:p>
    <w:p w14:paraId="3C7A6028" w14:textId="546A9D39" w:rsidR="000F2617" w:rsidRPr="003E284C" w:rsidRDefault="00EC00A7" w:rsidP="000F2617">
      <w:pPr>
        <w:rPr>
          <w:lang w:val="es-ES"/>
        </w:rPr>
      </w:pPr>
      <w:r w:rsidRPr="003E284C">
        <w:rPr>
          <w:rFonts w:ascii="Times New Roman" w:hAnsi="Times New Roman" w:cs="Times New Roman"/>
          <w:b/>
          <w:bCs/>
          <w:noProof/>
          <w:sz w:val="24"/>
          <w:szCs w:val="24"/>
          <w:lang w:val="es-ES"/>
        </w:rPr>
        <w:drawing>
          <wp:inline distT="0" distB="0" distL="0" distR="0" wp14:anchorId="191E8381" wp14:editId="6990DE38">
            <wp:extent cx="5486400" cy="3200400"/>
            <wp:effectExtent l="0" t="0" r="0" b="0"/>
            <wp:docPr id="21230653"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B5AB446" w14:textId="7BE8B2FA" w:rsidR="000F2617" w:rsidRPr="003E284C" w:rsidRDefault="00846908" w:rsidP="0018154D">
      <w:pPr>
        <w:spacing w:after="0" w:line="360" w:lineRule="auto"/>
        <w:jc w:val="center"/>
        <w:rPr>
          <w:rFonts w:ascii="Times New Roman" w:hAnsi="Times New Roman" w:cs="Times New Roman"/>
          <w:sz w:val="24"/>
          <w:szCs w:val="24"/>
          <w:lang w:val="es-ES"/>
        </w:rPr>
      </w:pPr>
      <w:r w:rsidRPr="003E284C">
        <w:rPr>
          <w:rFonts w:ascii="Times New Roman" w:hAnsi="Times New Roman" w:cs="Times New Roman"/>
          <w:sz w:val="24"/>
          <w:szCs w:val="24"/>
          <w:lang w:val="es-ES"/>
        </w:rPr>
        <w:t>Fuente: Elaboración propia</w:t>
      </w:r>
      <w:r w:rsidR="00766DB5" w:rsidRPr="003E284C">
        <w:rPr>
          <w:rFonts w:ascii="Times New Roman" w:hAnsi="Times New Roman" w:cs="Times New Roman"/>
          <w:sz w:val="24"/>
          <w:szCs w:val="24"/>
          <w:lang w:val="es-ES"/>
        </w:rPr>
        <w:t>. Datos procesados en Excel.</w:t>
      </w:r>
    </w:p>
    <w:p w14:paraId="072E5809" w14:textId="529B7814" w:rsidR="00667620" w:rsidRPr="003E284C" w:rsidRDefault="00667620" w:rsidP="00456A9D">
      <w:pPr>
        <w:spacing w:line="360" w:lineRule="auto"/>
        <w:ind w:firstLine="708"/>
        <w:jc w:val="both"/>
        <w:rPr>
          <w:rFonts w:ascii="Times New Roman" w:eastAsia="Times New Roman" w:hAnsi="Times New Roman" w:cs="Times New Roman"/>
          <w:sz w:val="24"/>
          <w:szCs w:val="24"/>
          <w:lang w:val="es-ES" w:eastAsia="es-MX"/>
        </w:rPr>
      </w:pPr>
      <w:r w:rsidRPr="003E284C">
        <w:rPr>
          <w:rFonts w:ascii="Times New Roman" w:hAnsi="Times New Roman" w:cs="Times New Roman"/>
          <w:sz w:val="24"/>
          <w:szCs w:val="24"/>
          <w:lang w:val="es-ES"/>
        </w:rPr>
        <w:t xml:space="preserve">En la tabla 2 se </w:t>
      </w:r>
      <w:r w:rsidR="007955D5" w:rsidRPr="003E284C">
        <w:rPr>
          <w:rFonts w:ascii="Times New Roman" w:hAnsi="Times New Roman" w:cs="Times New Roman"/>
          <w:sz w:val="24"/>
          <w:szCs w:val="24"/>
          <w:lang w:val="es-ES"/>
        </w:rPr>
        <w:t>muestra la</w:t>
      </w:r>
      <w:r w:rsidRPr="003E284C">
        <w:rPr>
          <w:rFonts w:ascii="Times New Roman" w:hAnsi="Times New Roman" w:cs="Times New Roman"/>
          <w:sz w:val="24"/>
          <w:szCs w:val="24"/>
          <w:lang w:val="es-ES"/>
        </w:rPr>
        <w:t xml:space="preserve"> comparación de</w:t>
      </w:r>
      <w:r w:rsidR="00A80C62" w:rsidRPr="003E284C">
        <w:rPr>
          <w:rFonts w:ascii="Times New Roman" w:hAnsi="Times New Roman" w:cs="Times New Roman"/>
          <w:sz w:val="24"/>
          <w:szCs w:val="24"/>
          <w:lang w:val="es-ES"/>
        </w:rPr>
        <w:t xml:space="preserve"> la</w:t>
      </w:r>
      <w:r w:rsidRPr="003E284C">
        <w:rPr>
          <w:rFonts w:ascii="Times New Roman" w:hAnsi="Times New Roman" w:cs="Times New Roman"/>
          <w:sz w:val="24"/>
          <w:szCs w:val="24"/>
          <w:lang w:val="es-ES"/>
        </w:rPr>
        <w:t xml:space="preserve"> </w:t>
      </w:r>
      <w:r w:rsidR="004F3C01" w:rsidRPr="003E284C">
        <w:rPr>
          <w:rFonts w:ascii="Times New Roman" w:hAnsi="Times New Roman" w:cs="Times New Roman"/>
          <w:sz w:val="24"/>
          <w:szCs w:val="24"/>
          <w:lang w:val="es-ES"/>
        </w:rPr>
        <w:t>edad, IMC y presión arterial</w:t>
      </w:r>
      <w:r w:rsidR="005F55D4" w:rsidRPr="003E284C">
        <w:rPr>
          <w:rFonts w:ascii="Times New Roman" w:hAnsi="Times New Roman" w:cs="Times New Roman"/>
          <w:sz w:val="24"/>
          <w:szCs w:val="24"/>
          <w:lang w:val="es-ES"/>
        </w:rPr>
        <w:t xml:space="preserve"> </w:t>
      </w:r>
      <w:r w:rsidR="007955D5" w:rsidRPr="003E284C">
        <w:rPr>
          <w:rFonts w:ascii="Times New Roman" w:hAnsi="Times New Roman" w:cs="Times New Roman"/>
          <w:sz w:val="24"/>
          <w:szCs w:val="24"/>
          <w:lang w:val="es-ES"/>
        </w:rPr>
        <w:t xml:space="preserve">sistólica y diastólica </w:t>
      </w:r>
      <w:r w:rsidR="005F55D4" w:rsidRPr="003E284C">
        <w:rPr>
          <w:rFonts w:ascii="Times New Roman" w:hAnsi="Times New Roman" w:cs="Times New Roman"/>
          <w:sz w:val="24"/>
          <w:szCs w:val="24"/>
          <w:lang w:val="es-ES"/>
        </w:rPr>
        <w:t>de</w:t>
      </w:r>
      <w:r w:rsidR="005F55D4" w:rsidRPr="003E284C">
        <w:rPr>
          <w:sz w:val="24"/>
          <w:szCs w:val="24"/>
          <w:lang w:val="es-ES"/>
        </w:rPr>
        <w:t xml:space="preserve"> </w:t>
      </w:r>
      <w:r w:rsidRPr="003E284C">
        <w:rPr>
          <w:rFonts w:ascii="Times New Roman" w:hAnsi="Times New Roman" w:cs="Times New Roman"/>
          <w:sz w:val="24"/>
          <w:szCs w:val="24"/>
          <w:lang w:val="es-ES"/>
        </w:rPr>
        <w:t>pacientes con diabetes</w:t>
      </w:r>
      <w:r w:rsidR="00A80C62" w:rsidRPr="003E284C">
        <w:rPr>
          <w:rFonts w:ascii="Times New Roman" w:hAnsi="Times New Roman" w:cs="Times New Roman"/>
          <w:sz w:val="24"/>
          <w:szCs w:val="24"/>
          <w:lang w:val="es-ES"/>
        </w:rPr>
        <w:t xml:space="preserve">, </w:t>
      </w:r>
      <w:r w:rsidR="005279AC" w:rsidRPr="003E284C">
        <w:rPr>
          <w:rFonts w:ascii="Times New Roman" w:hAnsi="Times New Roman" w:cs="Times New Roman"/>
          <w:sz w:val="24"/>
          <w:szCs w:val="24"/>
          <w:lang w:val="es-ES"/>
        </w:rPr>
        <w:t xml:space="preserve">con </w:t>
      </w:r>
      <w:r w:rsidR="00A80C62" w:rsidRPr="003E284C">
        <w:rPr>
          <w:rFonts w:ascii="Times New Roman" w:hAnsi="Times New Roman" w:cs="Times New Roman"/>
          <w:sz w:val="24"/>
          <w:szCs w:val="24"/>
          <w:lang w:val="es-ES"/>
        </w:rPr>
        <w:t>prediabetes y no diabéticos</w:t>
      </w:r>
      <w:r w:rsidR="00456A9D" w:rsidRPr="003E284C">
        <w:rPr>
          <w:rFonts w:ascii="Times New Roman" w:hAnsi="Times New Roman" w:cs="Times New Roman"/>
          <w:sz w:val="24"/>
          <w:szCs w:val="24"/>
          <w:lang w:val="es-ES"/>
        </w:rPr>
        <w:t xml:space="preserve">, donde se observan </w:t>
      </w:r>
      <w:r w:rsidR="008D6F13" w:rsidRPr="003E284C">
        <w:rPr>
          <w:rFonts w:ascii="Times New Roman" w:hAnsi="Times New Roman" w:cs="Times New Roman"/>
          <w:sz w:val="24"/>
          <w:szCs w:val="24"/>
          <w:lang w:val="es-ES"/>
        </w:rPr>
        <w:t>solo valores s</w:t>
      </w:r>
      <w:r w:rsidR="005279AC" w:rsidRPr="003E284C">
        <w:rPr>
          <w:rFonts w:ascii="Times New Roman" w:hAnsi="Times New Roman" w:cs="Times New Roman"/>
          <w:sz w:val="24"/>
          <w:szCs w:val="24"/>
          <w:lang w:val="es-ES"/>
        </w:rPr>
        <w:t>i</w:t>
      </w:r>
      <w:r w:rsidR="008D6F13" w:rsidRPr="003E284C">
        <w:rPr>
          <w:rFonts w:ascii="Times New Roman" w:hAnsi="Times New Roman" w:cs="Times New Roman"/>
          <w:sz w:val="24"/>
          <w:szCs w:val="24"/>
          <w:lang w:val="es-ES"/>
        </w:rPr>
        <w:t>gnificativos en la edad. A diferencia de la tabla 3</w:t>
      </w:r>
      <w:r w:rsidR="00456A9D" w:rsidRPr="003E284C">
        <w:rPr>
          <w:rFonts w:ascii="Times New Roman" w:hAnsi="Times New Roman" w:cs="Times New Roman"/>
          <w:sz w:val="24"/>
          <w:szCs w:val="24"/>
          <w:lang w:val="es-ES"/>
        </w:rPr>
        <w:t>,</w:t>
      </w:r>
      <w:r w:rsidR="005279AC" w:rsidRPr="003E284C">
        <w:rPr>
          <w:rFonts w:ascii="Times New Roman" w:hAnsi="Times New Roman" w:cs="Times New Roman"/>
          <w:sz w:val="24"/>
          <w:szCs w:val="24"/>
          <w:lang w:val="es-ES"/>
        </w:rPr>
        <w:t xml:space="preserve"> </w:t>
      </w:r>
      <w:r w:rsidR="008D6F13" w:rsidRPr="003E284C">
        <w:rPr>
          <w:rFonts w:ascii="Times New Roman" w:hAnsi="Times New Roman" w:cs="Times New Roman"/>
          <w:sz w:val="24"/>
          <w:szCs w:val="24"/>
          <w:lang w:val="es-ES"/>
        </w:rPr>
        <w:t>donde se realiz</w:t>
      </w:r>
      <w:r w:rsidR="00790516" w:rsidRPr="003E284C">
        <w:rPr>
          <w:rFonts w:ascii="Times New Roman" w:hAnsi="Times New Roman" w:cs="Times New Roman"/>
          <w:sz w:val="24"/>
          <w:szCs w:val="24"/>
          <w:lang w:val="es-ES"/>
        </w:rPr>
        <w:t>ó</w:t>
      </w:r>
      <w:r w:rsidR="008D6F13" w:rsidRPr="003E284C">
        <w:rPr>
          <w:rFonts w:ascii="Times New Roman" w:hAnsi="Times New Roman" w:cs="Times New Roman"/>
          <w:sz w:val="24"/>
          <w:szCs w:val="24"/>
          <w:lang w:val="es-ES"/>
        </w:rPr>
        <w:t xml:space="preserve"> un an</w:t>
      </w:r>
      <w:r w:rsidR="00790516" w:rsidRPr="003E284C">
        <w:rPr>
          <w:rFonts w:ascii="Times New Roman" w:hAnsi="Times New Roman" w:cs="Times New Roman"/>
          <w:sz w:val="24"/>
          <w:szCs w:val="24"/>
          <w:lang w:val="es-ES"/>
        </w:rPr>
        <w:t>á</w:t>
      </w:r>
      <w:r w:rsidR="008D6F13" w:rsidRPr="003E284C">
        <w:rPr>
          <w:rFonts w:ascii="Times New Roman" w:hAnsi="Times New Roman" w:cs="Times New Roman"/>
          <w:sz w:val="24"/>
          <w:szCs w:val="24"/>
          <w:lang w:val="es-ES"/>
        </w:rPr>
        <w:t xml:space="preserve">lisis de los parámetros bioquímicos de la población de estudio, </w:t>
      </w:r>
      <w:r w:rsidR="00456A9D" w:rsidRPr="003E284C">
        <w:rPr>
          <w:rFonts w:ascii="Times New Roman" w:hAnsi="Times New Roman" w:cs="Times New Roman"/>
          <w:sz w:val="24"/>
          <w:szCs w:val="24"/>
          <w:lang w:val="es-ES"/>
        </w:rPr>
        <w:t xml:space="preserve">se halló a </w:t>
      </w:r>
      <w:r w:rsidR="008D6F13" w:rsidRPr="003E284C">
        <w:rPr>
          <w:rFonts w:ascii="Times New Roman" w:hAnsi="Times New Roman" w:cs="Times New Roman"/>
          <w:sz w:val="24"/>
          <w:szCs w:val="24"/>
          <w:lang w:val="es-ES"/>
        </w:rPr>
        <w:t xml:space="preserve">la albuminuria, </w:t>
      </w:r>
      <w:r w:rsidR="00456A9D" w:rsidRPr="003E284C">
        <w:rPr>
          <w:rFonts w:ascii="Times New Roman" w:hAnsi="Times New Roman" w:cs="Times New Roman"/>
          <w:sz w:val="24"/>
          <w:szCs w:val="24"/>
          <w:lang w:val="es-ES"/>
        </w:rPr>
        <w:t xml:space="preserve">la </w:t>
      </w:r>
      <w:r w:rsidR="008D6F13" w:rsidRPr="003E284C">
        <w:rPr>
          <w:rFonts w:ascii="Times New Roman" w:hAnsi="Times New Roman" w:cs="Times New Roman"/>
          <w:sz w:val="24"/>
          <w:szCs w:val="24"/>
          <w:lang w:val="es-ES"/>
        </w:rPr>
        <w:t xml:space="preserve">urea y </w:t>
      </w:r>
      <w:r w:rsidR="00456A9D" w:rsidRPr="003E284C">
        <w:rPr>
          <w:rFonts w:ascii="Times New Roman" w:hAnsi="Times New Roman" w:cs="Times New Roman"/>
          <w:sz w:val="24"/>
          <w:szCs w:val="24"/>
          <w:lang w:val="es-ES"/>
        </w:rPr>
        <w:t xml:space="preserve">el </w:t>
      </w:r>
      <w:r w:rsidR="008D6F13" w:rsidRPr="003E284C">
        <w:rPr>
          <w:rFonts w:ascii="Times New Roman" w:hAnsi="Times New Roman" w:cs="Times New Roman"/>
          <w:sz w:val="24"/>
          <w:szCs w:val="24"/>
          <w:lang w:val="es-ES"/>
        </w:rPr>
        <w:t>colesterol con valores significativos (p = &lt; 0.05).</w:t>
      </w:r>
    </w:p>
    <w:p w14:paraId="3791C943" w14:textId="77777777" w:rsidR="00EC00A7" w:rsidRDefault="00EC00A7" w:rsidP="00667620">
      <w:pPr>
        <w:tabs>
          <w:tab w:val="left" w:pos="709"/>
        </w:tabs>
        <w:spacing w:line="276" w:lineRule="auto"/>
        <w:rPr>
          <w:rFonts w:ascii="Times New Roman" w:hAnsi="Times New Roman" w:cs="Times New Roman"/>
          <w:sz w:val="24"/>
          <w:szCs w:val="24"/>
          <w:lang w:val="es-ES"/>
        </w:rPr>
      </w:pPr>
    </w:p>
    <w:p w14:paraId="374BF686" w14:textId="77777777" w:rsidR="003E284C" w:rsidRDefault="003E284C" w:rsidP="00667620">
      <w:pPr>
        <w:tabs>
          <w:tab w:val="left" w:pos="709"/>
        </w:tabs>
        <w:spacing w:line="276" w:lineRule="auto"/>
        <w:rPr>
          <w:rFonts w:ascii="Times New Roman" w:hAnsi="Times New Roman" w:cs="Times New Roman"/>
          <w:sz w:val="24"/>
          <w:szCs w:val="24"/>
          <w:lang w:val="es-ES"/>
        </w:rPr>
      </w:pPr>
    </w:p>
    <w:p w14:paraId="63D84E89" w14:textId="77777777" w:rsidR="003E284C" w:rsidRDefault="003E284C" w:rsidP="00667620">
      <w:pPr>
        <w:tabs>
          <w:tab w:val="left" w:pos="709"/>
        </w:tabs>
        <w:spacing w:line="276" w:lineRule="auto"/>
        <w:rPr>
          <w:rFonts w:ascii="Times New Roman" w:hAnsi="Times New Roman" w:cs="Times New Roman"/>
          <w:sz w:val="24"/>
          <w:szCs w:val="24"/>
          <w:lang w:val="es-ES"/>
        </w:rPr>
      </w:pPr>
    </w:p>
    <w:p w14:paraId="37CCF707" w14:textId="77777777" w:rsidR="003E284C" w:rsidRDefault="003E284C" w:rsidP="00667620">
      <w:pPr>
        <w:tabs>
          <w:tab w:val="left" w:pos="709"/>
        </w:tabs>
        <w:spacing w:line="276" w:lineRule="auto"/>
        <w:rPr>
          <w:rFonts w:ascii="Times New Roman" w:hAnsi="Times New Roman" w:cs="Times New Roman"/>
          <w:sz w:val="24"/>
          <w:szCs w:val="24"/>
          <w:lang w:val="es-ES"/>
        </w:rPr>
      </w:pPr>
    </w:p>
    <w:p w14:paraId="69DD068C" w14:textId="77777777" w:rsidR="003E284C" w:rsidRPr="003E284C" w:rsidRDefault="003E284C" w:rsidP="00667620">
      <w:pPr>
        <w:tabs>
          <w:tab w:val="left" w:pos="709"/>
        </w:tabs>
        <w:spacing w:line="276" w:lineRule="auto"/>
        <w:rPr>
          <w:rFonts w:ascii="Times New Roman" w:hAnsi="Times New Roman" w:cs="Times New Roman"/>
          <w:sz w:val="24"/>
          <w:szCs w:val="24"/>
          <w:lang w:val="es-ES"/>
        </w:rPr>
      </w:pPr>
    </w:p>
    <w:p w14:paraId="1272A11C" w14:textId="77777777" w:rsidR="00456A9D" w:rsidRPr="003E284C" w:rsidRDefault="00456A9D" w:rsidP="00667620">
      <w:pPr>
        <w:tabs>
          <w:tab w:val="left" w:pos="709"/>
        </w:tabs>
        <w:spacing w:line="276" w:lineRule="auto"/>
        <w:rPr>
          <w:rFonts w:ascii="Times New Roman" w:hAnsi="Times New Roman" w:cs="Times New Roman"/>
          <w:sz w:val="24"/>
          <w:szCs w:val="24"/>
          <w:lang w:val="es-ES"/>
        </w:rPr>
      </w:pPr>
    </w:p>
    <w:p w14:paraId="76DE915D" w14:textId="4FDAA491" w:rsidR="009F50A0" w:rsidRPr="003E284C" w:rsidRDefault="00846908" w:rsidP="00456A9D">
      <w:pPr>
        <w:tabs>
          <w:tab w:val="left" w:pos="709"/>
        </w:tabs>
        <w:spacing w:line="276" w:lineRule="auto"/>
        <w:jc w:val="center"/>
        <w:rPr>
          <w:rFonts w:ascii="Times New Roman" w:hAnsi="Times New Roman" w:cs="Times New Roman"/>
          <w:lang w:val="es-ES"/>
        </w:rPr>
      </w:pPr>
      <w:r w:rsidRPr="003E284C">
        <w:rPr>
          <w:rFonts w:ascii="Times New Roman" w:hAnsi="Times New Roman" w:cs="Times New Roman"/>
          <w:b/>
          <w:bCs/>
          <w:sz w:val="24"/>
          <w:szCs w:val="24"/>
          <w:lang w:val="es-ES"/>
        </w:rPr>
        <w:lastRenderedPageBreak/>
        <w:t xml:space="preserve">Tabla 2. </w:t>
      </w:r>
      <w:r w:rsidRPr="003E284C">
        <w:rPr>
          <w:rFonts w:ascii="Times New Roman" w:hAnsi="Times New Roman" w:cs="Times New Roman"/>
          <w:sz w:val="24"/>
          <w:szCs w:val="24"/>
          <w:lang w:val="es-ES"/>
        </w:rPr>
        <w:t>Análisis de variables entre pacientes con diabetes, con prediabetes y no diabéticos</w:t>
      </w:r>
    </w:p>
    <w:tbl>
      <w:tblPr>
        <w:tblStyle w:val="Tablaconcuadrcula5oscura-nfasis4"/>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853"/>
        <w:gridCol w:w="1802"/>
        <w:gridCol w:w="1024"/>
        <w:gridCol w:w="1126"/>
        <w:gridCol w:w="984"/>
        <w:gridCol w:w="866"/>
        <w:gridCol w:w="1552"/>
      </w:tblGrid>
      <w:tr w:rsidR="003E284C" w:rsidRPr="003E284C" w14:paraId="1E9B3A33" w14:textId="77777777" w:rsidTr="003E284C">
        <w:trPr>
          <w:cnfStyle w:val="100000000000" w:firstRow="1" w:lastRow="0" w:firstColumn="0" w:lastColumn="0" w:oddVBand="0" w:evenVBand="0" w:oddHBand="0"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274" w:type="dxa"/>
            <w:tcBorders>
              <w:top w:val="none" w:sz="0" w:space="0" w:color="auto"/>
              <w:left w:val="none" w:sz="0" w:space="0" w:color="auto"/>
              <w:right w:val="none" w:sz="0" w:space="0" w:color="auto"/>
            </w:tcBorders>
            <w:shd w:val="clear" w:color="auto" w:fill="auto"/>
          </w:tcPr>
          <w:p w14:paraId="69760CF3" w14:textId="77777777" w:rsidR="00667620" w:rsidRPr="003E284C" w:rsidRDefault="00667620" w:rsidP="00C0012D">
            <w:pPr>
              <w:rPr>
                <w:rFonts w:ascii="Times New Roman" w:hAnsi="Times New Roman" w:cs="Times New Roman"/>
                <w:b w:val="0"/>
                <w:bCs w:val="0"/>
                <w:color w:val="auto"/>
                <w:sz w:val="24"/>
                <w:szCs w:val="24"/>
                <w:lang w:val="es-ES"/>
              </w:rPr>
            </w:pPr>
            <w:bookmarkStart w:id="7" w:name="_Hlk138104993"/>
            <w:r w:rsidRPr="003E284C">
              <w:rPr>
                <w:rFonts w:ascii="Times New Roman" w:hAnsi="Times New Roman" w:cs="Times New Roman"/>
                <w:b w:val="0"/>
                <w:bCs w:val="0"/>
                <w:color w:val="auto"/>
                <w:sz w:val="24"/>
                <w:szCs w:val="24"/>
                <w:lang w:val="es-ES"/>
              </w:rPr>
              <w:t>Variable</w:t>
            </w:r>
          </w:p>
        </w:tc>
        <w:tc>
          <w:tcPr>
            <w:tcW w:w="853" w:type="dxa"/>
            <w:tcBorders>
              <w:top w:val="none" w:sz="0" w:space="0" w:color="auto"/>
              <w:left w:val="none" w:sz="0" w:space="0" w:color="auto"/>
              <w:right w:val="none" w:sz="0" w:space="0" w:color="auto"/>
            </w:tcBorders>
            <w:shd w:val="clear" w:color="auto" w:fill="auto"/>
          </w:tcPr>
          <w:p w14:paraId="70DBC295" w14:textId="77777777" w:rsidR="00667620" w:rsidRPr="003E284C" w:rsidRDefault="00667620" w:rsidP="00C0012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Sexo</w:t>
            </w:r>
          </w:p>
        </w:tc>
        <w:tc>
          <w:tcPr>
            <w:tcW w:w="1802" w:type="dxa"/>
            <w:tcBorders>
              <w:top w:val="none" w:sz="0" w:space="0" w:color="auto"/>
              <w:left w:val="none" w:sz="0" w:space="0" w:color="auto"/>
              <w:right w:val="none" w:sz="0" w:space="0" w:color="auto"/>
            </w:tcBorders>
            <w:shd w:val="clear" w:color="auto" w:fill="auto"/>
          </w:tcPr>
          <w:p w14:paraId="39C4B515" w14:textId="77777777" w:rsidR="00667620" w:rsidRPr="003E284C" w:rsidRDefault="00667620" w:rsidP="00C0012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Estatus</w:t>
            </w:r>
          </w:p>
        </w:tc>
        <w:tc>
          <w:tcPr>
            <w:tcW w:w="1024" w:type="dxa"/>
            <w:tcBorders>
              <w:top w:val="none" w:sz="0" w:space="0" w:color="auto"/>
              <w:left w:val="none" w:sz="0" w:space="0" w:color="auto"/>
              <w:right w:val="none" w:sz="0" w:space="0" w:color="auto"/>
            </w:tcBorders>
            <w:shd w:val="clear" w:color="auto" w:fill="auto"/>
          </w:tcPr>
          <w:p w14:paraId="4A63B048" w14:textId="77777777" w:rsidR="00667620" w:rsidRPr="003E284C" w:rsidRDefault="00667620" w:rsidP="00C0012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Media</w:t>
            </w:r>
          </w:p>
        </w:tc>
        <w:tc>
          <w:tcPr>
            <w:tcW w:w="1126" w:type="dxa"/>
            <w:tcBorders>
              <w:top w:val="none" w:sz="0" w:space="0" w:color="auto"/>
              <w:left w:val="none" w:sz="0" w:space="0" w:color="auto"/>
              <w:right w:val="none" w:sz="0" w:space="0" w:color="auto"/>
            </w:tcBorders>
            <w:shd w:val="clear" w:color="auto" w:fill="auto"/>
          </w:tcPr>
          <w:p w14:paraId="6D6EA933" w14:textId="77777777" w:rsidR="00667620" w:rsidRPr="003E284C" w:rsidRDefault="00667620" w:rsidP="00C0012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D.S</w:t>
            </w:r>
          </w:p>
        </w:tc>
        <w:tc>
          <w:tcPr>
            <w:tcW w:w="984" w:type="dxa"/>
            <w:tcBorders>
              <w:top w:val="none" w:sz="0" w:space="0" w:color="auto"/>
              <w:left w:val="none" w:sz="0" w:space="0" w:color="auto"/>
              <w:right w:val="none" w:sz="0" w:space="0" w:color="auto"/>
            </w:tcBorders>
            <w:shd w:val="clear" w:color="auto" w:fill="auto"/>
          </w:tcPr>
          <w:p w14:paraId="495DEAB6" w14:textId="77777777" w:rsidR="00667620" w:rsidRPr="003E284C" w:rsidRDefault="00667620" w:rsidP="00C0012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Min.</w:t>
            </w:r>
          </w:p>
        </w:tc>
        <w:tc>
          <w:tcPr>
            <w:tcW w:w="866" w:type="dxa"/>
            <w:tcBorders>
              <w:top w:val="none" w:sz="0" w:space="0" w:color="auto"/>
              <w:left w:val="none" w:sz="0" w:space="0" w:color="auto"/>
              <w:right w:val="none" w:sz="0" w:space="0" w:color="auto"/>
            </w:tcBorders>
            <w:shd w:val="clear" w:color="auto" w:fill="auto"/>
          </w:tcPr>
          <w:p w14:paraId="33021239" w14:textId="77777777" w:rsidR="00667620" w:rsidRPr="003E284C" w:rsidRDefault="00667620" w:rsidP="00C0012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Max.</w:t>
            </w:r>
          </w:p>
        </w:tc>
        <w:tc>
          <w:tcPr>
            <w:tcW w:w="1552" w:type="dxa"/>
            <w:tcBorders>
              <w:top w:val="none" w:sz="0" w:space="0" w:color="auto"/>
              <w:left w:val="none" w:sz="0" w:space="0" w:color="auto"/>
              <w:right w:val="none" w:sz="0" w:space="0" w:color="auto"/>
            </w:tcBorders>
            <w:shd w:val="clear" w:color="auto" w:fill="auto"/>
          </w:tcPr>
          <w:p w14:paraId="7181E0D5" w14:textId="77777777" w:rsidR="00667620" w:rsidRPr="003E284C" w:rsidRDefault="00667620" w:rsidP="00C0012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Valor de p*</w:t>
            </w:r>
          </w:p>
        </w:tc>
      </w:tr>
      <w:tr w:rsidR="003E284C" w:rsidRPr="003E284C" w14:paraId="0A254BF0" w14:textId="77777777" w:rsidTr="003E284C">
        <w:trPr>
          <w:cnfStyle w:val="000000100000" w:firstRow="0" w:lastRow="0" w:firstColumn="0" w:lastColumn="0" w:oddVBand="0" w:evenVBand="0" w:oddHBand="1" w:evenHBand="0" w:firstRowFirstColumn="0" w:firstRowLastColumn="0" w:lastRowFirstColumn="0" w:lastRowLastColumn="0"/>
          <w:trHeight w:val="176"/>
          <w:jc w:val="center"/>
        </w:trPr>
        <w:tc>
          <w:tcPr>
            <w:cnfStyle w:val="001000000000" w:firstRow="0" w:lastRow="0" w:firstColumn="1" w:lastColumn="0" w:oddVBand="0" w:evenVBand="0" w:oddHBand="0" w:evenHBand="0" w:firstRowFirstColumn="0" w:firstRowLastColumn="0" w:lastRowFirstColumn="0" w:lastRowLastColumn="0"/>
            <w:tcW w:w="1274" w:type="dxa"/>
            <w:vMerge w:val="restart"/>
            <w:tcBorders>
              <w:left w:val="none" w:sz="0" w:space="0" w:color="auto"/>
            </w:tcBorders>
            <w:shd w:val="clear" w:color="auto" w:fill="auto"/>
          </w:tcPr>
          <w:p w14:paraId="441482E1" w14:textId="77777777" w:rsidR="00667620" w:rsidRPr="003E284C" w:rsidRDefault="00667620" w:rsidP="00C0012D">
            <w:pPr>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EDAD</w:t>
            </w:r>
          </w:p>
        </w:tc>
        <w:tc>
          <w:tcPr>
            <w:tcW w:w="853" w:type="dxa"/>
            <w:vMerge w:val="restart"/>
            <w:shd w:val="clear" w:color="auto" w:fill="auto"/>
          </w:tcPr>
          <w:p w14:paraId="61EDCF19"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F</w:t>
            </w:r>
          </w:p>
        </w:tc>
        <w:tc>
          <w:tcPr>
            <w:tcW w:w="1802" w:type="dxa"/>
            <w:shd w:val="clear" w:color="auto" w:fill="auto"/>
          </w:tcPr>
          <w:p w14:paraId="7B2ED85B" w14:textId="292D0D4A" w:rsidR="00667620" w:rsidRPr="003E284C" w:rsidRDefault="005279AC"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d</w:t>
            </w:r>
            <w:r w:rsidR="00667620" w:rsidRPr="003E284C">
              <w:rPr>
                <w:rFonts w:ascii="Times New Roman" w:hAnsi="Times New Roman" w:cs="Times New Roman"/>
                <w:sz w:val="24"/>
                <w:szCs w:val="24"/>
                <w:lang w:val="es-ES"/>
              </w:rPr>
              <w:t>iab</w:t>
            </w:r>
            <w:r w:rsidRPr="003E284C">
              <w:rPr>
                <w:rFonts w:ascii="Times New Roman" w:hAnsi="Times New Roman" w:cs="Times New Roman"/>
                <w:sz w:val="24"/>
                <w:szCs w:val="24"/>
                <w:lang w:val="es-ES"/>
              </w:rPr>
              <w:t>etes</w:t>
            </w:r>
          </w:p>
        </w:tc>
        <w:tc>
          <w:tcPr>
            <w:tcW w:w="1024" w:type="dxa"/>
            <w:shd w:val="clear" w:color="auto" w:fill="auto"/>
          </w:tcPr>
          <w:p w14:paraId="4F2F18F0"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58.45</w:t>
            </w:r>
          </w:p>
        </w:tc>
        <w:tc>
          <w:tcPr>
            <w:tcW w:w="1126" w:type="dxa"/>
            <w:shd w:val="clear" w:color="auto" w:fill="auto"/>
          </w:tcPr>
          <w:p w14:paraId="5CDC8F05"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11.55</w:t>
            </w:r>
          </w:p>
        </w:tc>
        <w:tc>
          <w:tcPr>
            <w:tcW w:w="984" w:type="dxa"/>
            <w:shd w:val="clear" w:color="auto" w:fill="auto"/>
          </w:tcPr>
          <w:p w14:paraId="146798DF"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22</w:t>
            </w:r>
          </w:p>
        </w:tc>
        <w:tc>
          <w:tcPr>
            <w:tcW w:w="866" w:type="dxa"/>
            <w:shd w:val="clear" w:color="auto" w:fill="auto"/>
          </w:tcPr>
          <w:p w14:paraId="6560659F"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85</w:t>
            </w:r>
          </w:p>
        </w:tc>
        <w:tc>
          <w:tcPr>
            <w:tcW w:w="1552" w:type="dxa"/>
            <w:vMerge w:val="restart"/>
            <w:shd w:val="clear" w:color="auto" w:fill="auto"/>
          </w:tcPr>
          <w:p w14:paraId="3E2770F5" w14:textId="755B16FA" w:rsidR="00667620" w:rsidRPr="003E284C" w:rsidRDefault="00667620" w:rsidP="00C001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0.000</w:t>
            </w:r>
            <w:r w:rsidR="00DE3A54" w:rsidRPr="003E284C">
              <w:rPr>
                <w:rFonts w:ascii="Times New Roman" w:hAnsi="Times New Roman" w:cs="Times New Roman"/>
                <w:sz w:val="24"/>
                <w:szCs w:val="24"/>
                <w:lang w:val="es-ES"/>
              </w:rPr>
              <w:t>1</w:t>
            </w:r>
          </w:p>
        </w:tc>
      </w:tr>
      <w:tr w:rsidR="003E284C" w:rsidRPr="003E284C" w14:paraId="3D9A70F0" w14:textId="77777777" w:rsidTr="003E284C">
        <w:trPr>
          <w:trHeight w:val="187"/>
          <w:jc w:val="center"/>
        </w:trPr>
        <w:tc>
          <w:tcPr>
            <w:cnfStyle w:val="001000000000" w:firstRow="0" w:lastRow="0" w:firstColumn="1" w:lastColumn="0" w:oddVBand="0" w:evenVBand="0" w:oddHBand="0" w:evenHBand="0" w:firstRowFirstColumn="0" w:firstRowLastColumn="0" w:lastRowFirstColumn="0" w:lastRowLastColumn="0"/>
            <w:tcW w:w="1274" w:type="dxa"/>
            <w:vMerge/>
            <w:tcBorders>
              <w:left w:val="none" w:sz="0" w:space="0" w:color="auto"/>
            </w:tcBorders>
            <w:shd w:val="clear" w:color="auto" w:fill="auto"/>
          </w:tcPr>
          <w:p w14:paraId="53DEDD00"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853" w:type="dxa"/>
            <w:vMerge/>
            <w:shd w:val="clear" w:color="auto" w:fill="auto"/>
          </w:tcPr>
          <w:p w14:paraId="27D1264A"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802" w:type="dxa"/>
            <w:shd w:val="clear" w:color="auto" w:fill="auto"/>
          </w:tcPr>
          <w:p w14:paraId="1DB69DD5" w14:textId="33ADBC94" w:rsidR="00667620" w:rsidRPr="003E284C" w:rsidRDefault="006424BE"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prediabetes</w:t>
            </w:r>
          </w:p>
        </w:tc>
        <w:tc>
          <w:tcPr>
            <w:tcW w:w="1024" w:type="dxa"/>
            <w:shd w:val="clear" w:color="auto" w:fill="auto"/>
          </w:tcPr>
          <w:p w14:paraId="01D1A9A8"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55.5</w:t>
            </w:r>
          </w:p>
        </w:tc>
        <w:tc>
          <w:tcPr>
            <w:tcW w:w="1126" w:type="dxa"/>
            <w:shd w:val="clear" w:color="auto" w:fill="auto"/>
          </w:tcPr>
          <w:p w14:paraId="63664B20"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10.76</w:t>
            </w:r>
          </w:p>
        </w:tc>
        <w:tc>
          <w:tcPr>
            <w:tcW w:w="984" w:type="dxa"/>
            <w:shd w:val="clear" w:color="auto" w:fill="auto"/>
          </w:tcPr>
          <w:p w14:paraId="665CF433"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40</w:t>
            </w:r>
          </w:p>
        </w:tc>
        <w:tc>
          <w:tcPr>
            <w:tcW w:w="866" w:type="dxa"/>
            <w:shd w:val="clear" w:color="auto" w:fill="auto"/>
          </w:tcPr>
          <w:p w14:paraId="171136C0"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78</w:t>
            </w:r>
          </w:p>
        </w:tc>
        <w:tc>
          <w:tcPr>
            <w:tcW w:w="1552" w:type="dxa"/>
            <w:vMerge/>
            <w:shd w:val="clear" w:color="auto" w:fill="auto"/>
          </w:tcPr>
          <w:p w14:paraId="0A6E1EA6" w14:textId="77777777" w:rsidR="00667620" w:rsidRPr="003E284C" w:rsidRDefault="00667620" w:rsidP="00C0012D">
            <w:pPr>
              <w:widowControl w:val="0"/>
              <w:pBdr>
                <w:top w:val="nil"/>
                <w:left w:val="nil"/>
                <w:bottom w:val="nil"/>
                <w:right w:val="nil"/>
                <w:between w:val="nil"/>
              </w:pBd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13C3229B" w14:textId="77777777" w:rsidTr="003E284C">
        <w:trPr>
          <w:cnfStyle w:val="000000100000" w:firstRow="0" w:lastRow="0" w:firstColumn="0" w:lastColumn="0" w:oddVBand="0" w:evenVBand="0" w:oddHBand="1" w:evenHBand="0" w:firstRowFirstColumn="0" w:firstRowLastColumn="0" w:lastRowFirstColumn="0" w:lastRowLastColumn="0"/>
          <w:trHeight w:val="187"/>
          <w:jc w:val="center"/>
        </w:trPr>
        <w:tc>
          <w:tcPr>
            <w:cnfStyle w:val="001000000000" w:firstRow="0" w:lastRow="0" w:firstColumn="1" w:lastColumn="0" w:oddVBand="0" w:evenVBand="0" w:oddHBand="0" w:evenHBand="0" w:firstRowFirstColumn="0" w:firstRowLastColumn="0" w:lastRowFirstColumn="0" w:lastRowLastColumn="0"/>
            <w:tcW w:w="1274" w:type="dxa"/>
            <w:vMerge/>
            <w:tcBorders>
              <w:left w:val="none" w:sz="0" w:space="0" w:color="auto"/>
            </w:tcBorders>
            <w:shd w:val="clear" w:color="auto" w:fill="auto"/>
          </w:tcPr>
          <w:p w14:paraId="68EB8E96"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853" w:type="dxa"/>
            <w:vMerge/>
            <w:shd w:val="clear" w:color="auto" w:fill="auto"/>
          </w:tcPr>
          <w:p w14:paraId="2FCA03CF"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c>
          <w:tcPr>
            <w:tcW w:w="1802" w:type="dxa"/>
            <w:shd w:val="clear" w:color="auto" w:fill="auto"/>
          </w:tcPr>
          <w:p w14:paraId="7400E494" w14:textId="27EDA397" w:rsidR="00667620" w:rsidRPr="003E284C" w:rsidRDefault="009B2CDE"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Sin diabetes</w:t>
            </w:r>
          </w:p>
        </w:tc>
        <w:tc>
          <w:tcPr>
            <w:tcW w:w="1024" w:type="dxa"/>
            <w:shd w:val="clear" w:color="auto" w:fill="auto"/>
          </w:tcPr>
          <w:p w14:paraId="614DED70"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44.77</w:t>
            </w:r>
          </w:p>
        </w:tc>
        <w:tc>
          <w:tcPr>
            <w:tcW w:w="1126" w:type="dxa"/>
            <w:shd w:val="clear" w:color="auto" w:fill="auto"/>
          </w:tcPr>
          <w:p w14:paraId="059ABC48"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16.93</w:t>
            </w:r>
          </w:p>
        </w:tc>
        <w:tc>
          <w:tcPr>
            <w:tcW w:w="984" w:type="dxa"/>
            <w:shd w:val="clear" w:color="auto" w:fill="auto"/>
          </w:tcPr>
          <w:p w14:paraId="1C35BA6D"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12</w:t>
            </w:r>
          </w:p>
        </w:tc>
        <w:tc>
          <w:tcPr>
            <w:tcW w:w="866" w:type="dxa"/>
            <w:shd w:val="clear" w:color="auto" w:fill="auto"/>
          </w:tcPr>
          <w:p w14:paraId="543D97C7"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84</w:t>
            </w:r>
          </w:p>
        </w:tc>
        <w:tc>
          <w:tcPr>
            <w:tcW w:w="1552" w:type="dxa"/>
            <w:vMerge/>
            <w:shd w:val="clear" w:color="auto" w:fill="auto"/>
          </w:tcPr>
          <w:p w14:paraId="59F47F43" w14:textId="77777777" w:rsidR="00667620" w:rsidRPr="003E284C" w:rsidRDefault="00667620" w:rsidP="00C0012D">
            <w:pPr>
              <w:widowControl w:val="0"/>
              <w:pBdr>
                <w:top w:val="nil"/>
                <w:left w:val="nil"/>
                <w:bottom w:val="nil"/>
                <w:right w:val="nil"/>
                <w:between w:val="nil"/>
              </w:pBd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r>
      <w:tr w:rsidR="003E284C" w:rsidRPr="003E284C" w14:paraId="18F69931" w14:textId="77777777" w:rsidTr="003E284C">
        <w:trPr>
          <w:trHeight w:val="187"/>
          <w:jc w:val="center"/>
        </w:trPr>
        <w:tc>
          <w:tcPr>
            <w:cnfStyle w:val="001000000000" w:firstRow="0" w:lastRow="0" w:firstColumn="1" w:lastColumn="0" w:oddVBand="0" w:evenVBand="0" w:oddHBand="0" w:evenHBand="0" w:firstRowFirstColumn="0" w:firstRowLastColumn="0" w:lastRowFirstColumn="0" w:lastRowLastColumn="0"/>
            <w:tcW w:w="1274" w:type="dxa"/>
            <w:vMerge/>
            <w:tcBorders>
              <w:left w:val="none" w:sz="0" w:space="0" w:color="auto"/>
            </w:tcBorders>
            <w:shd w:val="clear" w:color="auto" w:fill="auto"/>
          </w:tcPr>
          <w:p w14:paraId="4013520D"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853" w:type="dxa"/>
            <w:vMerge w:val="restart"/>
            <w:shd w:val="clear" w:color="auto" w:fill="auto"/>
          </w:tcPr>
          <w:p w14:paraId="403F89F9"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M</w:t>
            </w:r>
          </w:p>
        </w:tc>
        <w:tc>
          <w:tcPr>
            <w:tcW w:w="1802" w:type="dxa"/>
            <w:shd w:val="clear" w:color="auto" w:fill="auto"/>
          </w:tcPr>
          <w:p w14:paraId="609CF9B6" w14:textId="3B432DF3" w:rsidR="00667620" w:rsidRPr="003E284C" w:rsidRDefault="005279AC"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diabetes</w:t>
            </w:r>
          </w:p>
        </w:tc>
        <w:tc>
          <w:tcPr>
            <w:tcW w:w="1024" w:type="dxa"/>
            <w:shd w:val="clear" w:color="auto" w:fill="auto"/>
          </w:tcPr>
          <w:p w14:paraId="0124964F"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58.42</w:t>
            </w:r>
          </w:p>
        </w:tc>
        <w:tc>
          <w:tcPr>
            <w:tcW w:w="1126" w:type="dxa"/>
            <w:shd w:val="clear" w:color="auto" w:fill="auto"/>
          </w:tcPr>
          <w:p w14:paraId="73A70A58"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13.42</w:t>
            </w:r>
          </w:p>
        </w:tc>
        <w:tc>
          <w:tcPr>
            <w:tcW w:w="984" w:type="dxa"/>
            <w:shd w:val="clear" w:color="auto" w:fill="auto"/>
          </w:tcPr>
          <w:p w14:paraId="6A44D445"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12</w:t>
            </w:r>
          </w:p>
        </w:tc>
        <w:tc>
          <w:tcPr>
            <w:tcW w:w="866" w:type="dxa"/>
            <w:shd w:val="clear" w:color="auto" w:fill="auto"/>
          </w:tcPr>
          <w:p w14:paraId="6D903BA6"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85</w:t>
            </w:r>
          </w:p>
        </w:tc>
        <w:tc>
          <w:tcPr>
            <w:tcW w:w="1552" w:type="dxa"/>
            <w:vMerge w:val="restart"/>
            <w:shd w:val="clear" w:color="auto" w:fill="auto"/>
          </w:tcPr>
          <w:p w14:paraId="514D2E50" w14:textId="20F50D7C" w:rsidR="00667620" w:rsidRPr="003E284C" w:rsidRDefault="00667620" w:rsidP="00C001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0.27</w:t>
            </w:r>
            <w:r w:rsidR="00C80BB3" w:rsidRPr="003E284C">
              <w:rPr>
                <w:rFonts w:ascii="Times New Roman" w:hAnsi="Times New Roman" w:cs="Times New Roman"/>
                <w:sz w:val="24"/>
                <w:szCs w:val="24"/>
                <w:lang w:val="es-ES"/>
              </w:rPr>
              <w:t>12</w:t>
            </w:r>
          </w:p>
        </w:tc>
      </w:tr>
      <w:tr w:rsidR="003E284C" w:rsidRPr="003E284C" w14:paraId="6526476F" w14:textId="77777777" w:rsidTr="003E284C">
        <w:trPr>
          <w:cnfStyle w:val="000000100000" w:firstRow="0" w:lastRow="0" w:firstColumn="0" w:lastColumn="0" w:oddVBand="0" w:evenVBand="0" w:oddHBand="1" w:evenHBand="0" w:firstRowFirstColumn="0" w:firstRowLastColumn="0" w:lastRowFirstColumn="0" w:lastRowLastColumn="0"/>
          <w:trHeight w:val="187"/>
          <w:jc w:val="center"/>
        </w:trPr>
        <w:tc>
          <w:tcPr>
            <w:cnfStyle w:val="001000000000" w:firstRow="0" w:lastRow="0" w:firstColumn="1" w:lastColumn="0" w:oddVBand="0" w:evenVBand="0" w:oddHBand="0" w:evenHBand="0" w:firstRowFirstColumn="0" w:firstRowLastColumn="0" w:lastRowFirstColumn="0" w:lastRowLastColumn="0"/>
            <w:tcW w:w="1274" w:type="dxa"/>
            <w:vMerge/>
            <w:tcBorders>
              <w:left w:val="none" w:sz="0" w:space="0" w:color="auto"/>
            </w:tcBorders>
            <w:shd w:val="clear" w:color="auto" w:fill="auto"/>
          </w:tcPr>
          <w:p w14:paraId="475FB661"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853" w:type="dxa"/>
            <w:vMerge/>
            <w:shd w:val="clear" w:color="auto" w:fill="auto"/>
          </w:tcPr>
          <w:p w14:paraId="3DE48F50"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c>
          <w:tcPr>
            <w:tcW w:w="1802" w:type="dxa"/>
            <w:shd w:val="clear" w:color="auto" w:fill="auto"/>
          </w:tcPr>
          <w:p w14:paraId="045AD55F" w14:textId="32F5F97A" w:rsidR="00667620" w:rsidRPr="003E284C" w:rsidRDefault="006424BE"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 xml:space="preserve">Con prediabetes </w:t>
            </w:r>
          </w:p>
        </w:tc>
        <w:tc>
          <w:tcPr>
            <w:tcW w:w="1024" w:type="dxa"/>
            <w:shd w:val="clear" w:color="auto" w:fill="auto"/>
          </w:tcPr>
          <w:p w14:paraId="2BB840CE"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59</w:t>
            </w:r>
          </w:p>
        </w:tc>
        <w:tc>
          <w:tcPr>
            <w:tcW w:w="1126" w:type="dxa"/>
            <w:shd w:val="clear" w:color="auto" w:fill="auto"/>
          </w:tcPr>
          <w:p w14:paraId="569AE784" w14:textId="1983129E" w:rsidR="00667620" w:rsidRPr="003E284C" w:rsidRDefault="00B00FE8"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w:t>
            </w:r>
          </w:p>
        </w:tc>
        <w:tc>
          <w:tcPr>
            <w:tcW w:w="984" w:type="dxa"/>
            <w:shd w:val="clear" w:color="auto" w:fill="auto"/>
          </w:tcPr>
          <w:p w14:paraId="0FB09423"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59</w:t>
            </w:r>
          </w:p>
        </w:tc>
        <w:tc>
          <w:tcPr>
            <w:tcW w:w="866" w:type="dxa"/>
            <w:shd w:val="clear" w:color="auto" w:fill="auto"/>
          </w:tcPr>
          <w:p w14:paraId="042FCCBF"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59</w:t>
            </w:r>
          </w:p>
        </w:tc>
        <w:tc>
          <w:tcPr>
            <w:tcW w:w="1552" w:type="dxa"/>
            <w:vMerge/>
            <w:shd w:val="clear" w:color="auto" w:fill="auto"/>
          </w:tcPr>
          <w:p w14:paraId="38CE808C" w14:textId="77777777" w:rsidR="00667620" w:rsidRPr="003E284C" w:rsidRDefault="00667620" w:rsidP="00C0012D">
            <w:pPr>
              <w:widowControl w:val="0"/>
              <w:pBdr>
                <w:top w:val="nil"/>
                <w:left w:val="nil"/>
                <w:bottom w:val="nil"/>
                <w:right w:val="nil"/>
                <w:between w:val="nil"/>
              </w:pBd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r>
      <w:tr w:rsidR="003E284C" w:rsidRPr="003E284C" w14:paraId="567EDAD6" w14:textId="77777777" w:rsidTr="003E284C">
        <w:trPr>
          <w:trHeight w:val="187"/>
          <w:jc w:val="center"/>
        </w:trPr>
        <w:tc>
          <w:tcPr>
            <w:cnfStyle w:val="001000000000" w:firstRow="0" w:lastRow="0" w:firstColumn="1" w:lastColumn="0" w:oddVBand="0" w:evenVBand="0" w:oddHBand="0" w:evenHBand="0" w:firstRowFirstColumn="0" w:firstRowLastColumn="0" w:lastRowFirstColumn="0" w:lastRowLastColumn="0"/>
            <w:tcW w:w="1274" w:type="dxa"/>
            <w:vMerge/>
            <w:tcBorders>
              <w:left w:val="none" w:sz="0" w:space="0" w:color="auto"/>
            </w:tcBorders>
            <w:shd w:val="clear" w:color="auto" w:fill="auto"/>
          </w:tcPr>
          <w:p w14:paraId="088F5F98"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853" w:type="dxa"/>
            <w:vMerge/>
            <w:shd w:val="clear" w:color="auto" w:fill="auto"/>
          </w:tcPr>
          <w:p w14:paraId="7F52FDC4"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802" w:type="dxa"/>
            <w:shd w:val="clear" w:color="auto" w:fill="auto"/>
          </w:tcPr>
          <w:p w14:paraId="2DDE4735" w14:textId="28AACF2B" w:rsidR="00667620" w:rsidRPr="003E284C" w:rsidRDefault="009B2CDE"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Sin diabetes</w:t>
            </w:r>
          </w:p>
        </w:tc>
        <w:tc>
          <w:tcPr>
            <w:tcW w:w="1024" w:type="dxa"/>
            <w:shd w:val="clear" w:color="auto" w:fill="auto"/>
          </w:tcPr>
          <w:p w14:paraId="435E9199"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53.11</w:t>
            </w:r>
          </w:p>
        </w:tc>
        <w:tc>
          <w:tcPr>
            <w:tcW w:w="1126" w:type="dxa"/>
            <w:shd w:val="clear" w:color="auto" w:fill="auto"/>
          </w:tcPr>
          <w:p w14:paraId="1E047027"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17.85</w:t>
            </w:r>
          </w:p>
        </w:tc>
        <w:tc>
          <w:tcPr>
            <w:tcW w:w="984" w:type="dxa"/>
            <w:shd w:val="clear" w:color="auto" w:fill="auto"/>
          </w:tcPr>
          <w:p w14:paraId="2B4F4C48"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22</w:t>
            </w:r>
          </w:p>
        </w:tc>
        <w:tc>
          <w:tcPr>
            <w:tcW w:w="866" w:type="dxa"/>
            <w:shd w:val="clear" w:color="auto" w:fill="auto"/>
          </w:tcPr>
          <w:p w14:paraId="1C2E1DE8"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88</w:t>
            </w:r>
          </w:p>
        </w:tc>
        <w:tc>
          <w:tcPr>
            <w:tcW w:w="1552" w:type="dxa"/>
            <w:vMerge/>
            <w:shd w:val="clear" w:color="auto" w:fill="auto"/>
          </w:tcPr>
          <w:p w14:paraId="303E0627" w14:textId="77777777" w:rsidR="00667620" w:rsidRPr="003E284C" w:rsidRDefault="00667620" w:rsidP="00C0012D">
            <w:pPr>
              <w:widowControl w:val="0"/>
              <w:pBdr>
                <w:top w:val="nil"/>
                <w:left w:val="nil"/>
                <w:bottom w:val="nil"/>
                <w:right w:val="nil"/>
                <w:between w:val="nil"/>
              </w:pBd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35AC8317" w14:textId="77777777" w:rsidTr="003E284C">
        <w:trPr>
          <w:cnfStyle w:val="000000100000" w:firstRow="0" w:lastRow="0" w:firstColumn="0" w:lastColumn="0" w:oddVBand="0" w:evenVBand="0" w:oddHBand="1" w:evenHBand="0" w:firstRowFirstColumn="0" w:firstRowLastColumn="0" w:lastRowFirstColumn="0" w:lastRowLastColumn="0"/>
          <w:trHeight w:val="176"/>
          <w:jc w:val="center"/>
        </w:trPr>
        <w:tc>
          <w:tcPr>
            <w:cnfStyle w:val="001000000000" w:firstRow="0" w:lastRow="0" w:firstColumn="1" w:lastColumn="0" w:oddVBand="0" w:evenVBand="0" w:oddHBand="0" w:evenHBand="0" w:firstRowFirstColumn="0" w:firstRowLastColumn="0" w:lastRowFirstColumn="0" w:lastRowLastColumn="0"/>
            <w:tcW w:w="1274" w:type="dxa"/>
            <w:vMerge w:val="restart"/>
            <w:tcBorders>
              <w:left w:val="none" w:sz="0" w:space="0" w:color="auto"/>
            </w:tcBorders>
            <w:shd w:val="clear" w:color="auto" w:fill="auto"/>
          </w:tcPr>
          <w:p w14:paraId="5B9E2752" w14:textId="77777777" w:rsidR="00667620" w:rsidRPr="003E284C" w:rsidRDefault="00667620" w:rsidP="00C0012D">
            <w:pPr>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IMC</w:t>
            </w:r>
          </w:p>
        </w:tc>
        <w:tc>
          <w:tcPr>
            <w:tcW w:w="853" w:type="dxa"/>
            <w:vMerge w:val="restart"/>
            <w:shd w:val="clear" w:color="auto" w:fill="auto"/>
          </w:tcPr>
          <w:p w14:paraId="5D575DFD"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F</w:t>
            </w:r>
          </w:p>
        </w:tc>
        <w:tc>
          <w:tcPr>
            <w:tcW w:w="1802" w:type="dxa"/>
            <w:shd w:val="clear" w:color="auto" w:fill="auto"/>
          </w:tcPr>
          <w:p w14:paraId="7BBD8DA5" w14:textId="7E59E154" w:rsidR="00667620" w:rsidRPr="003E284C" w:rsidRDefault="005279AC"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diabetes</w:t>
            </w:r>
          </w:p>
        </w:tc>
        <w:tc>
          <w:tcPr>
            <w:tcW w:w="1024" w:type="dxa"/>
            <w:shd w:val="clear" w:color="auto" w:fill="auto"/>
          </w:tcPr>
          <w:p w14:paraId="31EFF1DF"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29.05</w:t>
            </w:r>
          </w:p>
        </w:tc>
        <w:tc>
          <w:tcPr>
            <w:tcW w:w="1126" w:type="dxa"/>
            <w:shd w:val="clear" w:color="auto" w:fill="auto"/>
          </w:tcPr>
          <w:p w14:paraId="5D1EC676"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5.10</w:t>
            </w:r>
          </w:p>
        </w:tc>
        <w:tc>
          <w:tcPr>
            <w:tcW w:w="984" w:type="dxa"/>
            <w:shd w:val="clear" w:color="auto" w:fill="auto"/>
          </w:tcPr>
          <w:p w14:paraId="00B07D87"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15.49</w:t>
            </w:r>
          </w:p>
        </w:tc>
        <w:tc>
          <w:tcPr>
            <w:tcW w:w="866" w:type="dxa"/>
            <w:shd w:val="clear" w:color="auto" w:fill="auto"/>
          </w:tcPr>
          <w:p w14:paraId="0DCC63A9"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47.78</w:t>
            </w:r>
          </w:p>
        </w:tc>
        <w:tc>
          <w:tcPr>
            <w:tcW w:w="1552" w:type="dxa"/>
            <w:vMerge w:val="restart"/>
            <w:shd w:val="clear" w:color="auto" w:fill="auto"/>
          </w:tcPr>
          <w:p w14:paraId="75180609" w14:textId="33988D70" w:rsidR="00667620" w:rsidRPr="003E284C" w:rsidRDefault="00667620" w:rsidP="00C001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0.05</w:t>
            </w:r>
            <w:r w:rsidR="00C46200" w:rsidRPr="003E284C">
              <w:rPr>
                <w:rFonts w:ascii="Times New Roman" w:hAnsi="Times New Roman" w:cs="Times New Roman"/>
                <w:sz w:val="24"/>
                <w:szCs w:val="24"/>
                <w:lang w:val="es-ES"/>
              </w:rPr>
              <w:t>32</w:t>
            </w:r>
          </w:p>
        </w:tc>
      </w:tr>
      <w:tr w:rsidR="003E284C" w:rsidRPr="003E284C" w14:paraId="649071A4" w14:textId="77777777" w:rsidTr="003E284C">
        <w:trPr>
          <w:trHeight w:val="198"/>
          <w:jc w:val="center"/>
        </w:trPr>
        <w:tc>
          <w:tcPr>
            <w:cnfStyle w:val="001000000000" w:firstRow="0" w:lastRow="0" w:firstColumn="1" w:lastColumn="0" w:oddVBand="0" w:evenVBand="0" w:oddHBand="0" w:evenHBand="0" w:firstRowFirstColumn="0" w:firstRowLastColumn="0" w:lastRowFirstColumn="0" w:lastRowLastColumn="0"/>
            <w:tcW w:w="1274" w:type="dxa"/>
            <w:vMerge/>
            <w:tcBorders>
              <w:left w:val="none" w:sz="0" w:space="0" w:color="auto"/>
            </w:tcBorders>
            <w:shd w:val="clear" w:color="auto" w:fill="auto"/>
          </w:tcPr>
          <w:p w14:paraId="362DD64F"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853" w:type="dxa"/>
            <w:vMerge/>
            <w:shd w:val="clear" w:color="auto" w:fill="auto"/>
          </w:tcPr>
          <w:p w14:paraId="17835D15"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802" w:type="dxa"/>
            <w:shd w:val="clear" w:color="auto" w:fill="auto"/>
          </w:tcPr>
          <w:p w14:paraId="2596B3F1" w14:textId="73D1BAB0" w:rsidR="00667620" w:rsidRPr="003E284C" w:rsidRDefault="006424BE"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prediabetes</w:t>
            </w:r>
          </w:p>
        </w:tc>
        <w:tc>
          <w:tcPr>
            <w:tcW w:w="1024" w:type="dxa"/>
            <w:shd w:val="clear" w:color="auto" w:fill="auto"/>
          </w:tcPr>
          <w:p w14:paraId="2181D8B4"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31.15</w:t>
            </w:r>
          </w:p>
        </w:tc>
        <w:tc>
          <w:tcPr>
            <w:tcW w:w="1126" w:type="dxa"/>
            <w:shd w:val="clear" w:color="auto" w:fill="auto"/>
          </w:tcPr>
          <w:p w14:paraId="0D63350E"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8.53</w:t>
            </w:r>
          </w:p>
        </w:tc>
        <w:tc>
          <w:tcPr>
            <w:tcW w:w="984" w:type="dxa"/>
            <w:shd w:val="clear" w:color="auto" w:fill="auto"/>
          </w:tcPr>
          <w:p w14:paraId="31F70E63"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20.02</w:t>
            </w:r>
          </w:p>
        </w:tc>
        <w:tc>
          <w:tcPr>
            <w:tcW w:w="866" w:type="dxa"/>
            <w:shd w:val="clear" w:color="auto" w:fill="auto"/>
          </w:tcPr>
          <w:p w14:paraId="6DEFBD8F"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51.75</w:t>
            </w:r>
          </w:p>
        </w:tc>
        <w:tc>
          <w:tcPr>
            <w:tcW w:w="1552" w:type="dxa"/>
            <w:vMerge/>
            <w:shd w:val="clear" w:color="auto" w:fill="auto"/>
          </w:tcPr>
          <w:p w14:paraId="21480FBC" w14:textId="77777777" w:rsidR="00667620" w:rsidRPr="003E284C" w:rsidRDefault="00667620" w:rsidP="00C0012D">
            <w:pPr>
              <w:widowControl w:val="0"/>
              <w:pBdr>
                <w:top w:val="nil"/>
                <w:left w:val="nil"/>
                <w:bottom w:val="nil"/>
                <w:right w:val="nil"/>
                <w:between w:val="nil"/>
              </w:pBd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6A349F5F" w14:textId="77777777" w:rsidTr="003E284C">
        <w:trPr>
          <w:cnfStyle w:val="000000100000" w:firstRow="0" w:lastRow="0" w:firstColumn="0" w:lastColumn="0" w:oddVBand="0" w:evenVBand="0" w:oddHBand="1" w:evenHBand="0" w:firstRowFirstColumn="0" w:firstRowLastColumn="0" w:lastRowFirstColumn="0" w:lastRowLastColumn="0"/>
          <w:trHeight w:val="187"/>
          <w:jc w:val="center"/>
        </w:trPr>
        <w:tc>
          <w:tcPr>
            <w:cnfStyle w:val="001000000000" w:firstRow="0" w:lastRow="0" w:firstColumn="1" w:lastColumn="0" w:oddVBand="0" w:evenVBand="0" w:oddHBand="0" w:evenHBand="0" w:firstRowFirstColumn="0" w:firstRowLastColumn="0" w:lastRowFirstColumn="0" w:lastRowLastColumn="0"/>
            <w:tcW w:w="1274" w:type="dxa"/>
            <w:vMerge/>
            <w:tcBorders>
              <w:left w:val="none" w:sz="0" w:space="0" w:color="auto"/>
            </w:tcBorders>
            <w:shd w:val="clear" w:color="auto" w:fill="auto"/>
          </w:tcPr>
          <w:p w14:paraId="14649252"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853" w:type="dxa"/>
            <w:vMerge/>
            <w:shd w:val="clear" w:color="auto" w:fill="auto"/>
          </w:tcPr>
          <w:p w14:paraId="714E2349"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c>
          <w:tcPr>
            <w:tcW w:w="1802" w:type="dxa"/>
            <w:shd w:val="clear" w:color="auto" w:fill="auto"/>
          </w:tcPr>
          <w:p w14:paraId="5DAC9D01" w14:textId="325ACDFD" w:rsidR="00667620" w:rsidRPr="003E284C" w:rsidRDefault="009B2CDE"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Sin diabetes</w:t>
            </w:r>
          </w:p>
        </w:tc>
        <w:tc>
          <w:tcPr>
            <w:tcW w:w="1024" w:type="dxa"/>
            <w:shd w:val="clear" w:color="auto" w:fill="auto"/>
          </w:tcPr>
          <w:p w14:paraId="4210285F"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27.85</w:t>
            </w:r>
          </w:p>
        </w:tc>
        <w:tc>
          <w:tcPr>
            <w:tcW w:w="1126" w:type="dxa"/>
            <w:shd w:val="clear" w:color="auto" w:fill="auto"/>
          </w:tcPr>
          <w:p w14:paraId="00E9ABC4"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5.47</w:t>
            </w:r>
          </w:p>
        </w:tc>
        <w:tc>
          <w:tcPr>
            <w:tcW w:w="984" w:type="dxa"/>
            <w:shd w:val="clear" w:color="auto" w:fill="auto"/>
          </w:tcPr>
          <w:p w14:paraId="1F6F3D38"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16.5</w:t>
            </w:r>
          </w:p>
        </w:tc>
        <w:tc>
          <w:tcPr>
            <w:tcW w:w="866" w:type="dxa"/>
            <w:shd w:val="clear" w:color="auto" w:fill="auto"/>
          </w:tcPr>
          <w:p w14:paraId="098C5DF9"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52.59</w:t>
            </w:r>
          </w:p>
        </w:tc>
        <w:tc>
          <w:tcPr>
            <w:tcW w:w="1552" w:type="dxa"/>
            <w:vMerge/>
            <w:shd w:val="clear" w:color="auto" w:fill="auto"/>
          </w:tcPr>
          <w:p w14:paraId="68FDC327" w14:textId="77777777" w:rsidR="00667620" w:rsidRPr="003E284C" w:rsidRDefault="00667620" w:rsidP="00C0012D">
            <w:pPr>
              <w:widowControl w:val="0"/>
              <w:pBdr>
                <w:top w:val="nil"/>
                <w:left w:val="nil"/>
                <w:bottom w:val="nil"/>
                <w:right w:val="nil"/>
                <w:between w:val="nil"/>
              </w:pBd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r>
      <w:tr w:rsidR="003E284C" w:rsidRPr="003E284C" w14:paraId="5064A3D1" w14:textId="77777777" w:rsidTr="003E284C">
        <w:trPr>
          <w:trHeight w:val="187"/>
          <w:jc w:val="center"/>
        </w:trPr>
        <w:tc>
          <w:tcPr>
            <w:cnfStyle w:val="001000000000" w:firstRow="0" w:lastRow="0" w:firstColumn="1" w:lastColumn="0" w:oddVBand="0" w:evenVBand="0" w:oddHBand="0" w:evenHBand="0" w:firstRowFirstColumn="0" w:firstRowLastColumn="0" w:lastRowFirstColumn="0" w:lastRowLastColumn="0"/>
            <w:tcW w:w="1274" w:type="dxa"/>
            <w:vMerge/>
            <w:tcBorders>
              <w:left w:val="none" w:sz="0" w:space="0" w:color="auto"/>
            </w:tcBorders>
            <w:shd w:val="clear" w:color="auto" w:fill="auto"/>
          </w:tcPr>
          <w:p w14:paraId="7FD2ECC1"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853" w:type="dxa"/>
            <w:vMerge w:val="restart"/>
            <w:shd w:val="clear" w:color="auto" w:fill="auto"/>
          </w:tcPr>
          <w:p w14:paraId="59D1A1DF"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M</w:t>
            </w:r>
          </w:p>
        </w:tc>
        <w:tc>
          <w:tcPr>
            <w:tcW w:w="1802" w:type="dxa"/>
            <w:shd w:val="clear" w:color="auto" w:fill="auto"/>
          </w:tcPr>
          <w:p w14:paraId="5A3BC84B" w14:textId="2B24F119" w:rsidR="00667620" w:rsidRPr="003E284C" w:rsidRDefault="005279AC"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diabetes</w:t>
            </w:r>
          </w:p>
        </w:tc>
        <w:tc>
          <w:tcPr>
            <w:tcW w:w="1024" w:type="dxa"/>
            <w:shd w:val="clear" w:color="auto" w:fill="auto"/>
          </w:tcPr>
          <w:p w14:paraId="427FCEBF"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28.51</w:t>
            </w:r>
          </w:p>
        </w:tc>
        <w:tc>
          <w:tcPr>
            <w:tcW w:w="1126" w:type="dxa"/>
            <w:shd w:val="clear" w:color="auto" w:fill="auto"/>
          </w:tcPr>
          <w:p w14:paraId="3C2B45A3"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5.84</w:t>
            </w:r>
          </w:p>
        </w:tc>
        <w:tc>
          <w:tcPr>
            <w:tcW w:w="984" w:type="dxa"/>
            <w:shd w:val="clear" w:color="auto" w:fill="auto"/>
          </w:tcPr>
          <w:p w14:paraId="631B464B"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18.97</w:t>
            </w:r>
          </w:p>
        </w:tc>
        <w:tc>
          <w:tcPr>
            <w:tcW w:w="866" w:type="dxa"/>
            <w:shd w:val="clear" w:color="auto" w:fill="auto"/>
          </w:tcPr>
          <w:p w14:paraId="2864A169"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59.03</w:t>
            </w:r>
          </w:p>
        </w:tc>
        <w:tc>
          <w:tcPr>
            <w:tcW w:w="1552" w:type="dxa"/>
            <w:vMerge w:val="restart"/>
            <w:shd w:val="clear" w:color="auto" w:fill="auto"/>
          </w:tcPr>
          <w:p w14:paraId="3790FDC8" w14:textId="1A396BD1" w:rsidR="00667620" w:rsidRPr="003E284C" w:rsidRDefault="00667620" w:rsidP="00C001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0.26</w:t>
            </w:r>
            <w:r w:rsidR="00C80BB3" w:rsidRPr="003E284C">
              <w:rPr>
                <w:rFonts w:ascii="Times New Roman" w:hAnsi="Times New Roman" w:cs="Times New Roman"/>
                <w:sz w:val="24"/>
                <w:szCs w:val="24"/>
                <w:lang w:val="es-ES"/>
              </w:rPr>
              <w:t>36</w:t>
            </w:r>
          </w:p>
        </w:tc>
      </w:tr>
      <w:tr w:rsidR="003E284C" w:rsidRPr="003E284C" w14:paraId="7005E388" w14:textId="77777777" w:rsidTr="003E284C">
        <w:trPr>
          <w:cnfStyle w:val="000000100000" w:firstRow="0" w:lastRow="0" w:firstColumn="0" w:lastColumn="0" w:oddVBand="0" w:evenVBand="0" w:oddHBand="1" w:evenHBand="0" w:firstRowFirstColumn="0" w:firstRowLastColumn="0" w:lastRowFirstColumn="0" w:lastRowLastColumn="0"/>
          <w:trHeight w:val="187"/>
          <w:jc w:val="center"/>
        </w:trPr>
        <w:tc>
          <w:tcPr>
            <w:cnfStyle w:val="001000000000" w:firstRow="0" w:lastRow="0" w:firstColumn="1" w:lastColumn="0" w:oddVBand="0" w:evenVBand="0" w:oddHBand="0" w:evenHBand="0" w:firstRowFirstColumn="0" w:firstRowLastColumn="0" w:lastRowFirstColumn="0" w:lastRowLastColumn="0"/>
            <w:tcW w:w="1274" w:type="dxa"/>
            <w:vMerge/>
            <w:tcBorders>
              <w:left w:val="none" w:sz="0" w:space="0" w:color="auto"/>
            </w:tcBorders>
            <w:shd w:val="clear" w:color="auto" w:fill="auto"/>
          </w:tcPr>
          <w:p w14:paraId="3FED71AD"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853" w:type="dxa"/>
            <w:vMerge/>
            <w:shd w:val="clear" w:color="auto" w:fill="auto"/>
          </w:tcPr>
          <w:p w14:paraId="132ED124"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c>
          <w:tcPr>
            <w:tcW w:w="1802" w:type="dxa"/>
            <w:shd w:val="clear" w:color="auto" w:fill="auto"/>
          </w:tcPr>
          <w:p w14:paraId="061A1D03" w14:textId="1351A9C6" w:rsidR="00667620" w:rsidRPr="003E284C" w:rsidRDefault="006424BE"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prediabetes</w:t>
            </w:r>
          </w:p>
        </w:tc>
        <w:tc>
          <w:tcPr>
            <w:tcW w:w="1024" w:type="dxa"/>
            <w:shd w:val="clear" w:color="auto" w:fill="auto"/>
          </w:tcPr>
          <w:p w14:paraId="32D7A1C8"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31.86</w:t>
            </w:r>
          </w:p>
        </w:tc>
        <w:tc>
          <w:tcPr>
            <w:tcW w:w="1126" w:type="dxa"/>
            <w:shd w:val="clear" w:color="auto" w:fill="auto"/>
          </w:tcPr>
          <w:p w14:paraId="15663726"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w:t>
            </w:r>
          </w:p>
        </w:tc>
        <w:tc>
          <w:tcPr>
            <w:tcW w:w="984" w:type="dxa"/>
            <w:shd w:val="clear" w:color="auto" w:fill="auto"/>
          </w:tcPr>
          <w:p w14:paraId="0D5E56D8"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31.81</w:t>
            </w:r>
          </w:p>
        </w:tc>
        <w:tc>
          <w:tcPr>
            <w:tcW w:w="866" w:type="dxa"/>
            <w:shd w:val="clear" w:color="auto" w:fill="auto"/>
          </w:tcPr>
          <w:p w14:paraId="77364C1F"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31.81</w:t>
            </w:r>
          </w:p>
        </w:tc>
        <w:tc>
          <w:tcPr>
            <w:tcW w:w="1552" w:type="dxa"/>
            <w:vMerge/>
            <w:shd w:val="clear" w:color="auto" w:fill="auto"/>
          </w:tcPr>
          <w:p w14:paraId="79132F2E" w14:textId="77777777" w:rsidR="00667620" w:rsidRPr="003E284C" w:rsidRDefault="00667620" w:rsidP="00C0012D">
            <w:pPr>
              <w:widowControl w:val="0"/>
              <w:pBdr>
                <w:top w:val="nil"/>
                <w:left w:val="nil"/>
                <w:bottom w:val="nil"/>
                <w:right w:val="nil"/>
                <w:between w:val="nil"/>
              </w:pBd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r>
      <w:tr w:rsidR="003E284C" w:rsidRPr="003E284C" w14:paraId="6D4D7AB6" w14:textId="77777777" w:rsidTr="003E284C">
        <w:trPr>
          <w:trHeight w:val="187"/>
          <w:jc w:val="center"/>
        </w:trPr>
        <w:tc>
          <w:tcPr>
            <w:cnfStyle w:val="001000000000" w:firstRow="0" w:lastRow="0" w:firstColumn="1" w:lastColumn="0" w:oddVBand="0" w:evenVBand="0" w:oddHBand="0" w:evenHBand="0" w:firstRowFirstColumn="0" w:firstRowLastColumn="0" w:lastRowFirstColumn="0" w:lastRowLastColumn="0"/>
            <w:tcW w:w="1274" w:type="dxa"/>
            <w:vMerge/>
            <w:tcBorders>
              <w:left w:val="none" w:sz="0" w:space="0" w:color="auto"/>
            </w:tcBorders>
            <w:shd w:val="clear" w:color="auto" w:fill="auto"/>
          </w:tcPr>
          <w:p w14:paraId="2CF6C0EF"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853" w:type="dxa"/>
            <w:vMerge/>
            <w:shd w:val="clear" w:color="auto" w:fill="auto"/>
          </w:tcPr>
          <w:p w14:paraId="1154534A"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802" w:type="dxa"/>
            <w:shd w:val="clear" w:color="auto" w:fill="auto"/>
          </w:tcPr>
          <w:p w14:paraId="6B0BF5C7" w14:textId="498C3C70" w:rsidR="00667620" w:rsidRPr="003E284C" w:rsidRDefault="009B2CDE"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Sin diabetes</w:t>
            </w:r>
          </w:p>
        </w:tc>
        <w:tc>
          <w:tcPr>
            <w:tcW w:w="1024" w:type="dxa"/>
            <w:shd w:val="clear" w:color="auto" w:fill="auto"/>
          </w:tcPr>
          <w:p w14:paraId="44E0C077"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26.91</w:t>
            </w:r>
          </w:p>
        </w:tc>
        <w:tc>
          <w:tcPr>
            <w:tcW w:w="1126" w:type="dxa"/>
            <w:shd w:val="clear" w:color="auto" w:fill="auto"/>
          </w:tcPr>
          <w:p w14:paraId="7D4461BB"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4.36</w:t>
            </w:r>
          </w:p>
        </w:tc>
        <w:tc>
          <w:tcPr>
            <w:tcW w:w="984" w:type="dxa"/>
            <w:shd w:val="clear" w:color="auto" w:fill="auto"/>
          </w:tcPr>
          <w:p w14:paraId="43662E3B"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19.72</w:t>
            </w:r>
          </w:p>
        </w:tc>
        <w:tc>
          <w:tcPr>
            <w:tcW w:w="866" w:type="dxa"/>
            <w:shd w:val="clear" w:color="auto" w:fill="auto"/>
          </w:tcPr>
          <w:p w14:paraId="42086B78"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42.3</w:t>
            </w:r>
          </w:p>
        </w:tc>
        <w:tc>
          <w:tcPr>
            <w:tcW w:w="1552" w:type="dxa"/>
            <w:vMerge/>
            <w:shd w:val="clear" w:color="auto" w:fill="auto"/>
          </w:tcPr>
          <w:p w14:paraId="580FB2DC" w14:textId="77777777" w:rsidR="00667620" w:rsidRPr="003E284C" w:rsidRDefault="00667620" w:rsidP="00C0012D">
            <w:pPr>
              <w:widowControl w:val="0"/>
              <w:pBdr>
                <w:top w:val="nil"/>
                <w:left w:val="nil"/>
                <w:bottom w:val="nil"/>
                <w:right w:val="nil"/>
                <w:between w:val="nil"/>
              </w:pBd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3E78B96B" w14:textId="77777777" w:rsidTr="003E284C">
        <w:trPr>
          <w:cnfStyle w:val="000000100000" w:firstRow="0" w:lastRow="0" w:firstColumn="0" w:lastColumn="0" w:oddVBand="0" w:evenVBand="0" w:oddHBand="1" w:evenHBand="0" w:firstRowFirstColumn="0" w:firstRowLastColumn="0" w:lastRowFirstColumn="0" w:lastRowLastColumn="0"/>
          <w:trHeight w:val="187"/>
          <w:jc w:val="center"/>
        </w:trPr>
        <w:tc>
          <w:tcPr>
            <w:cnfStyle w:val="001000000000" w:firstRow="0" w:lastRow="0" w:firstColumn="1" w:lastColumn="0" w:oddVBand="0" w:evenVBand="0" w:oddHBand="0" w:evenHBand="0" w:firstRowFirstColumn="0" w:firstRowLastColumn="0" w:lastRowFirstColumn="0" w:lastRowLastColumn="0"/>
            <w:tcW w:w="1274" w:type="dxa"/>
            <w:vMerge w:val="restart"/>
            <w:tcBorders>
              <w:left w:val="none" w:sz="0" w:space="0" w:color="auto"/>
            </w:tcBorders>
            <w:shd w:val="clear" w:color="auto" w:fill="auto"/>
          </w:tcPr>
          <w:p w14:paraId="50697B52"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PAS</w:t>
            </w:r>
          </w:p>
        </w:tc>
        <w:tc>
          <w:tcPr>
            <w:tcW w:w="853" w:type="dxa"/>
            <w:vMerge w:val="restart"/>
            <w:shd w:val="clear" w:color="auto" w:fill="auto"/>
          </w:tcPr>
          <w:p w14:paraId="79ACE582"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F</w:t>
            </w:r>
          </w:p>
        </w:tc>
        <w:tc>
          <w:tcPr>
            <w:tcW w:w="1802" w:type="dxa"/>
            <w:shd w:val="clear" w:color="auto" w:fill="auto"/>
          </w:tcPr>
          <w:p w14:paraId="78ED9B91" w14:textId="57D02D48" w:rsidR="00667620" w:rsidRPr="003E284C" w:rsidRDefault="005279AC"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diabetes</w:t>
            </w:r>
          </w:p>
        </w:tc>
        <w:tc>
          <w:tcPr>
            <w:tcW w:w="1024" w:type="dxa"/>
            <w:shd w:val="clear" w:color="auto" w:fill="auto"/>
          </w:tcPr>
          <w:p w14:paraId="4E7606E1" w14:textId="36B46A02" w:rsidR="00667620" w:rsidRPr="003E284C" w:rsidRDefault="00D371B8"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123.21</w:t>
            </w:r>
          </w:p>
        </w:tc>
        <w:tc>
          <w:tcPr>
            <w:tcW w:w="1126" w:type="dxa"/>
            <w:shd w:val="clear" w:color="auto" w:fill="auto"/>
          </w:tcPr>
          <w:p w14:paraId="20F2D3A9" w14:textId="1E6135C0" w:rsidR="00667620" w:rsidRPr="003E284C" w:rsidRDefault="00D371B8"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18.60</w:t>
            </w:r>
          </w:p>
        </w:tc>
        <w:tc>
          <w:tcPr>
            <w:tcW w:w="984" w:type="dxa"/>
            <w:shd w:val="clear" w:color="auto" w:fill="auto"/>
          </w:tcPr>
          <w:p w14:paraId="1EAEBFC8" w14:textId="4B452C98" w:rsidR="00667620" w:rsidRPr="003E284C" w:rsidRDefault="00D371B8"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80</w:t>
            </w:r>
          </w:p>
        </w:tc>
        <w:tc>
          <w:tcPr>
            <w:tcW w:w="866" w:type="dxa"/>
            <w:shd w:val="clear" w:color="auto" w:fill="auto"/>
          </w:tcPr>
          <w:p w14:paraId="310016C7" w14:textId="40F6EB82"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w:t>
            </w:r>
            <w:r w:rsidR="00D371B8" w:rsidRPr="003E284C">
              <w:rPr>
                <w:rFonts w:ascii="Times New Roman" w:hAnsi="Times New Roman" w:cs="Times New Roman"/>
                <w:sz w:val="24"/>
                <w:szCs w:val="24"/>
                <w:lang w:val="es-ES"/>
              </w:rPr>
              <w:t>8</w:t>
            </w:r>
            <w:r w:rsidRPr="003E284C">
              <w:rPr>
                <w:rFonts w:ascii="Times New Roman" w:hAnsi="Times New Roman" w:cs="Times New Roman"/>
                <w:sz w:val="24"/>
                <w:szCs w:val="24"/>
                <w:lang w:val="es-ES"/>
              </w:rPr>
              <w:t>0</w:t>
            </w:r>
          </w:p>
        </w:tc>
        <w:tc>
          <w:tcPr>
            <w:tcW w:w="1552" w:type="dxa"/>
            <w:vMerge w:val="restart"/>
            <w:shd w:val="clear" w:color="auto" w:fill="auto"/>
          </w:tcPr>
          <w:p w14:paraId="6B768FD4" w14:textId="4D912339" w:rsidR="00667620" w:rsidRPr="003E284C" w:rsidRDefault="00667620" w:rsidP="00C0012D">
            <w:pPr>
              <w:widowControl w:val="0"/>
              <w:pBdr>
                <w:top w:val="nil"/>
                <w:left w:val="nil"/>
                <w:bottom w:val="nil"/>
                <w:right w:val="nil"/>
                <w:between w:val="nil"/>
              </w:pBd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w:t>
            </w:r>
            <w:r w:rsidR="0033181C" w:rsidRPr="003E284C">
              <w:rPr>
                <w:rFonts w:ascii="Times New Roman" w:hAnsi="Times New Roman" w:cs="Times New Roman"/>
                <w:sz w:val="24"/>
                <w:szCs w:val="24"/>
                <w:lang w:val="es-ES"/>
              </w:rPr>
              <w:t>167</w:t>
            </w:r>
            <w:r w:rsidR="00C46200" w:rsidRPr="003E284C">
              <w:rPr>
                <w:rFonts w:ascii="Times New Roman" w:hAnsi="Times New Roman" w:cs="Times New Roman"/>
                <w:sz w:val="24"/>
                <w:szCs w:val="24"/>
                <w:lang w:val="es-ES"/>
              </w:rPr>
              <w:t>1</w:t>
            </w:r>
          </w:p>
        </w:tc>
      </w:tr>
      <w:tr w:rsidR="003E284C" w:rsidRPr="003E284C" w14:paraId="0DFA4FDA" w14:textId="77777777" w:rsidTr="003E284C">
        <w:trPr>
          <w:trHeight w:val="187"/>
          <w:jc w:val="center"/>
        </w:trPr>
        <w:tc>
          <w:tcPr>
            <w:cnfStyle w:val="001000000000" w:firstRow="0" w:lastRow="0" w:firstColumn="1" w:lastColumn="0" w:oddVBand="0" w:evenVBand="0" w:oddHBand="0" w:evenHBand="0" w:firstRowFirstColumn="0" w:firstRowLastColumn="0" w:lastRowFirstColumn="0" w:lastRowLastColumn="0"/>
            <w:tcW w:w="1274" w:type="dxa"/>
            <w:vMerge/>
            <w:tcBorders>
              <w:left w:val="none" w:sz="0" w:space="0" w:color="auto"/>
            </w:tcBorders>
            <w:shd w:val="clear" w:color="auto" w:fill="auto"/>
          </w:tcPr>
          <w:p w14:paraId="386E0C06"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853" w:type="dxa"/>
            <w:vMerge/>
            <w:shd w:val="clear" w:color="auto" w:fill="auto"/>
          </w:tcPr>
          <w:p w14:paraId="70D006F6"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802" w:type="dxa"/>
            <w:shd w:val="clear" w:color="auto" w:fill="auto"/>
          </w:tcPr>
          <w:p w14:paraId="77A801D3" w14:textId="3D2755E6" w:rsidR="00667620" w:rsidRPr="003E284C" w:rsidRDefault="006424BE"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prediabetes</w:t>
            </w:r>
          </w:p>
        </w:tc>
        <w:tc>
          <w:tcPr>
            <w:tcW w:w="1024" w:type="dxa"/>
            <w:shd w:val="clear" w:color="auto" w:fill="auto"/>
          </w:tcPr>
          <w:p w14:paraId="035B029A" w14:textId="3A02FE97" w:rsidR="00667620" w:rsidRPr="003E284C" w:rsidRDefault="00E335CE"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125.42</w:t>
            </w:r>
          </w:p>
        </w:tc>
        <w:tc>
          <w:tcPr>
            <w:tcW w:w="1126" w:type="dxa"/>
            <w:shd w:val="clear" w:color="auto" w:fill="auto"/>
          </w:tcPr>
          <w:p w14:paraId="557F86AA" w14:textId="130CF934" w:rsidR="00667620" w:rsidRPr="003E284C" w:rsidRDefault="00E335CE"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23.91</w:t>
            </w:r>
          </w:p>
        </w:tc>
        <w:tc>
          <w:tcPr>
            <w:tcW w:w="984" w:type="dxa"/>
            <w:shd w:val="clear" w:color="auto" w:fill="auto"/>
          </w:tcPr>
          <w:p w14:paraId="185E14DB" w14:textId="4088DB25" w:rsidR="00667620" w:rsidRPr="003E284C" w:rsidRDefault="00E335CE"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98</w:t>
            </w:r>
          </w:p>
        </w:tc>
        <w:tc>
          <w:tcPr>
            <w:tcW w:w="866" w:type="dxa"/>
            <w:shd w:val="clear" w:color="auto" w:fill="auto"/>
          </w:tcPr>
          <w:p w14:paraId="6C52DB04" w14:textId="7D173BD4" w:rsidR="00667620" w:rsidRPr="003E284C" w:rsidRDefault="00E335CE"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173</w:t>
            </w:r>
          </w:p>
        </w:tc>
        <w:tc>
          <w:tcPr>
            <w:tcW w:w="1552" w:type="dxa"/>
            <w:vMerge/>
            <w:shd w:val="clear" w:color="auto" w:fill="auto"/>
          </w:tcPr>
          <w:p w14:paraId="41A910E7" w14:textId="77777777" w:rsidR="00667620" w:rsidRPr="003E284C" w:rsidRDefault="00667620" w:rsidP="00C0012D">
            <w:pPr>
              <w:widowControl w:val="0"/>
              <w:pBdr>
                <w:top w:val="nil"/>
                <w:left w:val="nil"/>
                <w:bottom w:val="nil"/>
                <w:right w:val="nil"/>
                <w:between w:val="nil"/>
              </w:pBd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557ED1BF" w14:textId="77777777" w:rsidTr="003E284C">
        <w:trPr>
          <w:cnfStyle w:val="000000100000" w:firstRow="0" w:lastRow="0" w:firstColumn="0" w:lastColumn="0" w:oddVBand="0" w:evenVBand="0" w:oddHBand="1" w:evenHBand="0" w:firstRowFirstColumn="0" w:firstRowLastColumn="0" w:lastRowFirstColumn="0" w:lastRowLastColumn="0"/>
          <w:trHeight w:val="187"/>
          <w:jc w:val="center"/>
        </w:trPr>
        <w:tc>
          <w:tcPr>
            <w:cnfStyle w:val="001000000000" w:firstRow="0" w:lastRow="0" w:firstColumn="1" w:lastColumn="0" w:oddVBand="0" w:evenVBand="0" w:oddHBand="0" w:evenHBand="0" w:firstRowFirstColumn="0" w:firstRowLastColumn="0" w:lastRowFirstColumn="0" w:lastRowLastColumn="0"/>
            <w:tcW w:w="1274" w:type="dxa"/>
            <w:vMerge/>
            <w:tcBorders>
              <w:left w:val="none" w:sz="0" w:space="0" w:color="auto"/>
            </w:tcBorders>
            <w:shd w:val="clear" w:color="auto" w:fill="auto"/>
          </w:tcPr>
          <w:p w14:paraId="56D6212E"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853" w:type="dxa"/>
            <w:vMerge/>
            <w:shd w:val="clear" w:color="auto" w:fill="auto"/>
          </w:tcPr>
          <w:p w14:paraId="6FC3CA62"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c>
          <w:tcPr>
            <w:tcW w:w="1802" w:type="dxa"/>
            <w:shd w:val="clear" w:color="auto" w:fill="auto"/>
          </w:tcPr>
          <w:p w14:paraId="4538084A" w14:textId="2A291D8E" w:rsidR="00667620" w:rsidRPr="003E284C" w:rsidRDefault="009B2CDE"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Sin diabetes</w:t>
            </w:r>
          </w:p>
        </w:tc>
        <w:tc>
          <w:tcPr>
            <w:tcW w:w="1024" w:type="dxa"/>
            <w:shd w:val="clear" w:color="auto" w:fill="auto"/>
          </w:tcPr>
          <w:p w14:paraId="11A2CDEF" w14:textId="0D7A5862" w:rsidR="00667620" w:rsidRPr="003E284C" w:rsidRDefault="00E335CE"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118.72</w:t>
            </w:r>
          </w:p>
        </w:tc>
        <w:tc>
          <w:tcPr>
            <w:tcW w:w="1126" w:type="dxa"/>
            <w:shd w:val="clear" w:color="auto" w:fill="auto"/>
          </w:tcPr>
          <w:p w14:paraId="2DC31581" w14:textId="5FD3B7E6" w:rsidR="00667620" w:rsidRPr="003E284C" w:rsidRDefault="00E335CE"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21.23</w:t>
            </w:r>
          </w:p>
        </w:tc>
        <w:tc>
          <w:tcPr>
            <w:tcW w:w="984" w:type="dxa"/>
            <w:shd w:val="clear" w:color="auto" w:fill="auto"/>
          </w:tcPr>
          <w:p w14:paraId="301CBAE0" w14:textId="7006CFDB" w:rsidR="00667620" w:rsidRPr="003E284C" w:rsidRDefault="00E335CE"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82</w:t>
            </w:r>
          </w:p>
        </w:tc>
        <w:tc>
          <w:tcPr>
            <w:tcW w:w="866" w:type="dxa"/>
            <w:shd w:val="clear" w:color="auto" w:fill="auto"/>
          </w:tcPr>
          <w:p w14:paraId="5939E204" w14:textId="236D830F" w:rsidR="00667620" w:rsidRPr="003E284C" w:rsidRDefault="00E335CE"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200</w:t>
            </w:r>
          </w:p>
        </w:tc>
        <w:tc>
          <w:tcPr>
            <w:tcW w:w="1552" w:type="dxa"/>
            <w:vMerge/>
            <w:shd w:val="clear" w:color="auto" w:fill="auto"/>
          </w:tcPr>
          <w:p w14:paraId="1CA0879A" w14:textId="77777777" w:rsidR="00667620" w:rsidRPr="003E284C" w:rsidRDefault="00667620" w:rsidP="00C0012D">
            <w:pPr>
              <w:widowControl w:val="0"/>
              <w:pBdr>
                <w:top w:val="nil"/>
                <w:left w:val="nil"/>
                <w:bottom w:val="nil"/>
                <w:right w:val="nil"/>
                <w:between w:val="nil"/>
              </w:pBd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r>
      <w:tr w:rsidR="003E284C" w:rsidRPr="003E284C" w14:paraId="6C26B1DE" w14:textId="77777777" w:rsidTr="003E284C">
        <w:trPr>
          <w:trHeight w:val="187"/>
          <w:jc w:val="center"/>
        </w:trPr>
        <w:tc>
          <w:tcPr>
            <w:cnfStyle w:val="001000000000" w:firstRow="0" w:lastRow="0" w:firstColumn="1" w:lastColumn="0" w:oddVBand="0" w:evenVBand="0" w:oddHBand="0" w:evenHBand="0" w:firstRowFirstColumn="0" w:firstRowLastColumn="0" w:lastRowFirstColumn="0" w:lastRowLastColumn="0"/>
            <w:tcW w:w="1274" w:type="dxa"/>
            <w:vMerge/>
            <w:tcBorders>
              <w:left w:val="none" w:sz="0" w:space="0" w:color="auto"/>
            </w:tcBorders>
            <w:shd w:val="clear" w:color="auto" w:fill="auto"/>
          </w:tcPr>
          <w:p w14:paraId="7D416C11"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853" w:type="dxa"/>
            <w:vMerge w:val="restart"/>
            <w:shd w:val="clear" w:color="auto" w:fill="auto"/>
          </w:tcPr>
          <w:p w14:paraId="51DBC6A7"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M</w:t>
            </w:r>
          </w:p>
        </w:tc>
        <w:tc>
          <w:tcPr>
            <w:tcW w:w="1802" w:type="dxa"/>
            <w:shd w:val="clear" w:color="auto" w:fill="auto"/>
          </w:tcPr>
          <w:p w14:paraId="7760E5E2" w14:textId="2D2BA2DA" w:rsidR="00667620" w:rsidRPr="003E284C" w:rsidRDefault="005279AC"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diabetes</w:t>
            </w:r>
          </w:p>
        </w:tc>
        <w:tc>
          <w:tcPr>
            <w:tcW w:w="1024" w:type="dxa"/>
            <w:shd w:val="clear" w:color="auto" w:fill="auto"/>
          </w:tcPr>
          <w:p w14:paraId="5B5FFA8C" w14:textId="237E7EED" w:rsidR="00667620" w:rsidRPr="003E284C" w:rsidRDefault="00D371B8"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130</w:t>
            </w:r>
          </w:p>
        </w:tc>
        <w:tc>
          <w:tcPr>
            <w:tcW w:w="1126" w:type="dxa"/>
            <w:shd w:val="clear" w:color="auto" w:fill="auto"/>
          </w:tcPr>
          <w:p w14:paraId="0C1BB8FC" w14:textId="58490C13" w:rsidR="00667620" w:rsidRPr="003E284C" w:rsidRDefault="00D371B8"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31.11</w:t>
            </w:r>
          </w:p>
        </w:tc>
        <w:tc>
          <w:tcPr>
            <w:tcW w:w="984" w:type="dxa"/>
            <w:shd w:val="clear" w:color="auto" w:fill="auto"/>
          </w:tcPr>
          <w:p w14:paraId="1E945325" w14:textId="4DAD8C22" w:rsidR="00667620" w:rsidRPr="003E284C" w:rsidRDefault="00D371B8"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90</w:t>
            </w:r>
          </w:p>
        </w:tc>
        <w:tc>
          <w:tcPr>
            <w:tcW w:w="866" w:type="dxa"/>
            <w:shd w:val="clear" w:color="auto" w:fill="auto"/>
          </w:tcPr>
          <w:p w14:paraId="3B4683BD" w14:textId="50F3FA50" w:rsidR="00667620" w:rsidRPr="003E284C" w:rsidRDefault="00D371B8"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288</w:t>
            </w:r>
          </w:p>
        </w:tc>
        <w:tc>
          <w:tcPr>
            <w:tcW w:w="1552" w:type="dxa"/>
            <w:vMerge w:val="restart"/>
            <w:shd w:val="clear" w:color="auto" w:fill="auto"/>
          </w:tcPr>
          <w:p w14:paraId="1B38C693" w14:textId="6E1DB1AA" w:rsidR="00667620" w:rsidRPr="003E284C" w:rsidRDefault="00667620" w:rsidP="00C0012D">
            <w:pPr>
              <w:widowControl w:val="0"/>
              <w:pBdr>
                <w:top w:val="nil"/>
                <w:left w:val="nil"/>
                <w:bottom w:val="nil"/>
                <w:right w:val="nil"/>
                <w:between w:val="nil"/>
              </w:pBd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0.80</w:t>
            </w:r>
            <w:r w:rsidR="0033181C" w:rsidRPr="003E284C">
              <w:rPr>
                <w:rFonts w:ascii="Times New Roman" w:hAnsi="Times New Roman" w:cs="Times New Roman"/>
                <w:sz w:val="24"/>
                <w:szCs w:val="24"/>
                <w:lang w:val="es-ES"/>
              </w:rPr>
              <w:t>66</w:t>
            </w:r>
          </w:p>
        </w:tc>
      </w:tr>
      <w:tr w:rsidR="003E284C" w:rsidRPr="003E284C" w14:paraId="607A4CAC" w14:textId="77777777" w:rsidTr="003E284C">
        <w:trPr>
          <w:cnfStyle w:val="000000100000" w:firstRow="0" w:lastRow="0" w:firstColumn="0" w:lastColumn="0" w:oddVBand="0" w:evenVBand="0" w:oddHBand="1" w:evenHBand="0" w:firstRowFirstColumn="0" w:firstRowLastColumn="0" w:lastRowFirstColumn="0" w:lastRowLastColumn="0"/>
          <w:trHeight w:val="187"/>
          <w:jc w:val="center"/>
        </w:trPr>
        <w:tc>
          <w:tcPr>
            <w:cnfStyle w:val="001000000000" w:firstRow="0" w:lastRow="0" w:firstColumn="1" w:lastColumn="0" w:oddVBand="0" w:evenVBand="0" w:oddHBand="0" w:evenHBand="0" w:firstRowFirstColumn="0" w:firstRowLastColumn="0" w:lastRowFirstColumn="0" w:lastRowLastColumn="0"/>
            <w:tcW w:w="1274" w:type="dxa"/>
            <w:vMerge/>
            <w:tcBorders>
              <w:left w:val="none" w:sz="0" w:space="0" w:color="auto"/>
            </w:tcBorders>
            <w:shd w:val="clear" w:color="auto" w:fill="auto"/>
          </w:tcPr>
          <w:p w14:paraId="238281E5"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853" w:type="dxa"/>
            <w:vMerge/>
            <w:shd w:val="clear" w:color="auto" w:fill="auto"/>
          </w:tcPr>
          <w:p w14:paraId="60BDE590"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c>
          <w:tcPr>
            <w:tcW w:w="1802" w:type="dxa"/>
            <w:shd w:val="clear" w:color="auto" w:fill="auto"/>
          </w:tcPr>
          <w:p w14:paraId="701CA811" w14:textId="2DBD571C" w:rsidR="00667620" w:rsidRPr="003E284C" w:rsidRDefault="006424BE"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prediabetes</w:t>
            </w:r>
          </w:p>
        </w:tc>
        <w:tc>
          <w:tcPr>
            <w:tcW w:w="1024" w:type="dxa"/>
            <w:shd w:val="clear" w:color="auto" w:fill="auto"/>
          </w:tcPr>
          <w:p w14:paraId="16687D74" w14:textId="5AF9D6B7" w:rsidR="00667620" w:rsidRPr="003E284C" w:rsidRDefault="00E335CE"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128</w:t>
            </w:r>
          </w:p>
        </w:tc>
        <w:tc>
          <w:tcPr>
            <w:tcW w:w="1126" w:type="dxa"/>
            <w:shd w:val="clear" w:color="auto" w:fill="auto"/>
          </w:tcPr>
          <w:p w14:paraId="41A1868F" w14:textId="01CC26DB" w:rsidR="00667620" w:rsidRPr="003E284C" w:rsidRDefault="00E335CE"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w:t>
            </w:r>
          </w:p>
        </w:tc>
        <w:tc>
          <w:tcPr>
            <w:tcW w:w="984" w:type="dxa"/>
            <w:shd w:val="clear" w:color="auto" w:fill="auto"/>
          </w:tcPr>
          <w:p w14:paraId="6CB3F75C"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128</w:t>
            </w:r>
          </w:p>
        </w:tc>
        <w:tc>
          <w:tcPr>
            <w:tcW w:w="866" w:type="dxa"/>
            <w:shd w:val="clear" w:color="auto" w:fill="auto"/>
          </w:tcPr>
          <w:p w14:paraId="4F257557"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128</w:t>
            </w:r>
          </w:p>
        </w:tc>
        <w:tc>
          <w:tcPr>
            <w:tcW w:w="1552" w:type="dxa"/>
            <w:vMerge/>
            <w:shd w:val="clear" w:color="auto" w:fill="auto"/>
          </w:tcPr>
          <w:p w14:paraId="6B135A40" w14:textId="77777777" w:rsidR="00667620" w:rsidRPr="003E284C" w:rsidRDefault="00667620" w:rsidP="00C0012D">
            <w:pPr>
              <w:widowControl w:val="0"/>
              <w:pBdr>
                <w:top w:val="nil"/>
                <w:left w:val="nil"/>
                <w:bottom w:val="nil"/>
                <w:right w:val="nil"/>
                <w:between w:val="nil"/>
              </w:pBd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r>
      <w:tr w:rsidR="003E284C" w:rsidRPr="003E284C" w14:paraId="77787942" w14:textId="77777777" w:rsidTr="003E284C">
        <w:trPr>
          <w:trHeight w:val="187"/>
          <w:jc w:val="center"/>
        </w:trPr>
        <w:tc>
          <w:tcPr>
            <w:cnfStyle w:val="001000000000" w:firstRow="0" w:lastRow="0" w:firstColumn="1" w:lastColumn="0" w:oddVBand="0" w:evenVBand="0" w:oddHBand="0" w:evenHBand="0" w:firstRowFirstColumn="0" w:firstRowLastColumn="0" w:lastRowFirstColumn="0" w:lastRowLastColumn="0"/>
            <w:tcW w:w="1274" w:type="dxa"/>
            <w:vMerge/>
            <w:tcBorders>
              <w:left w:val="none" w:sz="0" w:space="0" w:color="auto"/>
            </w:tcBorders>
            <w:shd w:val="clear" w:color="auto" w:fill="auto"/>
          </w:tcPr>
          <w:p w14:paraId="4EDC5367"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853" w:type="dxa"/>
            <w:vMerge/>
            <w:shd w:val="clear" w:color="auto" w:fill="auto"/>
          </w:tcPr>
          <w:p w14:paraId="757865FD"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802" w:type="dxa"/>
            <w:shd w:val="clear" w:color="auto" w:fill="auto"/>
          </w:tcPr>
          <w:p w14:paraId="26ED975E" w14:textId="61114504" w:rsidR="00667620" w:rsidRPr="003E284C" w:rsidRDefault="009B2CDE"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Sin diabetes</w:t>
            </w:r>
          </w:p>
        </w:tc>
        <w:tc>
          <w:tcPr>
            <w:tcW w:w="1024" w:type="dxa"/>
            <w:shd w:val="clear" w:color="auto" w:fill="auto"/>
          </w:tcPr>
          <w:p w14:paraId="03D4BFC1" w14:textId="77D6FCF0" w:rsidR="00667620" w:rsidRPr="003E284C" w:rsidRDefault="00E335CE"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127.11</w:t>
            </w:r>
          </w:p>
        </w:tc>
        <w:tc>
          <w:tcPr>
            <w:tcW w:w="1126" w:type="dxa"/>
            <w:shd w:val="clear" w:color="auto" w:fill="auto"/>
          </w:tcPr>
          <w:p w14:paraId="13CCF0FC" w14:textId="315F7F89"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w:t>
            </w:r>
            <w:r w:rsidR="00E335CE" w:rsidRPr="003E284C">
              <w:rPr>
                <w:rFonts w:ascii="Times New Roman" w:hAnsi="Times New Roman" w:cs="Times New Roman"/>
                <w:sz w:val="24"/>
                <w:szCs w:val="24"/>
                <w:lang w:val="es-ES"/>
              </w:rPr>
              <w:t>7.14</w:t>
            </w:r>
          </w:p>
        </w:tc>
        <w:tc>
          <w:tcPr>
            <w:tcW w:w="984" w:type="dxa"/>
            <w:shd w:val="clear" w:color="auto" w:fill="auto"/>
          </w:tcPr>
          <w:p w14:paraId="3845AAEB" w14:textId="1AB43FAA" w:rsidR="00667620" w:rsidRPr="003E284C" w:rsidRDefault="00E335CE"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89</w:t>
            </w:r>
          </w:p>
        </w:tc>
        <w:tc>
          <w:tcPr>
            <w:tcW w:w="866" w:type="dxa"/>
            <w:shd w:val="clear" w:color="auto" w:fill="auto"/>
          </w:tcPr>
          <w:p w14:paraId="63BADC20" w14:textId="68E28ACC"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w:t>
            </w:r>
            <w:r w:rsidR="00E335CE" w:rsidRPr="003E284C">
              <w:rPr>
                <w:rFonts w:ascii="Times New Roman" w:hAnsi="Times New Roman" w:cs="Times New Roman"/>
                <w:sz w:val="24"/>
                <w:szCs w:val="24"/>
                <w:lang w:val="es-ES"/>
              </w:rPr>
              <w:t>67</w:t>
            </w:r>
          </w:p>
        </w:tc>
        <w:tc>
          <w:tcPr>
            <w:tcW w:w="1552" w:type="dxa"/>
            <w:vMerge/>
            <w:shd w:val="clear" w:color="auto" w:fill="auto"/>
          </w:tcPr>
          <w:p w14:paraId="129BA0E7" w14:textId="77777777" w:rsidR="00667620" w:rsidRPr="003E284C" w:rsidRDefault="00667620" w:rsidP="00C0012D">
            <w:pPr>
              <w:widowControl w:val="0"/>
              <w:pBdr>
                <w:top w:val="nil"/>
                <w:left w:val="nil"/>
                <w:bottom w:val="nil"/>
                <w:right w:val="nil"/>
                <w:between w:val="nil"/>
              </w:pBd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6F8F35D5" w14:textId="77777777" w:rsidTr="003E284C">
        <w:trPr>
          <w:cnfStyle w:val="000000100000" w:firstRow="0" w:lastRow="0" w:firstColumn="0" w:lastColumn="0" w:oddVBand="0" w:evenVBand="0" w:oddHBand="1" w:evenHBand="0" w:firstRowFirstColumn="0" w:firstRowLastColumn="0" w:lastRowFirstColumn="0" w:lastRowLastColumn="0"/>
          <w:trHeight w:val="187"/>
          <w:jc w:val="center"/>
        </w:trPr>
        <w:tc>
          <w:tcPr>
            <w:cnfStyle w:val="001000000000" w:firstRow="0" w:lastRow="0" w:firstColumn="1" w:lastColumn="0" w:oddVBand="0" w:evenVBand="0" w:oddHBand="0" w:evenHBand="0" w:firstRowFirstColumn="0" w:firstRowLastColumn="0" w:lastRowFirstColumn="0" w:lastRowLastColumn="0"/>
            <w:tcW w:w="1274" w:type="dxa"/>
            <w:vMerge w:val="restart"/>
            <w:tcBorders>
              <w:left w:val="none" w:sz="0" w:space="0" w:color="auto"/>
            </w:tcBorders>
            <w:shd w:val="clear" w:color="auto" w:fill="auto"/>
          </w:tcPr>
          <w:p w14:paraId="63D0D3C8"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PAD</w:t>
            </w:r>
          </w:p>
        </w:tc>
        <w:tc>
          <w:tcPr>
            <w:tcW w:w="853" w:type="dxa"/>
            <w:vMerge w:val="restart"/>
            <w:shd w:val="clear" w:color="auto" w:fill="auto"/>
          </w:tcPr>
          <w:p w14:paraId="5D5994C5"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F</w:t>
            </w:r>
          </w:p>
        </w:tc>
        <w:tc>
          <w:tcPr>
            <w:tcW w:w="1802" w:type="dxa"/>
            <w:shd w:val="clear" w:color="auto" w:fill="auto"/>
          </w:tcPr>
          <w:p w14:paraId="50AD1FBC" w14:textId="453DAFF4" w:rsidR="00667620" w:rsidRPr="003E284C" w:rsidRDefault="005279AC"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diabetes</w:t>
            </w:r>
          </w:p>
        </w:tc>
        <w:tc>
          <w:tcPr>
            <w:tcW w:w="1024" w:type="dxa"/>
            <w:shd w:val="clear" w:color="auto" w:fill="auto"/>
          </w:tcPr>
          <w:p w14:paraId="1CA744CB"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73.41</w:t>
            </w:r>
          </w:p>
        </w:tc>
        <w:tc>
          <w:tcPr>
            <w:tcW w:w="1126" w:type="dxa"/>
            <w:shd w:val="clear" w:color="auto" w:fill="auto"/>
          </w:tcPr>
          <w:p w14:paraId="5806DCE3"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11.15</w:t>
            </w:r>
          </w:p>
        </w:tc>
        <w:tc>
          <w:tcPr>
            <w:tcW w:w="984" w:type="dxa"/>
            <w:shd w:val="clear" w:color="auto" w:fill="auto"/>
          </w:tcPr>
          <w:p w14:paraId="1A54D2B3"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48</w:t>
            </w:r>
          </w:p>
        </w:tc>
        <w:tc>
          <w:tcPr>
            <w:tcW w:w="866" w:type="dxa"/>
            <w:shd w:val="clear" w:color="auto" w:fill="auto"/>
          </w:tcPr>
          <w:p w14:paraId="4323D586"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100</w:t>
            </w:r>
          </w:p>
        </w:tc>
        <w:tc>
          <w:tcPr>
            <w:tcW w:w="1552" w:type="dxa"/>
            <w:vMerge w:val="restart"/>
            <w:shd w:val="clear" w:color="auto" w:fill="auto"/>
          </w:tcPr>
          <w:p w14:paraId="50C34DDF" w14:textId="1124D177" w:rsidR="00667620" w:rsidRPr="003E284C" w:rsidRDefault="00667620" w:rsidP="00C0012D">
            <w:pPr>
              <w:widowControl w:val="0"/>
              <w:pBdr>
                <w:top w:val="nil"/>
                <w:left w:val="nil"/>
                <w:bottom w:val="nil"/>
                <w:right w:val="nil"/>
                <w:between w:val="nil"/>
              </w:pBd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w:t>
            </w:r>
            <w:r w:rsidR="0033181C" w:rsidRPr="003E284C">
              <w:rPr>
                <w:rFonts w:ascii="Times New Roman" w:hAnsi="Times New Roman" w:cs="Times New Roman"/>
                <w:sz w:val="24"/>
                <w:szCs w:val="24"/>
                <w:lang w:val="es-ES"/>
              </w:rPr>
              <w:t>2648</w:t>
            </w:r>
          </w:p>
        </w:tc>
      </w:tr>
      <w:tr w:rsidR="003E284C" w:rsidRPr="003E284C" w14:paraId="16EB1DE2" w14:textId="77777777" w:rsidTr="003E284C">
        <w:trPr>
          <w:trHeight w:val="187"/>
          <w:jc w:val="center"/>
        </w:trPr>
        <w:tc>
          <w:tcPr>
            <w:cnfStyle w:val="001000000000" w:firstRow="0" w:lastRow="0" w:firstColumn="1" w:lastColumn="0" w:oddVBand="0" w:evenVBand="0" w:oddHBand="0" w:evenHBand="0" w:firstRowFirstColumn="0" w:firstRowLastColumn="0" w:lastRowFirstColumn="0" w:lastRowLastColumn="0"/>
            <w:tcW w:w="1274" w:type="dxa"/>
            <w:vMerge/>
            <w:tcBorders>
              <w:left w:val="none" w:sz="0" w:space="0" w:color="auto"/>
            </w:tcBorders>
            <w:shd w:val="clear" w:color="auto" w:fill="auto"/>
          </w:tcPr>
          <w:p w14:paraId="641113B4"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853" w:type="dxa"/>
            <w:vMerge/>
            <w:shd w:val="clear" w:color="auto" w:fill="auto"/>
          </w:tcPr>
          <w:p w14:paraId="7E2DCCCF"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802" w:type="dxa"/>
            <w:shd w:val="clear" w:color="auto" w:fill="auto"/>
          </w:tcPr>
          <w:p w14:paraId="3E171B08" w14:textId="39D00FEE" w:rsidR="00667620" w:rsidRPr="003E284C" w:rsidRDefault="006424BE"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prediabetes</w:t>
            </w:r>
          </w:p>
        </w:tc>
        <w:tc>
          <w:tcPr>
            <w:tcW w:w="1024" w:type="dxa"/>
            <w:shd w:val="clear" w:color="auto" w:fill="auto"/>
          </w:tcPr>
          <w:p w14:paraId="1774E93C"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78.28</w:t>
            </w:r>
          </w:p>
        </w:tc>
        <w:tc>
          <w:tcPr>
            <w:tcW w:w="1126" w:type="dxa"/>
            <w:shd w:val="clear" w:color="auto" w:fill="auto"/>
          </w:tcPr>
          <w:p w14:paraId="7B2468C7"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7.80</w:t>
            </w:r>
          </w:p>
        </w:tc>
        <w:tc>
          <w:tcPr>
            <w:tcW w:w="984" w:type="dxa"/>
            <w:shd w:val="clear" w:color="auto" w:fill="auto"/>
          </w:tcPr>
          <w:p w14:paraId="3ED48D29"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66</w:t>
            </w:r>
          </w:p>
        </w:tc>
        <w:tc>
          <w:tcPr>
            <w:tcW w:w="866" w:type="dxa"/>
            <w:shd w:val="clear" w:color="auto" w:fill="auto"/>
          </w:tcPr>
          <w:p w14:paraId="7B3822E6"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97</w:t>
            </w:r>
          </w:p>
        </w:tc>
        <w:tc>
          <w:tcPr>
            <w:tcW w:w="1552" w:type="dxa"/>
            <w:vMerge/>
            <w:shd w:val="clear" w:color="auto" w:fill="auto"/>
          </w:tcPr>
          <w:p w14:paraId="339FDCEC" w14:textId="77777777" w:rsidR="00667620" w:rsidRPr="003E284C" w:rsidRDefault="00667620" w:rsidP="00C0012D">
            <w:pPr>
              <w:widowControl w:val="0"/>
              <w:pBdr>
                <w:top w:val="nil"/>
                <w:left w:val="nil"/>
                <w:bottom w:val="nil"/>
                <w:right w:val="nil"/>
                <w:between w:val="nil"/>
              </w:pBd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4DF6E7BA" w14:textId="77777777" w:rsidTr="003E284C">
        <w:trPr>
          <w:cnfStyle w:val="000000100000" w:firstRow="0" w:lastRow="0" w:firstColumn="0" w:lastColumn="0" w:oddVBand="0" w:evenVBand="0" w:oddHBand="1" w:evenHBand="0" w:firstRowFirstColumn="0" w:firstRowLastColumn="0" w:lastRowFirstColumn="0" w:lastRowLastColumn="0"/>
          <w:trHeight w:val="187"/>
          <w:jc w:val="center"/>
        </w:trPr>
        <w:tc>
          <w:tcPr>
            <w:cnfStyle w:val="001000000000" w:firstRow="0" w:lastRow="0" w:firstColumn="1" w:lastColumn="0" w:oddVBand="0" w:evenVBand="0" w:oddHBand="0" w:evenHBand="0" w:firstRowFirstColumn="0" w:firstRowLastColumn="0" w:lastRowFirstColumn="0" w:lastRowLastColumn="0"/>
            <w:tcW w:w="1274" w:type="dxa"/>
            <w:vMerge/>
            <w:tcBorders>
              <w:left w:val="none" w:sz="0" w:space="0" w:color="auto"/>
            </w:tcBorders>
            <w:shd w:val="clear" w:color="auto" w:fill="auto"/>
          </w:tcPr>
          <w:p w14:paraId="54E619E7"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853" w:type="dxa"/>
            <w:vMerge/>
            <w:shd w:val="clear" w:color="auto" w:fill="auto"/>
          </w:tcPr>
          <w:p w14:paraId="1A7C929B"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c>
          <w:tcPr>
            <w:tcW w:w="1802" w:type="dxa"/>
            <w:shd w:val="clear" w:color="auto" w:fill="auto"/>
          </w:tcPr>
          <w:p w14:paraId="3810F610" w14:textId="6483DD81" w:rsidR="00667620" w:rsidRPr="003E284C" w:rsidRDefault="009B2CDE"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Sin diabetes</w:t>
            </w:r>
          </w:p>
        </w:tc>
        <w:tc>
          <w:tcPr>
            <w:tcW w:w="1024" w:type="dxa"/>
            <w:shd w:val="clear" w:color="auto" w:fill="auto"/>
          </w:tcPr>
          <w:p w14:paraId="7DBC8EAA" w14:textId="1436817B" w:rsidR="00667620" w:rsidRPr="003E284C" w:rsidRDefault="00E335CE"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7</w:t>
            </w:r>
            <w:r w:rsidR="00667620" w:rsidRPr="003E284C">
              <w:rPr>
                <w:rFonts w:ascii="Times New Roman" w:hAnsi="Times New Roman" w:cs="Times New Roman"/>
                <w:sz w:val="24"/>
                <w:szCs w:val="24"/>
                <w:lang w:val="es-ES"/>
              </w:rPr>
              <w:t>3.68</w:t>
            </w:r>
          </w:p>
        </w:tc>
        <w:tc>
          <w:tcPr>
            <w:tcW w:w="1126" w:type="dxa"/>
            <w:shd w:val="clear" w:color="auto" w:fill="auto"/>
          </w:tcPr>
          <w:p w14:paraId="45B9FB34"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10.30</w:t>
            </w:r>
          </w:p>
        </w:tc>
        <w:tc>
          <w:tcPr>
            <w:tcW w:w="984" w:type="dxa"/>
            <w:shd w:val="clear" w:color="auto" w:fill="auto"/>
          </w:tcPr>
          <w:p w14:paraId="0AE6E604"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52</w:t>
            </w:r>
          </w:p>
        </w:tc>
        <w:tc>
          <w:tcPr>
            <w:tcW w:w="866" w:type="dxa"/>
            <w:shd w:val="clear" w:color="auto" w:fill="auto"/>
          </w:tcPr>
          <w:p w14:paraId="5712DF0D"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101</w:t>
            </w:r>
          </w:p>
        </w:tc>
        <w:tc>
          <w:tcPr>
            <w:tcW w:w="1552" w:type="dxa"/>
            <w:vMerge/>
            <w:shd w:val="clear" w:color="auto" w:fill="auto"/>
          </w:tcPr>
          <w:p w14:paraId="0A03C706" w14:textId="77777777" w:rsidR="00667620" w:rsidRPr="003E284C" w:rsidRDefault="00667620" w:rsidP="00C0012D">
            <w:pPr>
              <w:widowControl w:val="0"/>
              <w:pBdr>
                <w:top w:val="nil"/>
                <w:left w:val="nil"/>
                <w:bottom w:val="nil"/>
                <w:right w:val="nil"/>
                <w:between w:val="nil"/>
              </w:pBd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r>
      <w:tr w:rsidR="003E284C" w:rsidRPr="003E284C" w14:paraId="4EDB7A33" w14:textId="77777777" w:rsidTr="003E284C">
        <w:trPr>
          <w:trHeight w:val="187"/>
          <w:jc w:val="center"/>
        </w:trPr>
        <w:tc>
          <w:tcPr>
            <w:cnfStyle w:val="001000000000" w:firstRow="0" w:lastRow="0" w:firstColumn="1" w:lastColumn="0" w:oddVBand="0" w:evenVBand="0" w:oddHBand="0" w:evenHBand="0" w:firstRowFirstColumn="0" w:firstRowLastColumn="0" w:lastRowFirstColumn="0" w:lastRowLastColumn="0"/>
            <w:tcW w:w="1274" w:type="dxa"/>
            <w:vMerge/>
            <w:tcBorders>
              <w:left w:val="none" w:sz="0" w:space="0" w:color="auto"/>
            </w:tcBorders>
            <w:shd w:val="clear" w:color="auto" w:fill="auto"/>
          </w:tcPr>
          <w:p w14:paraId="1424AD67"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853" w:type="dxa"/>
            <w:vMerge w:val="restart"/>
            <w:shd w:val="clear" w:color="auto" w:fill="auto"/>
          </w:tcPr>
          <w:p w14:paraId="5E1D124C"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M</w:t>
            </w:r>
          </w:p>
        </w:tc>
        <w:tc>
          <w:tcPr>
            <w:tcW w:w="1802" w:type="dxa"/>
            <w:shd w:val="clear" w:color="auto" w:fill="auto"/>
          </w:tcPr>
          <w:p w14:paraId="1C53CB33" w14:textId="58E22CAF" w:rsidR="00667620" w:rsidRPr="003E284C" w:rsidRDefault="006424BE"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diabetes</w:t>
            </w:r>
          </w:p>
        </w:tc>
        <w:tc>
          <w:tcPr>
            <w:tcW w:w="1024" w:type="dxa"/>
            <w:shd w:val="clear" w:color="auto" w:fill="auto"/>
          </w:tcPr>
          <w:p w14:paraId="55A711FB"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78.26</w:t>
            </w:r>
          </w:p>
        </w:tc>
        <w:tc>
          <w:tcPr>
            <w:tcW w:w="1126" w:type="dxa"/>
            <w:shd w:val="clear" w:color="auto" w:fill="auto"/>
          </w:tcPr>
          <w:p w14:paraId="0569BBB4"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15.73</w:t>
            </w:r>
          </w:p>
        </w:tc>
        <w:tc>
          <w:tcPr>
            <w:tcW w:w="984" w:type="dxa"/>
            <w:shd w:val="clear" w:color="auto" w:fill="auto"/>
          </w:tcPr>
          <w:p w14:paraId="4452A2FC"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50</w:t>
            </w:r>
          </w:p>
        </w:tc>
        <w:tc>
          <w:tcPr>
            <w:tcW w:w="866" w:type="dxa"/>
            <w:shd w:val="clear" w:color="auto" w:fill="auto"/>
          </w:tcPr>
          <w:p w14:paraId="31437909"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148</w:t>
            </w:r>
          </w:p>
        </w:tc>
        <w:tc>
          <w:tcPr>
            <w:tcW w:w="1552" w:type="dxa"/>
            <w:vMerge w:val="restart"/>
            <w:shd w:val="clear" w:color="auto" w:fill="auto"/>
          </w:tcPr>
          <w:p w14:paraId="04871FCC" w14:textId="20B6E5E9" w:rsidR="00667620" w:rsidRPr="003E284C" w:rsidRDefault="00667620" w:rsidP="00C0012D">
            <w:pPr>
              <w:widowControl w:val="0"/>
              <w:pBdr>
                <w:top w:val="nil"/>
                <w:left w:val="nil"/>
                <w:bottom w:val="nil"/>
                <w:right w:val="nil"/>
                <w:between w:val="nil"/>
              </w:pBd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0.95</w:t>
            </w:r>
            <w:r w:rsidR="00C80BB3" w:rsidRPr="003E284C">
              <w:rPr>
                <w:rFonts w:ascii="Times New Roman" w:hAnsi="Times New Roman" w:cs="Times New Roman"/>
                <w:sz w:val="24"/>
                <w:szCs w:val="24"/>
                <w:lang w:val="es-ES"/>
              </w:rPr>
              <w:t>68</w:t>
            </w:r>
          </w:p>
        </w:tc>
      </w:tr>
      <w:tr w:rsidR="003E284C" w:rsidRPr="003E284C" w14:paraId="5881BAA3" w14:textId="77777777" w:rsidTr="003E284C">
        <w:trPr>
          <w:cnfStyle w:val="000000100000" w:firstRow="0" w:lastRow="0" w:firstColumn="0" w:lastColumn="0" w:oddVBand="0" w:evenVBand="0" w:oddHBand="1" w:evenHBand="0" w:firstRowFirstColumn="0" w:firstRowLastColumn="0" w:lastRowFirstColumn="0" w:lastRowLastColumn="0"/>
          <w:trHeight w:val="187"/>
          <w:jc w:val="center"/>
        </w:trPr>
        <w:tc>
          <w:tcPr>
            <w:cnfStyle w:val="001000000000" w:firstRow="0" w:lastRow="0" w:firstColumn="1" w:lastColumn="0" w:oddVBand="0" w:evenVBand="0" w:oddHBand="0" w:evenHBand="0" w:firstRowFirstColumn="0" w:firstRowLastColumn="0" w:lastRowFirstColumn="0" w:lastRowLastColumn="0"/>
            <w:tcW w:w="1274" w:type="dxa"/>
            <w:vMerge/>
            <w:tcBorders>
              <w:left w:val="none" w:sz="0" w:space="0" w:color="auto"/>
            </w:tcBorders>
            <w:shd w:val="clear" w:color="auto" w:fill="auto"/>
          </w:tcPr>
          <w:p w14:paraId="54EBCCFE"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853" w:type="dxa"/>
            <w:vMerge/>
            <w:shd w:val="clear" w:color="auto" w:fill="auto"/>
          </w:tcPr>
          <w:p w14:paraId="75241DA3"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c>
          <w:tcPr>
            <w:tcW w:w="1802" w:type="dxa"/>
            <w:shd w:val="clear" w:color="auto" w:fill="auto"/>
          </w:tcPr>
          <w:p w14:paraId="0591EF9A" w14:textId="06E23D5B" w:rsidR="00667620" w:rsidRPr="003E284C" w:rsidRDefault="006424BE"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prediabetes</w:t>
            </w:r>
          </w:p>
        </w:tc>
        <w:tc>
          <w:tcPr>
            <w:tcW w:w="1024" w:type="dxa"/>
            <w:shd w:val="clear" w:color="auto" w:fill="auto"/>
          </w:tcPr>
          <w:p w14:paraId="4AA1A450"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82</w:t>
            </w:r>
          </w:p>
        </w:tc>
        <w:tc>
          <w:tcPr>
            <w:tcW w:w="1126" w:type="dxa"/>
            <w:shd w:val="clear" w:color="auto" w:fill="auto"/>
          </w:tcPr>
          <w:p w14:paraId="362961D6"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w:t>
            </w:r>
          </w:p>
        </w:tc>
        <w:tc>
          <w:tcPr>
            <w:tcW w:w="984" w:type="dxa"/>
            <w:shd w:val="clear" w:color="auto" w:fill="auto"/>
          </w:tcPr>
          <w:p w14:paraId="6C9B213C"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82</w:t>
            </w:r>
          </w:p>
        </w:tc>
        <w:tc>
          <w:tcPr>
            <w:tcW w:w="866" w:type="dxa"/>
            <w:shd w:val="clear" w:color="auto" w:fill="auto"/>
          </w:tcPr>
          <w:p w14:paraId="1656FA7A"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82</w:t>
            </w:r>
          </w:p>
        </w:tc>
        <w:tc>
          <w:tcPr>
            <w:tcW w:w="1552" w:type="dxa"/>
            <w:vMerge/>
            <w:shd w:val="clear" w:color="auto" w:fill="auto"/>
          </w:tcPr>
          <w:p w14:paraId="21D3E194"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r>
      <w:tr w:rsidR="003E284C" w:rsidRPr="003E284C" w14:paraId="3AF20100" w14:textId="77777777" w:rsidTr="003E284C">
        <w:trPr>
          <w:trHeight w:val="187"/>
          <w:jc w:val="center"/>
        </w:trPr>
        <w:tc>
          <w:tcPr>
            <w:cnfStyle w:val="001000000000" w:firstRow="0" w:lastRow="0" w:firstColumn="1" w:lastColumn="0" w:oddVBand="0" w:evenVBand="0" w:oddHBand="0" w:evenHBand="0" w:firstRowFirstColumn="0" w:firstRowLastColumn="0" w:lastRowFirstColumn="0" w:lastRowLastColumn="0"/>
            <w:tcW w:w="1274" w:type="dxa"/>
            <w:vMerge/>
            <w:tcBorders>
              <w:left w:val="none" w:sz="0" w:space="0" w:color="auto"/>
              <w:bottom w:val="none" w:sz="0" w:space="0" w:color="auto"/>
            </w:tcBorders>
            <w:shd w:val="clear" w:color="auto" w:fill="auto"/>
          </w:tcPr>
          <w:p w14:paraId="03E1F12F"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853" w:type="dxa"/>
            <w:vMerge/>
            <w:shd w:val="clear" w:color="auto" w:fill="auto"/>
          </w:tcPr>
          <w:p w14:paraId="0DEE561E"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802" w:type="dxa"/>
            <w:shd w:val="clear" w:color="auto" w:fill="auto"/>
          </w:tcPr>
          <w:p w14:paraId="0B6A7FAA" w14:textId="32448DBB" w:rsidR="00667620" w:rsidRPr="003E284C" w:rsidRDefault="009B2CDE"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Sin diabetes</w:t>
            </w:r>
          </w:p>
        </w:tc>
        <w:tc>
          <w:tcPr>
            <w:tcW w:w="1024" w:type="dxa"/>
            <w:shd w:val="clear" w:color="auto" w:fill="auto"/>
          </w:tcPr>
          <w:p w14:paraId="0FB04A2B"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78.76</w:t>
            </w:r>
          </w:p>
        </w:tc>
        <w:tc>
          <w:tcPr>
            <w:tcW w:w="1126" w:type="dxa"/>
            <w:shd w:val="clear" w:color="auto" w:fill="auto"/>
          </w:tcPr>
          <w:p w14:paraId="791A09F1"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12.06</w:t>
            </w:r>
          </w:p>
        </w:tc>
        <w:tc>
          <w:tcPr>
            <w:tcW w:w="984" w:type="dxa"/>
            <w:shd w:val="clear" w:color="auto" w:fill="auto"/>
          </w:tcPr>
          <w:p w14:paraId="76FC56D6"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61</w:t>
            </w:r>
          </w:p>
        </w:tc>
        <w:tc>
          <w:tcPr>
            <w:tcW w:w="866" w:type="dxa"/>
            <w:shd w:val="clear" w:color="auto" w:fill="auto"/>
          </w:tcPr>
          <w:p w14:paraId="499C4C59"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113</w:t>
            </w:r>
          </w:p>
        </w:tc>
        <w:tc>
          <w:tcPr>
            <w:tcW w:w="1552" w:type="dxa"/>
            <w:vMerge/>
            <w:shd w:val="clear" w:color="auto" w:fill="auto"/>
          </w:tcPr>
          <w:p w14:paraId="0C29CEDF" w14:textId="77777777" w:rsidR="00667620" w:rsidRPr="003E284C" w:rsidRDefault="00667620" w:rsidP="00C0012D">
            <w:pPr>
              <w:keepNext/>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bl>
    <w:p w14:paraId="742DDBF0" w14:textId="35513DE8" w:rsidR="00456A9D" w:rsidRPr="003E284C" w:rsidRDefault="00846908" w:rsidP="00456A9D">
      <w:pPr>
        <w:pStyle w:val="Normal1"/>
        <w:ind w:firstLine="0"/>
        <w:jc w:val="center"/>
        <w:rPr>
          <w:color w:val="auto"/>
          <w:lang w:val="es-ES"/>
        </w:rPr>
      </w:pPr>
      <w:bookmarkStart w:id="8" w:name="_Hlk138105014"/>
      <w:bookmarkEnd w:id="7"/>
      <w:r w:rsidRPr="003E284C">
        <w:rPr>
          <w:color w:val="auto"/>
          <w:lang w:val="es-ES"/>
        </w:rPr>
        <w:t>Fuente: Elaboración propia</w:t>
      </w:r>
    </w:p>
    <w:p w14:paraId="711D3B7B" w14:textId="315A66FE" w:rsidR="00667620" w:rsidRPr="003E284C" w:rsidRDefault="00667620" w:rsidP="00846908">
      <w:pPr>
        <w:pStyle w:val="Normal1"/>
        <w:ind w:firstLine="0"/>
        <w:rPr>
          <w:color w:val="auto"/>
          <w:lang w:val="es-ES"/>
        </w:rPr>
      </w:pPr>
      <w:r w:rsidRPr="003E284C">
        <w:rPr>
          <w:color w:val="auto"/>
          <w:lang w:val="es-ES"/>
        </w:rPr>
        <w:t xml:space="preserve">*Análisis de ANOVA para un factor, con probabilidad de Fisher. </w:t>
      </w:r>
    </w:p>
    <w:p w14:paraId="097FDFC3" w14:textId="63200A69" w:rsidR="00667620" w:rsidRPr="003E284C" w:rsidRDefault="00667620" w:rsidP="00846908">
      <w:pPr>
        <w:pStyle w:val="Normal1"/>
        <w:ind w:firstLine="0"/>
        <w:rPr>
          <w:color w:val="auto"/>
          <w:lang w:val="es-ES"/>
        </w:rPr>
      </w:pPr>
      <w:r w:rsidRPr="003E284C">
        <w:rPr>
          <w:color w:val="auto"/>
          <w:lang w:val="es-ES"/>
        </w:rPr>
        <w:t>Abreviaciones: Índice de masa corporal (IMC), Presión arterial sistólica (PAS), Presión arterial diastólica (PAD</w:t>
      </w:r>
      <w:r w:rsidR="00CE7C83" w:rsidRPr="003E284C">
        <w:rPr>
          <w:color w:val="auto"/>
          <w:lang w:val="es-ES"/>
        </w:rPr>
        <w:t>)</w:t>
      </w:r>
      <w:r w:rsidRPr="003E284C">
        <w:rPr>
          <w:color w:val="auto"/>
          <w:lang w:val="es-ES"/>
        </w:rPr>
        <w:t>, Femenino (F), Masculino (M), Desviación estándar (DS)</w:t>
      </w:r>
      <w:r w:rsidR="008364B8" w:rsidRPr="003E284C">
        <w:rPr>
          <w:color w:val="auto"/>
          <w:lang w:val="es-ES"/>
        </w:rPr>
        <w:t xml:space="preserve">, Dato </w:t>
      </w:r>
      <w:r w:rsidR="00B00FE8" w:rsidRPr="003E284C">
        <w:rPr>
          <w:color w:val="auto"/>
          <w:lang w:val="es-ES"/>
        </w:rPr>
        <w:t>no valorable, n</w:t>
      </w:r>
      <w:r w:rsidR="00456A9D" w:rsidRPr="003E284C">
        <w:rPr>
          <w:color w:val="auto"/>
          <w:lang w:val="es-ES"/>
        </w:rPr>
        <w:t xml:space="preserve"> </w:t>
      </w:r>
      <w:r w:rsidR="00B00FE8" w:rsidRPr="003E284C">
        <w:rPr>
          <w:color w:val="auto"/>
          <w:lang w:val="es-ES"/>
        </w:rPr>
        <w:t>=</w:t>
      </w:r>
      <w:r w:rsidR="00456A9D" w:rsidRPr="003E284C">
        <w:rPr>
          <w:color w:val="auto"/>
          <w:lang w:val="es-ES"/>
        </w:rPr>
        <w:t xml:space="preserve"> </w:t>
      </w:r>
      <w:r w:rsidR="00B00FE8" w:rsidRPr="003E284C">
        <w:rPr>
          <w:color w:val="auto"/>
          <w:lang w:val="es-ES"/>
        </w:rPr>
        <w:t>1</w:t>
      </w:r>
      <w:r w:rsidR="008364B8" w:rsidRPr="003E284C">
        <w:rPr>
          <w:color w:val="auto"/>
          <w:lang w:val="es-ES"/>
        </w:rPr>
        <w:t xml:space="preserve"> (-).</w:t>
      </w:r>
    </w:p>
    <w:bookmarkEnd w:id="8"/>
    <w:p w14:paraId="09B7FBE8" w14:textId="77777777" w:rsidR="00667620" w:rsidRDefault="00667620" w:rsidP="00667620">
      <w:pPr>
        <w:tabs>
          <w:tab w:val="left" w:pos="709"/>
        </w:tabs>
        <w:spacing w:line="276" w:lineRule="auto"/>
        <w:rPr>
          <w:rFonts w:ascii="Times New Roman" w:hAnsi="Times New Roman" w:cs="Times New Roman"/>
          <w:sz w:val="24"/>
          <w:szCs w:val="24"/>
          <w:lang w:val="es-ES"/>
        </w:rPr>
      </w:pPr>
    </w:p>
    <w:p w14:paraId="3484D6C8" w14:textId="77777777" w:rsidR="003E284C" w:rsidRDefault="003E284C" w:rsidP="00667620">
      <w:pPr>
        <w:tabs>
          <w:tab w:val="left" w:pos="709"/>
        </w:tabs>
        <w:spacing w:line="276" w:lineRule="auto"/>
        <w:rPr>
          <w:rFonts w:ascii="Times New Roman" w:hAnsi="Times New Roman" w:cs="Times New Roman"/>
          <w:sz w:val="24"/>
          <w:szCs w:val="24"/>
          <w:lang w:val="es-ES"/>
        </w:rPr>
      </w:pPr>
    </w:p>
    <w:p w14:paraId="0C0618DB" w14:textId="77777777" w:rsidR="003E284C" w:rsidRDefault="003E284C" w:rsidP="00667620">
      <w:pPr>
        <w:tabs>
          <w:tab w:val="left" w:pos="709"/>
        </w:tabs>
        <w:spacing w:line="276" w:lineRule="auto"/>
        <w:rPr>
          <w:rFonts w:ascii="Times New Roman" w:hAnsi="Times New Roman" w:cs="Times New Roman"/>
          <w:sz w:val="24"/>
          <w:szCs w:val="24"/>
          <w:lang w:val="es-ES"/>
        </w:rPr>
      </w:pPr>
    </w:p>
    <w:p w14:paraId="16F59B80" w14:textId="77777777" w:rsidR="003E284C" w:rsidRDefault="003E284C" w:rsidP="00667620">
      <w:pPr>
        <w:tabs>
          <w:tab w:val="left" w:pos="709"/>
        </w:tabs>
        <w:spacing w:line="276" w:lineRule="auto"/>
        <w:rPr>
          <w:rFonts w:ascii="Times New Roman" w:hAnsi="Times New Roman" w:cs="Times New Roman"/>
          <w:sz w:val="24"/>
          <w:szCs w:val="24"/>
          <w:lang w:val="es-ES"/>
        </w:rPr>
      </w:pPr>
    </w:p>
    <w:p w14:paraId="3463AB1A" w14:textId="77777777" w:rsidR="003E284C" w:rsidRDefault="003E284C" w:rsidP="00667620">
      <w:pPr>
        <w:tabs>
          <w:tab w:val="left" w:pos="709"/>
        </w:tabs>
        <w:spacing w:line="276" w:lineRule="auto"/>
        <w:rPr>
          <w:rFonts w:ascii="Times New Roman" w:hAnsi="Times New Roman" w:cs="Times New Roman"/>
          <w:sz w:val="24"/>
          <w:szCs w:val="24"/>
          <w:lang w:val="es-ES"/>
        </w:rPr>
      </w:pPr>
    </w:p>
    <w:p w14:paraId="34E877A8" w14:textId="77777777" w:rsidR="003E284C" w:rsidRDefault="003E284C" w:rsidP="00667620">
      <w:pPr>
        <w:tabs>
          <w:tab w:val="left" w:pos="709"/>
        </w:tabs>
        <w:spacing w:line="276" w:lineRule="auto"/>
        <w:rPr>
          <w:rFonts w:ascii="Times New Roman" w:hAnsi="Times New Roman" w:cs="Times New Roman"/>
          <w:sz w:val="24"/>
          <w:szCs w:val="24"/>
          <w:lang w:val="es-ES"/>
        </w:rPr>
      </w:pPr>
    </w:p>
    <w:p w14:paraId="0CE4807C" w14:textId="77777777" w:rsidR="003E284C" w:rsidRDefault="003E284C" w:rsidP="00667620">
      <w:pPr>
        <w:tabs>
          <w:tab w:val="left" w:pos="709"/>
        </w:tabs>
        <w:spacing w:line="276" w:lineRule="auto"/>
        <w:rPr>
          <w:rFonts w:ascii="Times New Roman" w:hAnsi="Times New Roman" w:cs="Times New Roman"/>
          <w:sz w:val="24"/>
          <w:szCs w:val="24"/>
          <w:lang w:val="es-ES"/>
        </w:rPr>
      </w:pPr>
    </w:p>
    <w:p w14:paraId="6D52C020" w14:textId="77777777" w:rsidR="003E284C" w:rsidRDefault="003E284C" w:rsidP="00667620">
      <w:pPr>
        <w:tabs>
          <w:tab w:val="left" w:pos="709"/>
        </w:tabs>
        <w:spacing w:line="276" w:lineRule="auto"/>
        <w:rPr>
          <w:rFonts w:ascii="Times New Roman" w:hAnsi="Times New Roman" w:cs="Times New Roman"/>
          <w:sz w:val="24"/>
          <w:szCs w:val="24"/>
          <w:lang w:val="es-ES"/>
        </w:rPr>
      </w:pPr>
    </w:p>
    <w:p w14:paraId="3DBB4C99" w14:textId="77777777" w:rsidR="003E284C" w:rsidRPr="003E284C" w:rsidRDefault="003E284C" w:rsidP="00667620">
      <w:pPr>
        <w:tabs>
          <w:tab w:val="left" w:pos="709"/>
        </w:tabs>
        <w:spacing w:line="276" w:lineRule="auto"/>
        <w:rPr>
          <w:rFonts w:ascii="Times New Roman" w:hAnsi="Times New Roman" w:cs="Times New Roman"/>
          <w:sz w:val="24"/>
          <w:szCs w:val="24"/>
          <w:lang w:val="es-ES"/>
        </w:rPr>
      </w:pPr>
    </w:p>
    <w:p w14:paraId="24B77974" w14:textId="532BB9ED" w:rsidR="009119C1" w:rsidRPr="003E284C" w:rsidRDefault="00846908" w:rsidP="00846908">
      <w:pPr>
        <w:tabs>
          <w:tab w:val="left" w:pos="709"/>
        </w:tabs>
        <w:spacing w:line="276" w:lineRule="auto"/>
        <w:jc w:val="both"/>
        <w:rPr>
          <w:rFonts w:ascii="Times New Roman" w:hAnsi="Times New Roman" w:cs="Times New Roman"/>
          <w:lang w:val="es-ES"/>
        </w:rPr>
      </w:pPr>
      <w:r w:rsidRPr="003E284C">
        <w:rPr>
          <w:rFonts w:ascii="Times New Roman" w:hAnsi="Times New Roman" w:cs="Times New Roman"/>
          <w:b/>
          <w:bCs/>
          <w:sz w:val="24"/>
          <w:szCs w:val="24"/>
          <w:lang w:val="es-ES"/>
        </w:rPr>
        <w:lastRenderedPageBreak/>
        <w:t xml:space="preserve">Tabla 3. </w:t>
      </w:r>
      <w:r w:rsidRPr="003E284C">
        <w:rPr>
          <w:rFonts w:ascii="Times New Roman" w:hAnsi="Times New Roman" w:cs="Times New Roman"/>
          <w:sz w:val="24"/>
          <w:szCs w:val="24"/>
          <w:lang w:val="es-ES"/>
        </w:rPr>
        <w:t>Variables bioquímicas entre pacientes con diabetes, prediabetes y no diabéticos</w:t>
      </w:r>
    </w:p>
    <w:tbl>
      <w:tblPr>
        <w:tblStyle w:val="Tablaconcuadrcula5oscura-nfasis4"/>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974"/>
        <w:gridCol w:w="1686"/>
        <w:gridCol w:w="1026"/>
        <w:gridCol w:w="1128"/>
        <w:gridCol w:w="986"/>
        <w:gridCol w:w="1004"/>
        <w:gridCol w:w="1417"/>
      </w:tblGrid>
      <w:tr w:rsidR="003E284C" w:rsidRPr="003E284C" w14:paraId="10B209D5" w14:textId="77777777" w:rsidTr="003E284C">
        <w:trPr>
          <w:cnfStyle w:val="100000000000" w:firstRow="1" w:lastRow="0" w:firstColumn="0" w:lastColumn="0" w:oddVBand="0" w:evenVBand="0" w:oddHBand="0"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277" w:type="dxa"/>
            <w:tcBorders>
              <w:top w:val="none" w:sz="0" w:space="0" w:color="auto"/>
              <w:left w:val="none" w:sz="0" w:space="0" w:color="auto"/>
              <w:right w:val="none" w:sz="0" w:space="0" w:color="auto"/>
            </w:tcBorders>
            <w:shd w:val="clear" w:color="auto" w:fill="auto"/>
          </w:tcPr>
          <w:p w14:paraId="75186C03" w14:textId="77777777" w:rsidR="00667620" w:rsidRPr="003E284C" w:rsidRDefault="00667620" w:rsidP="00C0012D">
            <w:pPr>
              <w:rPr>
                <w:rFonts w:ascii="Times New Roman" w:hAnsi="Times New Roman" w:cs="Times New Roman"/>
                <w:b w:val="0"/>
                <w:bCs w:val="0"/>
                <w:color w:val="auto"/>
                <w:sz w:val="24"/>
                <w:szCs w:val="24"/>
                <w:lang w:val="es-ES"/>
              </w:rPr>
            </w:pPr>
            <w:bookmarkStart w:id="9" w:name="_Hlk138105051"/>
            <w:r w:rsidRPr="003E284C">
              <w:rPr>
                <w:rFonts w:ascii="Times New Roman" w:hAnsi="Times New Roman" w:cs="Times New Roman"/>
                <w:b w:val="0"/>
                <w:bCs w:val="0"/>
                <w:color w:val="auto"/>
                <w:sz w:val="24"/>
                <w:szCs w:val="24"/>
                <w:lang w:val="es-ES"/>
              </w:rPr>
              <w:t>Variable</w:t>
            </w:r>
          </w:p>
        </w:tc>
        <w:tc>
          <w:tcPr>
            <w:tcW w:w="974" w:type="dxa"/>
            <w:tcBorders>
              <w:top w:val="none" w:sz="0" w:space="0" w:color="auto"/>
              <w:left w:val="none" w:sz="0" w:space="0" w:color="auto"/>
              <w:right w:val="none" w:sz="0" w:space="0" w:color="auto"/>
            </w:tcBorders>
            <w:shd w:val="clear" w:color="auto" w:fill="auto"/>
          </w:tcPr>
          <w:p w14:paraId="44F4A04E" w14:textId="77777777" w:rsidR="00667620" w:rsidRPr="003E284C" w:rsidRDefault="00667620" w:rsidP="00C0012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Sexo</w:t>
            </w:r>
          </w:p>
        </w:tc>
        <w:tc>
          <w:tcPr>
            <w:tcW w:w="1686" w:type="dxa"/>
            <w:tcBorders>
              <w:top w:val="none" w:sz="0" w:space="0" w:color="auto"/>
              <w:left w:val="none" w:sz="0" w:space="0" w:color="auto"/>
              <w:right w:val="none" w:sz="0" w:space="0" w:color="auto"/>
            </w:tcBorders>
            <w:shd w:val="clear" w:color="auto" w:fill="auto"/>
          </w:tcPr>
          <w:p w14:paraId="77B6BBDB" w14:textId="77777777" w:rsidR="00667620" w:rsidRPr="003E284C" w:rsidRDefault="00667620" w:rsidP="00C0012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Estatus</w:t>
            </w:r>
          </w:p>
        </w:tc>
        <w:tc>
          <w:tcPr>
            <w:tcW w:w="1026" w:type="dxa"/>
            <w:tcBorders>
              <w:top w:val="none" w:sz="0" w:space="0" w:color="auto"/>
              <w:left w:val="none" w:sz="0" w:space="0" w:color="auto"/>
              <w:right w:val="none" w:sz="0" w:space="0" w:color="auto"/>
            </w:tcBorders>
            <w:shd w:val="clear" w:color="auto" w:fill="auto"/>
          </w:tcPr>
          <w:p w14:paraId="3851B380" w14:textId="77777777" w:rsidR="00667620" w:rsidRPr="003E284C" w:rsidRDefault="00667620" w:rsidP="00C0012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Media</w:t>
            </w:r>
          </w:p>
        </w:tc>
        <w:tc>
          <w:tcPr>
            <w:tcW w:w="1128" w:type="dxa"/>
            <w:tcBorders>
              <w:top w:val="none" w:sz="0" w:space="0" w:color="auto"/>
              <w:left w:val="none" w:sz="0" w:space="0" w:color="auto"/>
              <w:right w:val="none" w:sz="0" w:space="0" w:color="auto"/>
            </w:tcBorders>
            <w:shd w:val="clear" w:color="auto" w:fill="auto"/>
          </w:tcPr>
          <w:p w14:paraId="3160018E" w14:textId="77777777" w:rsidR="00667620" w:rsidRPr="003E284C" w:rsidRDefault="00667620" w:rsidP="00C0012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D.S</w:t>
            </w:r>
          </w:p>
        </w:tc>
        <w:tc>
          <w:tcPr>
            <w:tcW w:w="986" w:type="dxa"/>
            <w:tcBorders>
              <w:top w:val="none" w:sz="0" w:space="0" w:color="auto"/>
              <w:left w:val="none" w:sz="0" w:space="0" w:color="auto"/>
              <w:right w:val="none" w:sz="0" w:space="0" w:color="auto"/>
            </w:tcBorders>
            <w:shd w:val="clear" w:color="auto" w:fill="auto"/>
          </w:tcPr>
          <w:p w14:paraId="4B286613" w14:textId="77777777" w:rsidR="00667620" w:rsidRPr="003E284C" w:rsidRDefault="00667620" w:rsidP="00C0012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Min.</w:t>
            </w:r>
          </w:p>
        </w:tc>
        <w:tc>
          <w:tcPr>
            <w:tcW w:w="1004" w:type="dxa"/>
            <w:tcBorders>
              <w:top w:val="none" w:sz="0" w:space="0" w:color="auto"/>
              <w:left w:val="none" w:sz="0" w:space="0" w:color="auto"/>
              <w:right w:val="none" w:sz="0" w:space="0" w:color="auto"/>
            </w:tcBorders>
            <w:shd w:val="clear" w:color="auto" w:fill="auto"/>
          </w:tcPr>
          <w:p w14:paraId="67E0B74C" w14:textId="77777777" w:rsidR="00667620" w:rsidRPr="003E284C" w:rsidRDefault="00667620" w:rsidP="00C0012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Max.</w:t>
            </w:r>
          </w:p>
        </w:tc>
        <w:tc>
          <w:tcPr>
            <w:tcW w:w="1417" w:type="dxa"/>
            <w:tcBorders>
              <w:top w:val="none" w:sz="0" w:space="0" w:color="auto"/>
              <w:left w:val="none" w:sz="0" w:space="0" w:color="auto"/>
              <w:right w:val="none" w:sz="0" w:space="0" w:color="auto"/>
            </w:tcBorders>
            <w:shd w:val="clear" w:color="auto" w:fill="auto"/>
          </w:tcPr>
          <w:p w14:paraId="32E4DAFE" w14:textId="77777777" w:rsidR="00667620" w:rsidRPr="003E284C" w:rsidRDefault="00667620" w:rsidP="00C0012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 xml:space="preserve">Valor de </w:t>
            </w:r>
            <w:r w:rsidRPr="003E284C">
              <w:rPr>
                <w:rFonts w:ascii="Times New Roman" w:hAnsi="Times New Roman" w:cs="Times New Roman"/>
                <w:b w:val="0"/>
                <w:bCs w:val="0"/>
                <w:i/>
                <w:iCs/>
                <w:color w:val="auto"/>
                <w:sz w:val="24"/>
                <w:szCs w:val="24"/>
                <w:lang w:val="es-ES"/>
              </w:rPr>
              <w:t>p</w:t>
            </w:r>
            <w:r w:rsidRPr="003E284C">
              <w:rPr>
                <w:rFonts w:ascii="Times New Roman" w:hAnsi="Times New Roman" w:cs="Times New Roman"/>
                <w:b w:val="0"/>
                <w:bCs w:val="0"/>
                <w:color w:val="auto"/>
                <w:sz w:val="24"/>
                <w:szCs w:val="24"/>
                <w:lang w:val="es-ES"/>
              </w:rPr>
              <w:t>*</w:t>
            </w:r>
          </w:p>
        </w:tc>
      </w:tr>
      <w:tr w:rsidR="003E284C" w:rsidRPr="003E284C" w14:paraId="284762D6" w14:textId="77777777" w:rsidTr="003E284C">
        <w:trPr>
          <w:cnfStyle w:val="000000100000" w:firstRow="0" w:lastRow="0" w:firstColumn="0" w:lastColumn="0" w:oddVBand="0" w:evenVBand="0" w:oddHBand="1" w:evenHBand="0" w:firstRowFirstColumn="0" w:firstRowLastColumn="0" w:lastRowFirstColumn="0" w:lastRowLastColumn="0"/>
          <w:trHeight w:val="191"/>
          <w:jc w:val="center"/>
        </w:trPr>
        <w:tc>
          <w:tcPr>
            <w:cnfStyle w:val="001000000000" w:firstRow="0" w:lastRow="0" w:firstColumn="1" w:lastColumn="0" w:oddVBand="0" w:evenVBand="0" w:oddHBand="0" w:evenHBand="0" w:firstRowFirstColumn="0" w:firstRowLastColumn="0" w:lastRowFirstColumn="0" w:lastRowLastColumn="0"/>
            <w:tcW w:w="1277" w:type="dxa"/>
            <w:vMerge w:val="restart"/>
            <w:tcBorders>
              <w:left w:val="none" w:sz="0" w:space="0" w:color="auto"/>
            </w:tcBorders>
            <w:shd w:val="clear" w:color="auto" w:fill="auto"/>
          </w:tcPr>
          <w:p w14:paraId="192FF5C4" w14:textId="183D6A86" w:rsidR="00667620" w:rsidRPr="003E284C" w:rsidRDefault="00667620" w:rsidP="00C0012D">
            <w:pPr>
              <w:rPr>
                <w:rFonts w:ascii="Times New Roman" w:hAnsi="Times New Roman" w:cs="Times New Roman"/>
                <w:b w:val="0"/>
                <w:bCs w:val="0"/>
                <w:color w:val="auto"/>
                <w:sz w:val="24"/>
                <w:szCs w:val="24"/>
                <w:lang w:val="es-ES"/>
              </w:rPr>
            </w:pPr>
            <w:proofErr w:type="spellStart"/>
            <w:r w:rsidRPr="003E284C">
              <w:rPr>
                <w:rFonts w:ascii="Times New Roman" w:hAnsi="Times New Roman" w:cs="Times New Roman"/>
                <w:b w:val="0"/>
                <w:bCs w:val="0"/>
                <w:color w:val="auto"/>
                <w:sz w:val="24"/>
                <w:szCs w:val="24"/>
                <w:lang w:val="es-ES"/>
              </w:rPr>
              <w:t>C</w:t>
            </w:r>
            <w:r w:rsidR="005F5645" w:rsidRPr="003E284C">
              <w:rPr>
                <w:rFonts w:ascii="Times New Roman" w:hAnsi="Times New Roman" w:cs="Times New Roman"/>
                <w:b w:val="0"/>
                <w:bCs w:val="0"/>
                <w:color w:val="auto"/>
                <w:sz w:val="24"/>
                <w:szCs w:val="24"/>
                <w:lang w:val="es-ES"/>
              </w:rPr>
              <w:t>rS</w:t>
            </w:r>
            <w:proofErr w:type="spellEnd"/>
          </w:p>
        </w:tc>
        <w:tc>
          <w:tcPr>
            <w:tcW w:w="974" w:type="dxa"/>
            <w:vMerge w:val="restart"/>
            <w:shd w:val="clear" w:color="auto" w:fill="auto"/>
          </w:tcPr>
          <w:p w14:paraId="5FF41B52"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F</w:t>
            </w:r>
          </w:p>
        </w:tc>
        <w:tc>
          <w:tcPr>
            <w:tcW w:w="1686" w:type="dxa"/>
            <w:shd w:val="clear" w:color="auto" w:fill="auto"/>
          </w:tcPr>
          <w:p w14:paraId="32C8FEB1" w14:textId="4CF01819" w:rsidR="00667620" w:rsidRPr="003E284C" w:rsidRDefault="006424BE"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diabetes</w:t>
            </w:r>
          </w:p>
        </w:tc>
        <w:tc>
          <w:tcPr>
            <w:tcW w:w="1026" w:type="dxa"/>
            <w:shd w:val="clear" w:color="auto" w:fill="auto"/>
          </w:tcPr>
          <w:p w14:paraId="63DFA756"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0.64</w:t>
            </w:r>
          </w:p>
        </w:tc>
        <w:tc>
          <w:tcPr>
            <w:tcW w:w="1128" w:type="dxa"/>
            <w:shd w:val="clear" w:color="auto" w:fill="auto"/>
          </w:tcPr>
          <w:p w14:paraId="162382AF"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0.38</w:t>
            </w:r>
          </w:p>
        </w:tc>
        <w:tc>
          <w:tcPr>
            <w:tcW w:w="986" w:type="dxa"/>
            <w:shd w:val="clear" w:color="auto" w:fill="auto"/>
          </w:tcPr>
          <w:p w14:paraId="6B593163"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0.27</w:t>
            </w:r>
          </w:p>
        </w:tc>
        <w:tc>
          <w:tcPr>
            <w:tcW w:w="1004" w:type="dxa"/>
            <w:shd w:val="clear" w:color="auto" w:fill="auto"/>
          </w:tcPr>
          <w:p w14:paraId="57C89D8C"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4.72</w:t>
            </w:r>
          </w:p>
        </w:tc>
        <w:tc>
          <w:tcPr>
            <w:tcW w:w="1417" w:type="dxa"/>
            <w:vMerge w:val="restart"/>
            <w:shd w:val="clear" w:color="auto" w:fill="auto"/>
          </w:tcPr>
          <w:p w14:paraId="4650E3FE" w14:textId="17AE95C0"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0.44</w:t>
            </w:r>
            <w:r w:rsidR="00C80BB3" w:rsidRPr="003E284C">
              <w:rPr>
                <w:rFonts w:ascii="Times New Roman" w:hAnsi="Times New Roman" w:cs="Times New Roman"/>
                <w:sz w:val="24"/>
                <w:szCs w:val="24"/>
                <w:lang w:val="es-ES"/>
              </w:rPr>
              <w:t>32</w:t>
            </w:r>
          </w:p>
        </w:tc>
      </w:tr>
      <w:tr w:rsidR="003E284C" w:rsidRPr="003E284C" w14:paraId="6A6056C5" w14:textId="77777777" w:rsidTr="003E284C">
        <w:trPr>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55A7843B"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974" w:type="dxa"/>
            <w:vMerge/>
            <w:shd w:val="clear" w:color="auto" w:fill="auto"/>
          </w:tcPr>
          <w:p w14:paraId="1688B922"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686" w:type="dxa"/>
            <w:shd w:val="clear" w:color="auto" w:fill="auto"/>
          </w:tcPr>
          <w:p w14:paraId="1632FDD5" w14:textId="7FB3536A" w:rsidR="00667620" w:rsidRPr="003E284C" w:rsidRDefault="00EF3FC3"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p</w:t>
            </w:r>
            <w:r w:rsidR="00667620" w:rsidRPr="003E284C">
              <w:rPr>
                <w:rFonts w:ascii="Times New Roman" w:hAnsi="Times New Roman" w:cs="Times New Roman"/>
                <w:sz w:val="24"/>
                <w:szCs w:val="24"/>
                <w:lang w:val="es-ES"/>
              </w:rPr>
              <w:t>rediab</w:t>
            </w:r>
            <w:r w:rsidRPr="003E284C">
              <w:rPr>
                <w:rFonts w:ascii="Times New Roman" w:hAnsi="Times New Roman" w:cs="Times New Roman"/>
                <w:sz w:val="24"/>
                <w:szCs w:val="24"/>
                <w:lang w:val="es-ES"/>
              </w:rPr>
              <w:t>etes</w:t>
            </w:r>
          </w:p>
        </w:tc>
        <w:tc>
          <w:tcPr>
            <w:tcW w:w="1026" w:type="dxa"/>
            <w:shd w:val="clear" w:color="auto" w:fill="auto"/>
          </w:tcPr>
          <w:p w14:paraId="3D409BDC"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0.73</w:t>
            </w:r>
          </w:p>
        </w:tc>
        <w:tc>
          <w:tcPr>
            <w:tcW w:w="1128" w:type="dxa"/>
            <w:shd w:val="clear" w:color="auto" w:fill="auto"/>
          </w:tcPr>
          <w:p w14:paraId="72A82BB3"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0.16</w:t>
            </w:r>
          </w:p>
        </w:tc>
        <w:tc>
          <w:tcPr>
            <w:tcW w:w="986" w:type="dxa"/>
            <w:shd w:val="clear" w:color="auto" w:fill="auto"/>
          </w:tcPr>
          <w:p w14:paraId="38A157A2"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0.54</w:t>
            </w:r>
          </w:p>
        </w:tc>
        <w:tc>
          <w:tcPr>
            <w:tcW w:w="1004" w:type="dxa"/>
            <w:shd w:val="clear" w:color="auto" w:fill="auto"/>
          </w:tcPr>
          <w:p w14:paraId="20ABA105"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1.16</w:t>
            </w:r>
          </w:p>
        </w:tc>
        <w:tc>
          <w:tcPr>
            <w:tcW w:w="1417" w:type="dxa"/>
            <w:vMerge/>
            <w:shd w:val="clear" w:color="auto" w:fill="auto"/>
          </w:tcPr>
          <w:p w14:paraId="734CF503"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44156664" w14:textId="77777777" w:rsidTr="003E284C">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0CEDA5F3"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974" w:type="dxa"/>
            <w:vMerge/>
            <w:shd w:val="clear" w:color="auto" w:fill="auto"/>
          </w:tcPr>
          <w:p w14:paraId="140421B7"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c>
          <w:tcPr>
            <w:tcW w:w="1686" w:type="dxa"/>
            <w:shd w:val="clear" w:color="auto" w:fill="auto"/>
          </w:tcPr>
          <w:p w14:paraId="7D8E1310" w14:textId="34713575" w:rsidR="00667620" w:rsidRPr="003E284C" w:rsidRDefault="009B2CDE"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Sin diabetes</w:t>
            </w:r>
          </w:p>
        </w:tc>
        <w:tc>
          <w:tcPr>
            <w:tcW w:w="1026" w:type="dxa"/>
            <w:shd w:val="clear" w:color="auto" w:fill="auto"/>
          </w:tcPr>
          <w:p w14:paraId="4E7E45BF"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0.68</w:t>
            </w:r>
          </w:p>
        </w:tc>
        <w:tc>
          <w:tcPr>
            <w:tcW w:w="1128" w:type="dxa"/>
            <w:shd w:val="clear" w:color="auto" w:fill="auto"/>
          </w:tcPr>
          <w:p w14:paraId="5D4690D1"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0.11</w:t>
            </w:r>
          </w:p>
        </w:tc>
        <w:tc>
          <w:tcPr>
            <w:tcW w:w="986" w:type="dxa"/>
            <w:shd w:val="clear" w:color="auto" w:fill="auto"/>
          </w:tcPr>
          <w:p w14:paraId="772E995C"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0.43</w:t>
            </w:r>
          </w:p>
        </w:tc>
        <w:tc>
          <w:tcPr>
            <w:tcW w:w="1004" w:type="dxa"/>
            <w:shd w:val="clear" w:color="auto" w:fill="auto"/>
          </w:tcPr>
          <w:p w14:paraId="51BE4CCA"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1.02</w:t>
            </w:r>
          </w:p>
        </w:tc>
        <w:tc>
          <w:tcPr>
            <w:tcW w:w="1417" w:type="dxa"/>
            <w:vMerge/>
            <w:shd w:val="clear" w:color="auto" w:fill="auto"/>
          </w:tcPr>
          <w:p w14:paraId="0C94D0A8"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r>
      <w:tr w:rsidR="003E284C" w:rsidRPr="003E284C" w14:paraId="177973B4" w14:textId="77777777" w:rsidTr="003E284C">
        <w:trPr>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0405EE5D"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974" w:type="dxa"/>
            <w:vMerge w:val="restart"/>
            <w:shd w:val="clear" w:color="auto" w:fill="auto"/>
          </w:tcPr>
          <w:p w14:paraId="729605B4"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M</w:t>
            </w:r>
          </w:p>
        </w:tc>
        <w:tc>
          <w:tcPr>
            <w:tcW w:w="1686" w:type="dxa"/>
            <w:shd w:val="clear" w:color="auto" w:fill="auto"/>
          </w:tcPr>
          <w:p w14:paraId="0065B2C5" w14:textId="01422E7E" w:rsidR="00667620" w:rsidRPr="003E284C" w:rsidRDefault="00EF3FC3"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diabetes</w:t>
            </w:r>
          </w:p>
        </w:tc>
        <w:tc>
          <w:tcPr>
            <w:tcW w:w="1026" w:type="dxa"/>
            <w:shd w:val="clear" w:color="auto" w:fill="auto"/>
          </w:tcPr>
          <w:p w14:paraId="5887E417"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0.92</w:t>
            </w:r>
          </w:p>
        </w:tc>
        <w:tc>
          <w:tcPr>
            <w:tcW w:w="1128" w:type="dxa"/>
            <w:shd w:val="clear" w:color="auto" w:fill="auto"/>
          </w:tcPr>
          <w:p w14:paraId="70462CDB"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0.57</w:t>
            </w:r>
          </w:p>
        </w:tc>
        <w:tc>
          <w:tcPr>
            <w:tcW w:w="986" w:type="dxa"/>
            <w:shd w:val="clear" w:color="auto" w:fill="auto"/>
          </w:tcPr>
          <w:p w14:paraId="4F33C85E"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0.39</w:t>
            </w:r>
          </w:p>
        </w:tc>
        <w:tc>
          <w:tcPr>
            <w:tcW w:w="1004" w:type="dxa"/>
            <w:shd w:val="clear" w:color="auto" w:fill="auto"/>
          </w:tcPr>
          <w:p w14:paraId="109A8CE7"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4.4</w:t>
            </w:r>
          </w:p>
        </w:tc>
        <w:tc>
          <w:tcPr>
            <w:tcW w:w="1417" w:type="dxa"/>
            <w:vMerge w:val="restart"/>
            <w:shd w:val="clear" w:color="auto" w:fill="auto"/>
          </w:tcPr>
          <w:p w14:paraId="141C29BA" w14:textId="4FDA5708"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0.80</w:t>
            </w:r>
            <w:r w:rsidR="00C80BB3" w:rsidRPr="003E284C">
              <w:rPr>
                <w:rFonts w:ascii="Times New Roman" w:hAnsi="Times New Roman" w:cs="Times New Roman"/>
                <w:sz w:val="24"/>
                <w:szCs w:val="24"/>
                <w:lang w:val="es-ES"/>
              </w:rPr>
              <w:t>61</w:t>
            </w:r>
          </w:p>
        </w:tc>
      </w:tr>
      <w:tr w:rsidR="003E284C" w:rsidRPr="003E284C" w14:paraId="080D9656" w14:textId="77777777" w:rsidTr="003E284C">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29587D89"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974" w:type="dxa"/>
            <w:vMerge/>
            <w:shd w:val="clear" w:color="auto" w:fill="auto"/>
          </w:tcPr>
          <w:p w14:paraId="42D4ACA3"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c>
          <w:tcPr>
            <w:tcW w:w="1686" w:type="dxa"/>
            <w:shd w:val="clear" w:color="auto" w:fill="auto"/>
          </w:tcPr>
          <w:p w14:paraId="73EFC812" w14:textId="34970E64" w:rsidR="00667620" w:rsidRPr="003E284C" w:rsidRDefault="00EF3FC3"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prediabetes</w:t>
            </w:r>
          </w:p>
        </w:tc>
        <w:tc>
          <w:tcPr>
            <w:tcW w:w="1026" w:type="dxa"/>
            <w:shd w:val="clear" w:color="auto" w:fill="auto"/>
          </w:tcPr>
          <w:p w14:paraId="50DB5918"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1.033</w:t>
            </w:r>
          </w:p>
        </w:tc>
        <w:tc>
          <w:tcPr>
            <w:tcW w:w="1128" w:type="dxa"/>
            <w:shd w:val="clear" w:color="auto" w:fill="auto"/>
          </w:tcPr>
          <w:p w14:paraId="09F5BF9E"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w:t>
            </w:r>
          </w:p>
        </w:tc>
        <w:tc>
          <w:tcPr>
            <w:tcW w:w="986" w:type="dxa"/>
            <w:shd w:val="clear" w:color="auto" w:fill="auto"/>
          </w:tcPr>
          <w:p w14:paraId="33C4D855"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1.03</w:t>
            </w:r>
          </w:p>
        </w:tc>
        <w:tc>
          <w:tcPr>
            <w:tcW w:w="1004" w:type="dxa"/>
            <w:shd w:val="clear" w:color="auto" w:fill="auto"/>
          </w:tcPr>
          <w:p w14:paraId="21ABF6BE"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1.03</w:t>
            </w:r>
          </w:p>
        </w:tc>
        <w:tc>
          <w:tcPr>
            <w:tcW w:w="1417" w:type="dxa"/>
            <w:vMerge/>
            <w:shd w:val="clear" w:color="auto" w:fill="auto"/>
          </w:tcPr>
          <w:p w14:paraId="5D25A3E6"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r>
      <w:tr w:rsidR="003E284C" w:rsidRPr="003E284C" w14:paraId="4B61BCB3" w14:textId="77777777" w:rsidTr="003E284C">
        <w:trPr>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0C4D0450"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974" w:type="dxa"/>
            <w:vMerge/>
            <w:shd w:val="clear" w:color="auto" w:fill="auto"/>
          </w:tcPr>
          <w:p w14:paraId="01AB24D8"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686" w:type="dxa"/>
            <w:shd w:val="clear" w:color="auto" w:fill="auto"/>
          </w:tcPr>
          <w:p w14:paraId="1DB1134A" w14:textId="0DB7BA0D" w:rsidR="00667620" w:rsidRPr="003E284C" w:rsidRDefault="009B2CDE"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Sin diabetes</w:t>
            </w:r>
          </w:p>
        </w:tc>
        <w:tc>
          <w:tcPr>
            <w:tcW w:w="1026" w:type="dxa"/>
            <w:shd w:val="clear" w:color="auto" w:fill="auto"/>
          </w:tcPr>
          <w:p w14:paraId="2D3DC6CB"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0.87</w:t>
            </w:r>
          </w:p>
        </w:tc>
        <w:tc>
          <w:tcPr>
            <w:tcW w:w="1128" w:type="dxa"/>
            <w:shd w:val="clear" w:color="auto" w:fill="auto"/>
          </w:tcPr>
          <w:p w14:paraId="36001A1C"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0.23</w:t>
            </w:r>
          </w:p>
        </w:tc>
        <w:tc>
          <w:tcPr>
            <w:tcW w:w="986" w:type="dxa"/>
            <w:shd w:val="clear" w:color="auto" w:fill="auto"/>
          </w:tcPr>
          <w:p w14:paraId="3CF67F23"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0.58</w:t>
            </w:r>
          </w:p>
        </w:tc>
        <w:tc>
          <w:tcPr>
            <w:tcW w:w="1004" w:type="dxa"/>
            <w:shd w:val="clear" w:color="auto" w:fill="auto"/>
          </w:tcPr>
          <w:p w14:paraId="577828D2"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2.06</w:t>
            </w:r>
          </w:p>
        </w:tc>
        <w:tc>
          <w:tcPr>
            <w:tcW w:w="1417" w:type="dxa"/>
            <w:vMerge/>
            <w:shd w:val="clear" w:color="auto" w:fill="auto"/>
          </w:tcPr>
          <w:p w14:paraId="37C2E897"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2308E9DC" w14:textId="77777777" w:rsidTr="003E284C">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val="restart"/>
            <w:tcBorders>
              <w:left w:val="none" w:sz="0" w:space="0" w:color="auto"/>
            </w:tcBorders>
            <w:shd w:val="clear" w:color="auto" w:fill="auto"/>
          </w:tcPr>
          <w:p w14:paraId="7F9102AE"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ALB</w:t>
            </w:r>
          </w:p>
        </w:tc>
        <w:tc>
          <w:tcPr>
            <w:tcW w:w="974" w:type="dxa"/>
            <w:vMerge w:val="restart"/>
            <w:shd w:val="clear" w:color="auto" w:fill="auto"/>
          </w:tcPr>
          <w:p w14:paraId="7920BD60"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F</w:t>
            </w:r>
          </w:p>
        </w:tc>
        <w:tc>
          <w:tcPr>
            <w:tcW w:w="1686" w:type="dxa"/>
            <w:shd w:val="clear" w:color="auto" w:fill="auto"/>
          </w:tcPr>
          <w:p w14:paraId="780E08ED" w14:textId="32359068" w:rsidR="00667620" w:rsidRPr="003E284C" w:rsidRDefault="00EF3FC3"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diabetes</w:t>
            </w:r>
          </w:p>
        </w:tc>
        <w:tc>
          <w:tcPr>
            <w:tcW w:w="1026" w:type="dxa"/>
            <w:shd w:val="clear" w:color="auto" w:fill="auto"/>
          </w:tcPr>
          <w:p w14:paraId="4D797272"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31.89</w:t>
            </w:r>
          </w:p>
        </w:tc>
        <w:tc>
          <w:tcPr>
            <w:tcW w:w="1128" w:type="dxa"/>
            <w:shd w:val="clear" w:color="auto" w:fill="auto"/>
          </w:tcPr>
          <w:p w14:paraId="47284D1D"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38.55</w:t>
            </w:r>
          </w:p>
        </w:tc>
        <w:tc>
          <w:tcPr>
            <w:tcW w:w="986" w:type="dxa"/>
            <w:shd w:val="clear" w:color="auto" w:fill="auto"/>
          </w:tcPr>
          <w:p w14:paraId="7023393C"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5</w:t>
            </w:r>
          </w:p>
        </w:tc>
        <w:tc>
          <w:tcPr>
            <w:tcW w:w="1004" w:type="dxa"/>
            <w:shd w:val="clear" w:color="auto" w:fill="auto"/>
          </w:tcPr>
          <w:p w14:paraId="12579BA0"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150</w:t>
            </w:r>
          </w:p>
        </w:tc>
        <w:tc>
          <w:tcPr>
            <w:tcW w:w="1417" w:type="dxa"/>
            <w:vMerge w:val="restart"/>
            <w:shd w:val="clear" w:color="auto" w:fill="auto"/>
          </w:tcPr>
          <w:p w14:paraId="45FA0119"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0.0001</w:t>
            </w:r>
          </w:p>
        </w:tc>
      </w:tr>
      <w:tr w:rsidR="003E284C" w:rsidRPr="003E284C" w14:paraId="0DFDAA77" w14:textId="77777777" w:rsidTr="003E284C">
        <w:trPr>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2800653B"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974" w:type="dxa"/>
            <w:vMerge/>
            <w:shd w:val="clear" w:color="auto" w:fill="auto"/>
          </w:tcPr>
          <w:p w14:paraId="323846C6"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686" w:type="dxa"/>
            <w:shd w:val="clear" w:color="auto" w:fill="auto"/>
          </w:tcPr>
          <w:p w14:paraId="33FFF891" w14:textId="226564CB" w:rsidR="00667620" w:rsidRPr="003E284C" w:rsidRDefault="00EF3FC3"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prediabetes</w:t>
            </w:r>
          </w:p>
        </w:tc>
        <w:tc>
          <w:tcPr>
            <w:tcW w:w="1026" w:type="dxa"/>
            <w:shd w:val="clear" w:color="auto" w:fill="auto"/>
          </w:tcPr>
          <w:p w14:paraId="7DEF95F5"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10</w:t>
            </w:r>
          </w:p>
        </w:tc>
        <w:tc>
          <w:tcPr>
            <w:tcW w:w="1128" w:type="dxa"/>
            <w:shd w:val="clear" w:color="auto" w:fill="auto"/>
          </w:tcPr>
          <w:p w14:paraId="6B58DC8D"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w:t>
            </w:r>
          </w:p>
        </w:tc>
        <w:tc>
          <w:tcPr>
            <w:tcW w:w="986" w:type="dxa"/>
            <w:shd w:val="clear" w:color="auto" w:fill="auto"/>
          </w:tcPr>
          <w:p w14:paraId="4B11F380"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10</w:t>
            </w:r>
          </w:p>
        </w:tc>
        <w:tc>
          <w:tcPr>
            <w:tcW w:w="1004" w:type="dxa"/>
            <w:shd w:val="clear" w:color="auto" w:fill="auto"/>
          </w:tcPr>
          <w:p w14:paraId="0AB74D18"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10</w:t>
            </w:r>
          </w:p>
        </w:tc>
        <w:tc>
          <w:tcPr>
            <w:tcW w:w="1417" w:type="dxa"/>
            <w:vMerge/>
            <w:shd w:val="clear" w:color="auto" w:fill="auto"/>
          </w:tcPr>
          <w:p w14:paraId="35155228"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2B0F1FC7" w14:textId="77777777" w:rsidTr="003E284C">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57815A37"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974" w:type="dxa"/>
            <w:vMerge/>
            <w:shd w:val="clear" w:color="auto" w:fill="auto"/>
          </w:tcPr>
          <w:p w14:paraId="186ED8A8"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c>
          <w:tcPr>
            <w:tcW w:w="1686" w:type="dxa"/>
            <w:shd w:val="clear" w:color="auto" w:fill="auto"/>
          </w:tcPr>
          <w:p w14:paraId="6F7A755A" w14:textId="26DFDD6A" w:rsidR="00667620" w:rsidRPr="003E284C" w:rsidRDefault="009B2CDE"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Sin diabetes</w:t>
            </w:r>
          </w:p>
        </w:tc>
        <w:tc>
          <w:tcPr>
            <w:tcW w:w="1026" w:type="dxa"/>
            <w:shd w:val="clear" w:color="auto" w:fill="auto"/>
          </w:tcPr>
          <w:p w14:paraId="47F4F31C"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16.75</w:t>
            </w:r>
          </w:p>
        </w:tc>
        <w:tc>
          <w:tcPr>
            <w:tcW w:w="1128" w:type="dxa"/>
            <w:shd w:val="clear" w:color="auto" w:fill="auto"/>
          </w:tcPr>
          <w:p w14:paraId="1B1F44ED"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16.37</w:t>
            </w:r>
          </w:p>
        </w:tc>
        <w:tc>
          <w:tcPr>
            <w:tcW w:w="986" w:type="dxa"/>
            <w:shd w:val="clear" w:color="auto" w:fill="auto"/>
          </w:tcPr>
          <w:p w14:paraId="19A40414"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6</w:t>
            </w:r>
          </w:p>
        </w:tc>
        <w:tc>
          <w:tcPr>
            <w:tcW w:w="1004" w:type="dxa"/>
            <w:shd w:val="clear" w:color="auto" w:fill="auto"/>
          </w:tcPr>
          <w:p w14:paraId="443D2DC9"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100</w:t>
            </w:r>
          </w:p>
        </w:tc>
        <w:tc>
          <w:tcPr>
            <w:tcW w:w="1417" w:type="dxa"/>
            <w:vMerge/>
            <w:shd w:val="clear" w:color="auto" w:fill="auto"/>
          </w:tcPr>
          <w:p w14:paraId="7A124C89"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r>
      <w:tr w:rsidR="003E284C" w:rsidRPr="003E284C" w14:paraId="5FC368BD" w14:textId="77777777" w:rsidTr="003E284C">
        <w:trPr>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7E42E071"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974" w:type="dxa"/>
            <w:vMerge w:val="restart"/>
            <w:shd w:val="clear" w:color="auto" w:fill="auto"/>
          </w:tcPr>
          <w:p w14:paraId="66A9565F"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M</w:t>
            </w:r>
          </w:p>
        </w:tc>
        <w:tc>
          <w:tcPr>
            <w:tcW w:w="1686" w:type="dxa"/>
            <w:shd w:val="clear" w:color="auto" w:fill="auto"/>
          </w:tcPr>
          <w:p w14:paraId="09635627" w14:textId="249DEFD8" w:rsidR="00667620" w:rsidRPr="003E284C" w:rsidRDefault="00EF3FC3"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diabetes</w:t>
            </w:r>
          </w:p>
        </w:tc>
        <w:tc>
          <w:tcPr>
            <w:tcW w:w="1026" w:type="dxa"/>
            <w:shd w:val="clear" w:color="auto" w:fill="auto"/>
          </w:tcPr>
          <w:p w14:paraId="42ECCF43"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47.87</w:t>
            </w:r>
          </w:p>
        </w:tc>
        <w:tc>
          <w:tcPr>
            <w:tcW w:w="1128" w:type="dxa"/>
            <w:shd w:val="clear" w:color="auto" w:fill="auto"/>
          </w:tcPr>
          <w:p w14:paraId="11D826EB"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48.54</w:t>
            </w:r>
          </w:p>
        </w:tc>
        <w:tc>
          <w:tcPr>
            <w:tcW w:w="986" w:type="dxa"/>
            <w:shd w:val="clear" w:color="auto" w:fill="auto"/>
          </w:tcPr>
          <w:p w14:paraId="2C59B63A"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8</w:t>
            </w:r>
          </w:p>
        </w:tc>
        <w:tc>
          <w:tcPr>
            <w:tcW w:w="1004" w:type="dxa"/>
            <w:shd w:val="clear" w:color="auto" w:fill="auto"/>
          </w:tcPr>
          <w:p w14:paraId="08B09309"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150</w:t>
            </w:r>
          </w:p>
        </w:tc>
        <w:tc>
          <w:tcPr>
            <w:tcW w:w="1417" w:type="dxa"/>
            <w:vMerge w:val="restart"/>
            <w:shd w:val="clear" w:color="auto" w:fill="auto"/>
          </w:tcPr>
          <w:p w14:paraId="79056A14"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0.0003</w:t>
            </w:r>
          </w:p>
        </w:tc>
      </w:tr>
      <w:tr w:rsidR="003E284C" w:rsidRPr="003E284C" w14:paraId="53E4CBEB" w14:textId="77777777" w:rsidTr="003E284C">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66961504"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974" w:type="dxa"/>
            <w:vMerge/>
            <w:shd w:val="clear" w:color="auto" w:fill="auto"/>
          </w:tcPr>
          <w:p w14:paraId="26B12C0C"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c>
          <w:tcPr>
            <w:tcW w:w="1686" w:type="dxa"/>
            <w:shd w:val="clear" w:color="auto" w:fill="auto"/>
          </w:tcPr>
          <w:p w14:paraId="75F389EB" w14:textId="59E01E8E" w:rsidR="00667620" w:rsidRPr="003E284C" w:rsidRDefault="00EF3FC3"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prediabetes</w:t>
            </w:r>
          </w:p>
        </w:tc>
        <w:tc>
          <w:tcPr>
            <w:tcW w:w="1026" w:type="dxa"/>
            <w:shd w:val="clear" w:color="auto" w:fill="auto"/>
          </w:tcPr>
          <w:p w14:paraId="1AFEFA1A"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10</w:t>
            </w:r>
          </w:p>
        </w:tc>
        <w:tc>
          <w:tcPr>
            <w:tcW w:w="1128" w:type="dxa"/>
            <w:shd w:val="clear" w:color="auto" w:fill="auto"/>
          </w:tcPr>
          <w:p w14:paraId="42CD897E"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w:t>
            </w:r>
          </w:p>
        </w:tc>
        <w:tc>
          <w:tcPr>
            <w:tcW w:w="986" w:type="dxa"/>
            <w:shd w:val="clear" w:color="auto" w:fill="auto"/>
          </w:tcPr>
          <w:p w14:paraId="62207CA4"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10</w:t>
            </w:r>
          </w:p>
        </w:tc>
        <w:tc>
          <w:tcPr>
            <w:tcW w:w="1004" w:type="dxa"/>
            <w:shd w:val="clear" w:color="auto" w:fill="auto"/>
          </w:tcPr>
          <w:p w14:paraId="135A7F90"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10</w:t>
            </w:r>
          </w:p>
        </w:tc>
        <w:tc>
          <w:tcPr>
            <w:tcW w:w="1417" w:type="dxa"/>
            <w:vMerge/>
            <w:shd w:val="clear" w:color="auto" w:fill="auto"/>
          </w:tcPr>
          <w:p w14:paraId="11DC84F1"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r>
      <w:tr w:rsidR="003E284C" w:rsidRPr="003E284C" w14:paraId="28592CE9" w14:textId="77777777" w:rsidTr="003E284C">
        <w:trPr>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0B6FE352"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974" w:type="dxa"/>
            <w:vMerge/>
            <w:shd w:val="clear" w:color="auto" w:fill="auto"/>
          </w:tcPr>
          <w:p w14:paraId="5E70784F"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686" w:type="dxa"/>
            <w:shd w:val="clear" w:color="auto" w:fill="auto"/>
          </w:tcPr>
          <w:p w14:paraId="1BC45F65" w14:textId="09D31380" w:rsidR="00667620" w:rsidRPr="003E284C" w:rsidRDefault="009B2CDE"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Sin diabetes</w:t>
            </w:r>
          </w:p>
        </w:tc>
        <w:tc>
          <w:tcPr>
            <w:tcW w:w="1026" w:type="dxa"/>
            <w:shd w:val="clear" w:color="auto" w:fill="auto"/>
          </w:tcPr>
          <w:p w14:paraId="578C605C"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14.95</w:t>
            </w:r>
          </w:p>
        </w:tc>
        <w:tc>
          <w:tcPr>
            <w:tcW w:w="1128" w:type="dxa"/>
            <w:shd w:val="clear" w:color="auto" w:fill="auto"/>
          </w:tcPr>
          <w:p w14:paraId="3F598BE1"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15.92</w:t>
            </w:r>
          </w:p>
        </w:tc>
        <w:tc>
          <w:tcPr>
            <w:tcW w:w="986" w:type="dxa"/>
            <w:shd w:val="clear" w:color="auto" w:fill="auto"/>
          </w:tcPr>
          <w:p w14:paraId="69580423"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8</w:t>
            </w:r>
          </w:p>
        </w:tc>
        <w:tc>
          <w:tcPr>
            <w:tcW w:w="1004" w:type="dxa"/>
            <w:shd w:val="clear" w:color="auto" w:fill="auto"/>
          </w:tcPr>
          <w:p w14:paraId="70A3A4E7"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80</w:t>
            </w:r>
          </w:p>
        </w:tc>
        <w:tc>
          <w:tcPr>
            <w:tcW w:w="1417" w:type="dxa"/>
            <w:vMerge/>
            <w:shd w:val="clear" w:color="auto" w:fill="auto"/>
          </w:tcPr>
          <w:p w14:paraId="50FA2B3A"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5657447F" w14:textId="77777777" w:rsidTr="003E284C">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val="restart"/>
            <w:tcBorders>
              <w:left w:val="none" w:sz="0" w:space="0" w:color="auto"/>
            </w:tcBorders>
            <w:shd w:val="clear" w:color="auto" w:fill="auto"/>
          </w:tcPr>
          <w:p w14:paraId="001C9C26" w14:textId="7EE5EE0F" w:rsidR="00C46200" w:rsidRPr="003E284C" w:rsidRDefault="00C4620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Urea</w:t>
            </w:r>
          </w:p>
        </w:tc>
        <w:tc>
          <w:tcPr>
            <w:tcW w:w="974" w:type="dxa"/>
            <w:vMerge w:val="restart"/>
            <w:shd w:val="clear" w:color="auto" w:fill="auto"/>
          </w:tcPr>
          <w:p w14:paraId="649F0571" w14:textId="77777777" w:rsidR="00C46200" w:rsidRPr="003E284C" w:rsidRDefault="00C4620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F</w:t>
            </w:r>
          </w:p>
        </w:tc>
        <w:tc>
          <w:tcPr>
            <w:tcW w:w="1686" w:type="dxa"/>
            <w:shd w:val="clear" w:color="auto" w:fill="auto"/>
          </w:tcPr>
          <w:p w14:paraId="43A09D43" w14:textId="62E5C016" w:rsidR="00C46200" w:rsidRPr="003E284C" w:rsidRDefault="00EF3FC3"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diabetes</w:t>
            </w:r>
          </w:p>
        </w:tc>
        <w:tc>
          <w:tcPr>
            <w:tcW w:w="1026" w:type="dxa"/>
            <w:shd w:val="clear" w:color="auto" w:fill="auto"/>
          </w:tcPr>
          <w:p w14:paraId="03BDFA12" w14:textId="77777777" w:rsidR="00C46200" w:rsidRPr="003E284C" w:rsidRDefault="00C4620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30.84</w:t>
            </w:r>
          </w:p>
        </w:tc>
        <w:tc>
          <w:tcPr>
            <w:tcW w:w="1128" w:type="dxa"/>
            <w:shd w:val="clear" w:color="auto" w:fill="auto"/>
          </w:tcPr>
          <w:p w14:paraId="2A2F3924" w14:textId="77777777" w:rsidR="00C46200" w:rsidRPr="003E284C" w:rsidRDefault="00C4620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20.24</w:t>
            </w:r>
          </w:p>
        </w:tc>
        <w:tc>
          <w:tcPr>
            <w:tcW w:w="986" w:type="dxa"/>
            <w:shd w:val="clear" w:color="auto" w:fill="auto"/>
          </w:tcPr>
          <w:p w14:paraId="70AFE12F" w14:textId="77777777" w:rsidR="00C46200" w:rsidRPr="003E284C" w:rsidRDefault="00C4620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12.28</w:t>
            </w:r>
          </w:p>
        </w:tc>
        <w:tc>
          <w:tcPr>
            <w:tcW w:w="1004" w:type="dxa"/>
            <w:shd w:val="clear" w:color="auto" w:fill="auto"/>
          </w:tcPr>
          <w:p w14:paraId="265EB060" w14:textId="77777777" w:rsidR="00C46200" w:rsidRPr="003E284C" w:rsidRDefault="00C4620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201.4</w:t>
            </w:r>
          </w:p>
        </w:tc>
        <w:tc>
          <w:tcPr>
            <w:tcW w:w="1417" w:type="dxa"/>
            <w:vMerge w:val="restart"/>
            <w:shd w:val="clear" w:color="auto" w:fill="auto"/>
          </w:tcPr>
          <w:p w14:paraId="19A126B9" w14:textId="0052CFF2" w:rsidR="00C46200" w:rsidRPr="003E284C" w:rsidRDefault="00C4620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0.0432</w:t>
            </w:r>
          </w:p>
        </w:tc>
      </w:tr>
      <w:tr w:rsidR="003E284C" w:rsidRPr="003E284C" w14:paraId="080E3525" w14:textId="77777777" w:rsidTr="003E284C">
        <w:trPr>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6CEBAC4D" w14:textId="77777777" w:rsidR="00C46200" w:rsidRPr="003E284C" w:rsidRDefault="00C4620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974" w:type="dxa"/>
            <w:vMerge/>
            <w:shd w:val="clear" w:color="auto" w:fill="auto"/>
          </w:tcPr>
          <w:p w14:paraId="283E02F4" w14:textId="77777777" w:rsidR="00C46200" w:rsidRPr="003E284C" w:rsidRDefault="00C4620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686" w:type="dxa"/>
            <w:shd w:val="clear" w:color="auto" w:fill="auto"/>
          </w:tcPr>
          <w:p w14:paraId="6E042394" w14:textId="62D780C9" w:rsidR="00C46200" w:rsidRPr="003E284C" w:rsidRDefault="00EF3FC3"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prediabetes</w:t>
            </w:r>
          </w:p>
        </w:tc>
        <w:tc>
          <w:tcPr>
            <w:tcW w:w="1026" w:type="dxa"/>
            <w:shd w:val="clear" w:color="auto" w:fill="auto"/>
          </w:tcPr>
          <w:p w14:paraId="2FD5D5E9" w14:textId="77777777" w:rsidR="00C46200" w:rsidRPr="003E284C" w:rsidRDefault="00C4620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29.29</w:t>
            </w:r>
          </w:p>
        </w:tc>
        <w:tc>
          <w:tcPr>
            <w:tcW w:w="1128" w:type="dxa"/>
            <w:shd w:val="clear" w:color="auto" w:fill="auto"/>
          </w:tcPr>
          <w:p w14:paraId="397C09E9" w14:textId="77777777" w:rsidR="00C46200" w:rsidRPr="003E284C" w:rsidRDefault="00C4620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8.45</w:t>
            </w:r>
          </w:p>
        </w:tc>
        <w:tc>
          <w:tcPr>
            <w:tcW w:w="986" w:type="dxa"/>
            <w:shd w:val="clear" w:color="auto" w:fill="auto"/>
          </w:tcPr>
          <w:p w14:paraId="6695074F" w14:textId="77777777" w:rsidR="00C46200" w:rsidRPr="003E284C" w:rsidRDefault="00C4620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12.8</w:t>
            </w:r>
          </w:p>
        </w:tc>
        <w:tc>
          <w:tcPr>
            <w:tcW w:w="1004" w:type="dxa"/>
            <w:shd w:val="clear" w:color="auto" w:fill="auto"/>
          </w:tcPr>
          <w:p w14:paraId="7E464F77" w14:textId="77777777" w:rsidR="00C46200" w:rsidRPr="003E284C" w:rsidRDefault="00C4620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41.62</w:t>
            </w:r>
          </w:p>
        </w:tc>
        <w:tc>
          <w:tcPr>
            <w:tcW w:w="1417" w:type="dxa"/>
            <w:vMerge/>
            <w:shd w:val="clear" w:color="auto" w:fill="auto"/>
          </w:tcPr>
          <w:p w14:paraId="6A638C67" w14:textId="77777777" w:rsidR="00C46200" w:rsidRPr="003E284C" w:rsidRDefault="00C4620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6563511E" w14:textId="77777777" w:rsidTr="003E284C">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24198B3C" w14:textId="77777777" w:rsidR="00C46200" w:rsidRPr="003E284C" w:rsidRDefault="00C4620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974" w:type="dxa"/>
            <w:vMerge/>
            <w:shd w:val="clear" w:color="auto" w:fill="auto"/>
          </w:tcPr>
          <w:p w14:paraId="02FF3885" w14:textId="77777777" w:rsidR="00C46200" w:rsidRPr="003E284C" w:rsidRDefault="00C4620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c>
          <w:tcPr>
            <w:tcW w:w="1686" w:type="dxa"/>
            <w:shd w:val="clear" w:color="auto" w:fill="auto"/>
          </w:tcPr>
          <w:p w14:paraId="1427F0E1" w14:textId="37CD6248" w:rsidR="00C46200" w:rsidRPr="003E284C" w:rsidRDefault="009B2CDE"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Sin diabetes</w:t>
            </w:r>
          </w:p>
        </w:tc>
        <w:tc>
          <w:tcPr>
            <w:tcW w:w="1026" w:type="dxa"/>
            <w:shd w:val="clear" w:color="auto" w:fill="auto"/>
          </w:tcPr>
          <w:p w14:paraId="5B50A1CF" w14:textId="77777777" w:rsidR="00C46200" w:rsidRPr="003E284C" w:rsidRDefault="00C4620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25.63</w:t>
            </w:r>
          </w:p>
        </w:tc>
        <w:tc>
          <w:tcPr>
            <w:tcW w:w="1128" w:type="dxa"/>
            <w:shd w:val="clear" w:color="auto" w:fill="auto"/>
          </w:tcPr>
          <w:p w14:paraId="3F5C6A46" w14:textId="77777777" w:rsidR="00C46200" w:rsidRPr="003E284C" w:rsidRDefault="00C4620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9.07</w:t>
            </w:r>
          </w:p>
        </w:tc>
        <w:tc>
          <w:tcPr>
            <w:tcW w:w="986" w:type="dxa"/>
            <w:shd w:val="clear" w:color="auto" w:fill="auto"/>
          </w:tcPr>
          <w:p w14:paraId="5765E4BB" w14:textId="77777777" w:rsidR="00C46200" w:rsidRPr="003E284C" w:rsidRDefault="00C4620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7.79</w:t>
            </w:r>
          </w:p>
        </w:tc>
        <w:tc>
          <w:tcPr>
            <w:tcW w:w="1004" w:type="dxa"/>
            <w:shd w:val="clear" w:color="auto" w:fill="auto"/>
          </w:tcPr>
          <w:p w14:paraId="7B04C9F3" w14:textId="77777777" w:rsidR="00C46200" w:rsidRPr="003E284C" w:rsidRDefault="00C4620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57</w:t>
            </w:r>
          </w:p>
        </w:tc>
        <w:tc>
          <w:tcPr>
            <w:tcW w:w="1417" w:type="dxa"/>
            <w:vMerge/>
            <w:shd w:val="clear" w:color="auto" w:fill="auto"/>
          </w:tcPr>
          <w:p w14:paraId="01C45E53" w14:textId="77777777" w:rsidR="00C46200" w:rsidRPr="003E284C" w:rsidRDefault="00C4620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r>
      <w:tr w:rsidR="003E284C" w:rsidRPr="003E284C" w14:paraId="71E5CDF5" w14:textId="77777777" w:rsidTr="003E284C">
        <w:trPr>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2E2BEA3B"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974" w:type="dxa"/>
            <w:vMerge w:val="restart"/>
            <w:shd w:val="clear" w:color="auto" w:fill="auto"/>
          </w:tcPr>
          <w:p w14:paraId="65C5AD5A"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M</w:t>
            </w:r>
          </w:p>
        </w:tc>
        <w:tc>
          <w:tcPr>
            <w:tcW w:w="1686" w:type="dxa"/>
            <w:shd w:val="clear" w:color="auto" w:fill="auto"/>
          </w:tcPr>
          <w:p w14:paraId="6B984051" w14:textId="0FFE6032" w:rsidR="00667620" w:rsidRPr="003E284C" w:rsidRDefault="00EF3FC3"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diabetes</w:t>
            </w:r>
          </w:p>
        </w:tc>
        <w:tc>
          <w:tcPr>
            <w:tcW w:w="1026" w:type="dxa"/>
            <w:shd w:val="clear" w:color="auto" w:fill="auto"/>
          </w:tcPr>
          <w:p w14:paraId="4AE84F79"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34.08</w:t>
            </w:r>
          </w:p>
        </w:tc>
        <w:tc>
          <w:tcPr>
            <w:tcW w:w="1128" w:type="dxa"/>
            <w:shd w:val="clear" w:color="auto" w:fill="auto"/>
          </w:tcPr>
          <w:p w14:paraId="4D3DAC19"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17.94</w:t>
            </w:r>
          </w:p>
        </w:tc>
        <w:tc>
          <w:tcPr>
            <w:tcW w:w="986" w:type="dxa"/>
            <w:shd w:val="clear" w:color="auto" w:fill="auto"/>
          </w:tcPr>
          <w:p w14:paraId="52001E70"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12.74</w:t>
            </w:r>
          </w:p>
        </w:tc>
        <w:tc>
          <w:tcPr>
            <w:tcW w:w="1004" w:type="dxa"/>
            <w:shd w:val="clear" w:color="auto" w:fill="auto"/>
          </w:tcPr>
          <w:p w14:paraId="699C82FB"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132</w:t>
            </w:r>
          </w:p>
        </w:tc>
        <w:tc>
          <w:tcPr>
            <w:tcW w:w="1417" w:type="dxa"/>
            <w:vMerge w:val="restart"/>
            <w:shd w:val="clear" w:color="auto" w:fill="auto"/>
          </w:tcPr>
          <w:p w14:paraId="3459BE49" w14:textId="556FF81F"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0.16</w:t>
            </w:r>
            <w:r w:rsidR="00C80BB3" w:rsidRPr="003E284C">
              <w:rPr>
                <w:rFonts w:ascii="Times New Roman" w:hAnsi="Times New Roman" w:cs="Times New Roman"/>
                <w:sz w:val="24"/>
                <w:szCs w:val="24"/>
                <w:lang w:val="es-ES"/>
              </w:rPr>
              <w:t>22</w:t>
            </w:r>
          </w:p>
        </w:tc>
      </w:tr>
      <w:tr w:rsidR="003E284C" w:rsidRPr="003E284C" w14:paraId="0EA57C3C" w14:textId="77777777" w:rsidTr="003E284C">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181B2F3C"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974" w:type="dxa"/>
            <w:vMerge/>
            <w:shd w:val="clear" w:color="auto" w:fill="auto"/>
          </w:tcPr>
          <w:p w14:paraId="65EFD4C1"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c>
          <w:tcPr>
            <w:tcW w:w="1686" w:type="dxa"/>
            <w:shd w:val="clear" w:color="auto" w:fill="auto"/>
          </w:tcPr>
          <w:p w14:paraId="3CC1E6A6" w14:textId="5C35DEB5" w:rsidR="00667620" w:rsidRPr="003E284C" w:rsidRDefault="00EF3FC3"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prediabetes</w:t>
            </w:r>
          </w:p>
        </w:tc>
        <w:tc>
          <w:tcPr>
            <w:tcW w:w="1026" w:type="dxa"/>
            <w:shd w:val="clear" w:color="auto" w:fill="auto"/>
          </w:tcPr>
          <w:p w14:paraId="75BA55C7"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36.77</w:t>
            </w:r>
          </w:p>
        </w:tc>
        <w:tc>
          <w:tcPr>
            <w:tcW w:w="1128" w:type="dxa"/>
            <w:shd w:val="clear" w:color="auto" w:fill="auto"/>
          </w:tcPr>
          <w:p w14:paraId="0879AD94"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w:t>
            </w:r>
          </w:p>
        </w:tc>
        <w:tc>
          <w:tcPr>
            <w:tcW w:w="986" w:type="dxa"/>
            <w:shd w:val="clear" w:color="auto" w:fill="auto"/>
          </w:tcPr>
          <w:p w14:paraId="3F04CB07"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36.77</w:t>
            </w:r>
          </w:p>
        </w:tc>
        <w:tc>
          <w:tcPr>
            <w:tcW w:w="1004" w:type="dxa"/>
            <w:shd w:val="clear" w:color="auto" w:fill="auto"/>
          </w:tcPr>
          <w:p w14:paraId="35ED913A"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36.77</w:t>
            </w:r>
          </w:p>
        </w:tc>
        <w:tc>
          <w:tcPr>
            <w:tcW w:w="1417" w:type="dxa"/>
            <w:vMerge/>
            <w:shd w:val="clear" w:color="auto" w:fill="auto"/>
          </w:tcPr>
          <w:p w14:paraId="75E9350F"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r>
      <w:tr w:rsidR="003E284C" w:rsidRPr="003E284C" w14:paraId="7F3FAEA0" w14:textId="77777777" w:rsidTr="003E284C">
        <w:trPr>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7D9BBFF7"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974" w:type="dxa"/>
            <w:vMerge/>
            <w:shd w:val="clear" w:color="auto" w:fill="auto"/>
          </w:tcPr>
          <w:p w14:paraId="5B207372"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686" w:type="dxa"/>
            <w:shd w:val="clear" w:color="auto" w:fill="auto"/>
          </w:tcPr>
          <w:p w14:paraId="06F9BB0D" w14:textId="2A46B350" w:rsidR="00667620" w:rsidRPr="003E284C" w:rsidRDefault="009B2CDE"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Sin diabetes</w:t>
            </w:r>
          </w:p>
        </w:tc>
        <w:tc>
          <w:tcPr>
            <w:tcW w:w="1026" w:type="dxa"/>
            <w:shd w:val="clear" w:color="auto" w:fill="auto"/>
          </w:tcPr>
          <w:p w14:paraId="3589A502"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28.15</w:t>
            </w:r>
          </w:p>
        </w:tc>
        <w:tc>
          <w:tcPr>
            <w:tcW w:w="1128" w:type="dxa"/>
            <w:shd w:val="clear" w:color="auto" w:fill="auto"/>
          </w:tcPr>
          <w:p w14:paraId="7C8C1BE8"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10.28</w:t>
            </w:r>
          </w:p>
        </w:tc>
        <w:tc>
          <w:tcPr>
            <w:tcW w:w="986" w:type="dxa"/>
            <w:shd w:val="clear" w:color="auto" w:fill="auto"/>
          </w:tcPr>
          <w:p w14:paraId="26179FD9"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12.27</w:t>
            </w:r>
          </w:p>
        </w:tc>
        <w:tc>
          <w:tcPr>
            <w:tcW w:w="1004" w:type="dxa"/>
            <w:shd w:val="clear" w:color="auto" w:fill="auto"/>
          </w:tcPr>
          <w:p w14:paraId="735C1861"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61</w:t>
            </w:r>
          </w:p>
        </w:tc>
        <w:tc>
          <w:tcPr>
            <w:tcW w:w="1417" w:type="dxa"/>
            <w:vMerge/>
            <w:shd w:val="clear" w:color="auto" w:fill="auto"/>
          </w:tcPr>
          <w:p w14:paraId="2F202532"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1453047C" w14:textId="77777777" w:rsidTr="003E284C">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val="restart"/>
            <w:tcBorders>
              <w:left w:val="none" w:sz="0" w:space="0" w:color="auto"/>
            </w:tcBorders>
            <w:shd w:val="clear" w:color="auto" w:fill="auto"/>
          </w:tcPr>
          <w:p w14:paraId="491B2A8F"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A. U</w:t>
            </w:r>
          </w:p>
        </w:tc>
        <w:tc>
          <w:tcPr>
            <w:tcW w:w="974" w:type="dxa"/>
            <w:vMerge w:val="restart"/>
            <w:shd w:val="clear" w:color="auto" w:fill="auto"/>
          </w:tcPr>
          <w:p w14:paraId="323C824C"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F</w:t>
            </w:r>
          </w:p>
        </w:tc>
        <w:tc>
          <w:tcPr>
            <w:tcW w:w="1686" w:type="dxa"/>
            <w:shd w:val="clear" w:color="auto" w:fill="auto"/>
          </w:tcPr>
          <w:p w14:paraId="565F68FC" w14:textId="7B6874BF" w:rsidR="00667620" w:rsidRPr="003E284C" w:rsidRDefault="00EF3FC3"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diabetes</w:t>
            </w:r>
          </w:p>
        </w:tc>
        <w:tc>
          <w:tcPr>
            <w:tcW w:w="1026" w:type="dxa"/>
            <w:shd w:val="clear" w:color="auto" w:fill="auto"/>
          </w:tcPr>
          <w:p w14:paraId="254B8169"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5.14</w:t>
            </w:r>
          </w:p>
        </w:tc>
        <w:tc>
          <w:tcPr>
            <w:tcW w:w="1128" w:type="dxa"/>
            <w:shd w:val="clear" w:color="auto" w:fill="auto"/>
          </w:tcPr>
          <w:p w14:paraId="5CB06844"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1.86</w:t>
            </w:r>
          </w:p>
        </w:tc>
        <w:tc>
          <w:tcPr>
            <w:tcW w:w="986" w:type="dxa"/>
            <w:shd w:val="clear" w:color="auto" w:fill="auto"/>
          </w:tcPr>
          <w:p w14:paraId="769CF1B6"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1.8</w:t>
            </w:r>
          </w:p>
        </w:tc>
        <w:tc>
          <w:tcPr>
            <w:tcW w:w="1004" w:type="dxa"/>
            <w:shd w:val="clear" w:color="auto" w:fill="auto"/>
          </w:tcPr>
          <w:p w14:paraId="7DF1BA5D"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12.1</w:t>
            </w:r>
          </w:p>
        </w:tc>
        <w:tc>
          <w:tcPr>
            <w:tcW w:w="1417" w:type="dxa"/>
            <w:vMerge w:val="restart"/>
            <w:shd w:val="clear" w:color="auto" w:fill="auto"/>
          </w:tcPr>
          <w:p w14:paraId="3D878DAD" w14:textId="2EBCD3A4"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0.14</w:t>
            </w:r>
            <w:r w:rsidR="00C46200" w:rsidRPr="003E284C">
              <w:rPr>
                <w:rFonts w:ascii="Times New Roman" w:hAnsi="Times New Roman" w:cs="Times New Roman"/>
                <w:sz w:val="24"/>
                <w:szCs w:val="24"/>
                <w:lang w:val="es-ES"/>
              </w:rPr>
              <w:t>04</w:t>
            </w:r>
          </w:p>
        </w:tc>
      </w:tr>
      <w:tr w:rsidR="003E284C" w:rsidRPr="003E284C" w14:paraId="49F8CC1D" w14:textId="77777777" w:rsidTr="003E284C">
        <w:trPr>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4FDFCC55"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974" w:type="dxa"/>
            <w:vMerge/>
            <w:shd w:val="clear" w:color="auto" w:fill="auto"/>
          </w:tcPr>
          <w:p w14:paraId="57AEB710"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686" w:type="dxa"/>
            <w:shd w:val="clear" w:color="auto" w:fill="auto"/>
          </w:tcPr>
          <w:p w14:paraId="64B1C703" w14:textId="3E83CAAB" w:rsidR="00667620" w:rsidRPr="003E284C" w:rsidRDefault="00EF3FC3"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prediabetes</w:t>
            </w:r>
          </w:p>
        </w:tc>
        <w:tc>
          <w:tcPr>
            <w:tcW w:w="1026" w:type="dxa"/>
            <w:shd w:val="clear" w:color="auto" w:fill="auto"/>
          </w:tcPr>
          <w:p w14:paraId="132CB501"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4.95</w:t>
            </w:r>
          </w:p>
        </w:tc>
        <w:tc>
          <w:tcPr>
            <w:tcW w:w="1128" w:type="dxa"/>
            <w:shd w:val="clear" w:color="auto" w:fill="auto"/>
          </w:tcPr>
          <w:p w14:paraId="3528A4F5"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0.98</w:t>
            </w:r>
          </w:p>
        </w:tc>
        <w:tc>
          <w:tcPr>
            <w:tcW w:w="986" w:type="dxa"/>
            <w:shd w:val="clear" w:color="auto" w:fill="auto"/>
          </w:tcPr>
          <w:p w14:paraId="734D0A51"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3.69</w:t>
            </w:r>
          </w:p>
        </w:tc>
        <w:tc>
          <w:tcPr>
            <w:tcW w:w="1004" w:type="dxa"/>
            <w:shd w:val="clear" w:color="auto" w:fill="auto"/>
          </w:tcPr>
          <w:p w14:paraId="6D91B1EB"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7.17</w:t>
            </w:r>
          </w:p>
        </w:tc>
        <w:tc>
          <w:tcPr>
            <w:tcW w:w="1417" w:type="dxa"/>
            <w:vMerge/>
            <w:shd w:val="clear" w:color="auto" w:fill="auto"/>
          </w:tcPr>
          <w:p w14:paraId="0963852D"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570AC8A7" w14:textId="77777777" w:rsidTr="003E284C">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68BB5A49"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974" w:type="dxa"/>
            <w:vMerge/>
            <w:shd w:val="clear" w:color="auto" w:fill="auto"/>
          </w:tcPr>
          <w:p w14:paraId="768395FB"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c>
          <w:tcPr>
            <w:tcW w:w="1686" w:type="dxa"/>
            <w:shd w:val="clear" w:color="auto" w:fill="auto"/>
          </w:tcPr>
          <w:p w14:paraId="311DBADE" w14:textId="7D690889" w:rsidR="00667620" w:rsidRPr="003E284C" w:rsidRDefault="009B2CDE"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Sin diabetes</w:t>
            </w:r>
          </w:p>
        </w:tc>
        <w:tc>
          <w:tcPr>
            <w:tcW w:w="1026" w:type="dxa"/>
            <w:shd w:val="clear" w:color="auto" w:fill="auto"/>
          </w:tcPr>
          <w:p w14:paraId="5C9693B7"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4.72</w:t>
            </w:r>
          </w:p>
        </w:tc>
        <w:tc>
          <w:tcPr>
            <w:tcW w:w="1128" w:type="dxa"/>
            <w:shd w:val="clear" w:color="auto" w:fill="auto"/>
          </w:tcPr>
          <w:p w14:paraId="17ADAEBF"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1.29</w:t>
            </w:r>
          </w:p>
        </w:tc>
        <w:tc>
          <w:tcPr>
            <w:tcW w:w="986" w:type="dxa"/>
            <w:shd w:val="clear" w:color="auto" w:fill="auto"/>
          </w:tcPr>
          <w:p w14:paraId="7D159200"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2.0</w:t>
            </w:r>
          </w:p>
        </w:tc>
        <w:tc>
          <w:tcPr>
            <w:tcW w:w="1004" w:type="dxa"/>
            <w:shd w:val="clear" w:color="auto" w:fill="auto"/>
          </w:tcPr>
          <w:p w14:paraId="3F8F082E"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9.09</w:t>
            </w:r>
          </w:p>
        </w:tc>
        <w:tc>
          <w:tcPr>
            <w:tcW w:w="1417" w:type="dxa"/>
            <w:vMerge/>
            <w:shd w:val="clear" w:color="auto" w:fill="auto"/>
          </w:tcPr>
          <w:p w14:paraId="6D39A20D"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r>
      <w:tr w:rsidR="003E284C" w:rsidRPr="003E284C" w14:paraId="11CC40D8" w14:textId="77777777" w:rsidTr="003E284C">
        <w:trPr>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53C0994A"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974" w:type="dxa"/>
            <w:vMerge w:val="restart"/>
            <w:shd w:val="clear" w:color="auto" w:fill="auto"/>
          </w:tcPr>
          <w:p w14:paraId="1EC597EF"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M</w:t>
            </w:r>
          </w:p>
        </w:tc>
        <w:tc>
          <w:tcPr>
            <w:tcW w:w="1686" w:type="dxa"/>
            <w:shd w:val="clear" w:color="auto" w:fill="auto"/>
          </w:tcPr>
          <w:p w14:paraId="1D625C75" w14:textId="63C30D7E" w:rsidR="00667620" w:rsidRPr="003E284C" w:rsidRDefault="00EF3FC3"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diabetes</w:t>
            </w:r>
          </w:p>
        </w:tc>
        <w:tc>
          <w:tcPr>
            <w:tcW w:w="1026" w:type="dxa"/>
            <w:shd w:val="clear" w:color="auto" w:fill="auto"/>
          </w:tcPr>
          <w:p w14:paraId="6181A38F"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34.08</w:t>
            </w:r>
          </w:p>
        </w:tc>
        <w:tc>
          <w:tcPr>
            <w:tcW w:w="1128" w:type="dxa"/>
            <w:shd w:val="clear" w:color="auto" w:fill="auto"/>
          </w:tcPr>
          <w:p w14:paraId="456C817C"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17.94</w:t>
            </w:r>
          </w:p>
        </w:tc>
        <w:tc>
          <w:tcPr>
            <w:tcW w:w="986" w:type="dxa"/>
            <w:shd w:val="clear" w:color="auto" w:fill="auto"/>
          </w:tcPr>
          <w:p w14:paraId="6EB05865"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12.74</w:t>
            </w:r>
          </w:p>
        </w:tc>
        <w:tc>
          <w:tcPr>
            <w:tcW w:w="1004" w:type="dxa"/>
            <w:shd w:val="clear" w:color="auto" w:fill="auto"/>
          </w:tcPr>
          <w:p w14:paraId="7E3C1F89"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132</w:t>
            </w:r>
          </w:p>
        </w:tc>
        <w:tc>
          <w:tcPr>
            <w:tcW w:w="1417" w:type="dxa"/>
            <w:vMerge w:val="restart"/>
            <w:shd w:val="clear" w:color="auto" w:fill="auto"/>
          </w:tcPr>
          <w:p w14:paraId="6392CCEB" w14:textId="1D733262"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0.94</w:t>
            </w:r>
            <w:r w:rsidR="00C80BB3" w:rsidRPr="003E284C">
              <w:rPr>
                <w:rFonts w:ascii="Times New Roman" w:hAnsi="Times New Roman" w:cs="Times New Roman"/>
                <w:sz w:val="24"/>
                <w:szCs w:val="24"/>
                <w:lang w:val="es-ES"/>
              </w:rPr>
              <w:t>17</w:t>
            </w:r>
          </w:p>
        </w:tc>
      </w:tr>
      <w:tr w:rsidR="003E284C" w:rsidRPr="003E284C" w14:paraId="2C6DBC9A" w14:textId="77777777" w:rsidTr="003E284C">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63E06067"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974" w:type="dxa"/>
            <w:vMerge/>
            <w:shd w:val="clear" w:color="auto" w:fill="auto"/>
          </w:tcPr>
          <w:p w14:paraId="31DF49A1"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c>
          <w:tcPr>
            <w:tcW w:w="1686" w:type="dxa"/>
            <w:shd w:val="clear" w:color="auto" w:fill="auto"/>
          </w:tcPr>
          <w:p w14:paraId="5E1862C7" w14:textId="19E39BCE" w:rsidR="00667620" w:rsidRPr="003E284C" w:rsidRDefault="00EF3FC3"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prediabetes</w:t>
            </w:r>
          </w:p>
        </w:tc>
        <w:tc>
          <w:tcPr>
            <w:tcW w:w="1026" w:type="dxa"/>
            <w:shd w:val="clear" w:color="auto" w:fill="auto"/>
          </w:tcPr>
          <w:p w14:paraId="68925C75"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6.56</w:t>
            </w:r>
          </w:p>
        </w:tc>
        <w:tc>
          <w:tcPr>
            <w:tcW w:w="1128" w:type="dxa"/>
            <w:shd w:val="clear" w:color="auto" w:fill="auto"/>
          </w:tcPr>
          <w:p w14:paraId="51F1F17C"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w:t>
            </w:r>
          </w:p>
        </w:tc>
        <w:tc>
          <w:tcPr>
            <w:tcW w:w="986" w:type="dxa"/>
            <w:shd w:val="clear" w:color="auto" w:fill="auto"/>
          </w:tcPr>
          <w:p w14:paraId="49C9FAFD"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6.56</w:t>
            </w:r>
          </w:p>
        </w:tc>
        <w:tc>
          <w:tcPr>
            <w:tcW w:w="1004" w:type="dxa"/>
            <w:shd w:val="clear" w:color="auto" w:fill="auto"/>
          </w:tcPr>
          <w:p w14:paraId="64AE86B0"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6.56</w:t>
            </w:r>
          </w:p>
        </w:tc>
        <w:tc>
          <w:tcPr>
            <w:tcW w:w="1417" w:type="dxa"/>
            <w:vMerge/>
            <w:shd w:val="clear" w:color="auto" w:fill="auto"/>
          </w:tcPr>
          <w:p w14:paraId="1671F26B"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r>
      <w:tr w:rsidR="003E284C" w:rsidRPr="003E284C" w14:paraId="1D07B99C" w14:textId="77777777" w:rsidTr="003E284C">
        <w:trPr>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08E92F99"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974" w:type="dxa"/>
            <w:vMerge/>
            <w:shd w:val="clear" w:color="auto" w:fill="auto"/>
          </w:tcPr>
          <w:p w14:paraId="74D3B747"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686" w:type="dxa"/>
            <w:shd w:val="clear" w:color="auto" w:fill="auto"/>
          </w:tcPr>
          <w:p w14:paraId="792B0F8F" w14:textId="7F04B219" w:rsidR="00667620" w:rsidRPr="003E284C" w:rsidRDefault="009B2CDE"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Sin diabetes</w:t>
            </w:r>
          </w:p>
        </w:tc>
        <w:tc>
          <w:tcPr>
            <w:tcW w:w="1026" w:type="dxa"/>
            <w:shd w:val="clear" w:color="auto" w:fill="auto"/>
          </w:tcPr>
          <w:p w14:paraId="0400C907"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6.0</w:t>
            </w:r>
          </w:p>
        </w:tc>
        <w:tc>
          <w:tcPr>
            <w:tcW w:w="1128" w:type="dxa"/>
            <w:shd w:val="clear" w:color="auto" w:fill="auto"/>
          </w:tcPr>
          <w:p w14:paraId="2D2CD08F"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1.39</w:t>
            </w:r>
          </w:p>
        </w:tc>
        <w:tc>
          <w:tcPr>
            <w:tcW w:w="986" w:type="dxa"/>
            <w:shd w:val="clear" w:color="auto" w:fill="auto"/>
          </w:tcPr>
          <w:p w14:paraId="2B49CE93"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2.6</w:t>
            </w:r>
          </w:p>
        </w:tc>
        <w:tc>
          <w:tcPr>
            <w:tcW w:w="1004" w:type="dxa"/>
            <w:shd w:val="clear" w:color="auto" w:fill="auto"/>
          </w:tcPr>
          <w:p w14:paraId="4986A1F6"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8.7</w:t>
            </w:r>
          </w:p>
        </w:tc>
        <w:tc>
          <w:tcPr>
            <w:tcW w:w="1417" w:type="dxa"/>
            <w:vMerge/>
            <w:shd w:val="clear" w:color="auto" w:fill="auto"/>
          </w:tcPr>
          <w:p w14:paraId="4D003BEC"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4B67D335" w14:textId="77777777" w:rsidTr="003E284C">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val="restart"/>
            <w:tcBorders>
              <w:left w:val="none" w:sz="0" w:space="0" w:color="auto"/>
            </w:tcBorders>
            <w:shd w:val="clear" w:color="auto" w:fill="auto"/>
          </w:tcPr>
          <w:p w14:paraId="4C68463A" w14:textId="5EEE2BE4"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C</w:t>
            </w:r>
            <w:r w:rsidR="004F3C01" w:rsidRPr="003E284C">
              <w:rPr>
                <w:rFonts w:ascii="Times New Roman" w:hAnsi="Times New Roman" w:cs="Times New Roman"/>
                <w:b w:val="0"/>
                <w:bCs w:val="0"/>
                <w:color w:val="auto"/>
                <w:sz w:val="24"/>
                <w:szCs w:val="24"/>
                <w:lang w:val="es-ES"/>
              </w:rPr>
              <w:t>ol</w:t>
            </w:r>
          </w:p>
        </w:tc>
        <w:tc>
          <w:tcPr>
            <w:tcW w:w="974" w:type="dxa"/>
            <w:vMerge w:val="restart"/>
            <w:shd w:val="clear" w:color="auto" w:fill="auto"/>
          </w:tcPr>
          <w:p w14:paraId="575AED85"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F</w:t>
            </w:r>
          </w:p>
        </w:tc>
        <w:tc>
          <w:tcPr>
            <w:tcW w:w="1686" w:type="dxa"/>
            <w:shd w:val="clear" w:color="auto" w:fill="auto"/>
          </w:tcPr>
          <w:p w14:paraId="5656E7F9" w14:textId="4276C9E3" w:rsidR="00667620" w:rsidRPr="003E284C" w:rsidRDefault="00EF3FC3"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diabetes</w:t>
            </w:r>
          </w:p>
        </w:tc>
        <w:tc>
          <w:tcPr>
            <w:tcW w:w="1026" w:type="dxa"/>
            <w:shd w:val="clear" w:color="auto" w:fill="auto"/>
          </w:tcPr>
          <w:p w14:paraId="5F0E216F"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194.85</w:t>
            </w:r>
          </w:p>
        </w:tc>
        <w:tc>
          <w:tcPr>
            <w:tcW w:w="1128" w:type="dxa"/>
            <w:shd w:val="clear" w:color="auto" w:fill="auto"/>
          </w:tcPr>
          <w:p w14:paraId="3C258155"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41.91</w:t>
            </w:r>
          </w:p>
        </w:tc>
        <w:tc>
          <w:tcPr>
            <w:tcW w:w="986" w:type="dxa"/>
            <w:shd w:val="clear" w:color="auto" w:fill="auto"/>
          </w:tcPr>
          <w:p w14:paraId="05DF63D6"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 xml:space="preserve">94 </w:t>
            </w:r>
          </w:p>
        </w:tc>
        <w:tc>
          <w:tcPr>
            <w:tcW w:w="1004" w:type="dxa"/>
            <w:shd w:val="clear" w:color="auto" w:fill="auto"/>
          </w:tcPr>
          <w:p w14:paraId="6605C6EE"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338</w:t>
            </w:r>
          </w:p>
        </w:tc>
        <w:tc>
          <w:tcPr>
            <w:tcW w:w="1417" w:type="dxa"/>
            <w:vMerge w:val="restart"/>
            <w:shd w:val="clear" w:color="auto" w:fill="auto"/>
          </w:tcPr>
          <w:p w14:paraId="06AD8F87" w14:textId="1FB3AF92"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0.011</w:t>
            </w:r>
            <w:r w:rsidR="00C80BB3" w:rsidRPr="003E284C">
              <w:rPr>
                <w:rFonts w:ascii="Times New Roman" w:hAnsi="Times New Roman" w:cs="Times New Roman"/>
                <w:sz w:val="24"/>
                <w:szCs w:val="24"/>
                <w:lang w:val="es-ES"/>
              </w:rPr>
              <w:t>1</w:t>
            </w:r>
          </w:p>
        </w:tc>
      </w:tr>
      <w:tr w:rsidR="003E284C" w:rsidRPr="003E284C" w14:paraId="4FCA95E8" w14:textId="77777777" w:rsidTr="003E284C">
        <w:trPr>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691E75B0"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974" w:type="dxa"/>
            <w:vMerge/>
            <w:shd w:val="clear" w:color="auto" w:fill="auto"/>
          </w:tcPr>
          <w:p w14:paraId="5095CE2F"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686" w:type="dxa"/>
            <w:shd w:val="clear" w:color="auto" w:fill="auto"/>
          </w:tcPr>
          <w:p w14:paraId="1E13B479" w14:textId="61AF5FD1" w:rsidR="00667620" w:rsidRPr="003E284C" w:rsidRDefault="00EF3FC3"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prediabetes</w:t>
            </w:r>
          </w:p>
        </w:tc>
        <w:tc>
          <w:tcPr>
            <w:tcW w:w="1026" w:type="dxa"/>
            <w:shd w:val="clear" w:color="auto" w:fill="auto"/>
          </w:tcPr>
          <w:p w14:paraId="74FF3FCC"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196.71</w:t>
            </w:r>
          </w:p>
        </w:tc>
        <w:tc>
          <w:tcPr>
            <w:tcW w:w="1128" w:type="dxa"/>
            <w:shd w:val="clear" w:color="auto" w:fill="auto"/>
          </w:tcPr>
          <w:p w14:paraId="7F3F7E00"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53.40</w:t>
            </w:r>
          </w:p>
        </w:tc>
        <w:tc>
          <w:tcPr>
            <w:tcW w:w="986" w:type="dxa"/>
            <w:shd w:val="clear" w:color="auto" w:fill="auto"/>
          </w:tcPr>
          <w:p w14:paraId="41D1C0CF"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116</w:t>
            </w:r>
          </w:p>
        </w:tc>
        <w:tc>
          <w:tcPr>
            <w:tcW w:w="1004" w:type="dxa"/>
            <w:shd w:val="clear" w:color="auto" w:fill="auto"/>
          </w:tcPr>
          <w:p w14:paraId="26DE93F3"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309</w:t>
            </w:r>
          </w:p>
        </w:tc>
        <w:tc>
          <w:tcPr>
            <w:tcW w:w="1417" w:type="dxa"/>
            <w:vMerge/>
            <w:shd w:val="clear" w:color="auto" w:fill="auto"/>
          </w:tcPr>
          <w:p w14:paraId="43DEA772"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1976BA7E" w14:textId="77777777" w:rsidTr="003E284C">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29E5C8CA"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974" w:type="dxa"/>
            <w:vMerge/>
            <w:shd w:val="clear" w:color="auto" w:fill="auto"/>
          </w:tcPr>
          <w:p w14:paraId="6F54A93F"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c>
          <w:tcPr>
            <w:tcW w:w="1686" w:type="dxa"/>
            <w:shd w:val="clear" w:color="auto" w:fill="auto"/>
          </w:tcPr>
          <w:p w14:paraId="1DEDDB1D" w14:textId="40CD4940" w:rsidR="00667620" w:rsidRPr="003E284C" w:rsidRDefault="009B2CDE"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Sin diabetes</w:t>
            </w:r>
          </w:p>
        </w:tc>
        <w:tc>
          <w:tcPr>
            <w:tcW w:w="1026" w:type="dxa"/>
            <w:shd w:val="clear" w:color="auto" w:fill="auto"/>
          </w:tcPr>
          <w:p w14:paraId="48FB9983"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178.69</w:t>
            </w:r>
          </w:p>
        </w:tc>
        <w:tc>
          <w:tcPr>
            <w:tcW w:w="1128" w:type="dxa"/>
            <w:shd w:val="clear" w:color="auto" w:fill="auto"/>
          </w:tcPr>
          <w:p w14:paraId="773D1658"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42.50</w:t>
            </w:r>
          </w:p>
        </w:tc>
        <w:tc>
          <w:tcPr>
            <w:tcW w:w="986" w:type="dxa"/>
            <w:shd w:val="clear" w:color="auto" w:fill="auto"/>
          </w:tcPr>
          <w:p w14:paraId="7D8F336A"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85</w:t>
            </w:r>
          </w:p>
        </w:tc>
        <w:tc>
          <w:tcPr>
            <w:tcW w:w="1004" w:type="dxa"/>
            <w:shd w:val="clear" w:color="auto" w:fill="auto"/>
          </w:tcPr>
          <w:p w14:paraId="79B456AD"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320</w:t>
            </w:r>
          </w:p>
        </w:tc>
        <w:tc>
          <w:tcPr>
            <w:tcW w:w="1417" w:type="dxa"/>
            <w:vMerge/>
            <w:shd w:val="clear" w:color="auto" w:fill="auto"/>
          </w:tcPr>
          <w:p w14:paraId="166E1DB7"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r>
      <w:tr w:rsidR="003E284C" w:rsidRPr="003E284C" w14:paraId="5AA4F3B4" w14:textId="77777777" w:rsidTr="003E284C">
        <w:trPr>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7ADD3269"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974" w:type="dxa"/>
            <w:vMerge w:val="restart"/>
            <w:shd w:val="clear" w:color="auto" w:fill="auto"/>
          </w:tcPr>
          <w:p w14:paraId="12E3E0A8"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M</w:t>
            </w:r>
          </w:p>
        </w:tc>
        <w:tc>
          <w:tcPr>
            <w:tcW w:w="1686" w:type="dxa"/>
            <w:shd w:val="clear" w:color="auto" w:fill="auto"/>
          </w:tcPr>
          <w:p w14:paraId="4B2E3FE8" w14:textId="2B318669" w:rsidR="00667620" w:rsidRPr="003E284C" w:rsidRDefault="00EF3FC3"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diabetes</w:t>
            </w:r>
          </w:p>
        </w:tc>
        <w:tc>
          <w:tcPr>
            <w:tcW w:w="1026" w:type="dxa"/>
            <w:shd w:val="clear" w:color="auto" w:fill="auto"/>
          </w:tcPr>
          <w:p w14:paraId="48568DEF"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184.40</w:t>
            </w:r>
          </w:p>
        </w:tc>
        <w:tc>
          <w:tcPr>
            <w:tcW w:w="1128" w:type="dxa"/>
            <w:shd w:val="clear" w:color="auto" w:fill="auto"/>
          </w:tcPr>
          <w:p w14:paraId="3B8FDDD2"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50.41</w:t>
            </w:r>
          </w:p>
        </w:tc>
        <w:tc>
          <w:tcPr>
            <w:tcW w:w="986" w:type="dxa"/>
            <w:shd w:val="clear" w:color="auto" w:fill="auto"/>
          </w:tcPr>
          <w:p w14:paraId="193D8C85"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109</w:t>
            </w:r>
          </w:p>
        </w:tc>
        <w:tc>
          <w:tcPr>
            <w:tcW w:w="1004" w:type="dxa"/>
            <w:shd w:val="clear" w:color="auto" w:fill="auto"/>
          </w:tcPr>
          <w:p w14:paraId="69448BE0"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404</w:t>
            </w:r>
          </w:p>
        </w:tc>
        <w:tc>
          <w:tcPr>
            <w:tcW w:w="1417" w:type="dxa"/>
            <w:vMerge w:val="restart"/>
            <w:shd w:val="clear" w:color="auto" w:fill="auto"/>
          </w:tcPr>
          <w:p w14:paraId="05B70E1C" w14:textId="531C976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0.30</w:t>
            </w:r>
            <w:r w:rsidR="00C80BB3" w:rsidRPr="003E284C">
              <w:rPr>
                <w:rFonts w:ascii="Times New Roman" w:hAnsi="Times New Roman" w:cs="Times New Roman"/>
                <w:sz w:val="24"/>
                <w:szCs w:val="24"/>
                <w:lang w:val="es-ES"/>
              </w:rPr>
              <w:t>00</w:t>
            </w:r>
          </w:p>
        </w:tc>
      </w:tr>
      <w:tr w:rsidR="003E284C" w:rsidRPr="003E284C" w14:paraId="0FB71A57" w14:textId="77777777" w:rsidTr="003E284C">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05262EB0"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974" w:type="dxa"/>
            <w:vMerge/>
            <w:shd w:val="clear" w:color="auto" w:fill="auto"/>
          </w:tcPr>
          <w:p w14:paraId="24D9D7CD"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c>
          <w:tcPr>
            <w:tcW w:w="1686" w:type="dxa"/>
            <w:shd w:val="clear" w:color="auto" w:fill="auto"/>
          </w:tcPr>
          <w:p w14:paraId="5438A059" w14:textId="00E9031B" w:rsidR="00667620" w:rsidRPr="003E284C" w:rsidRDefault="00EF3FC3"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prediabetes</w:t>
            </w:r>
          </w:p>
        </w:tc>
        <w:tc>
          <w:tcPr>
            <w:tcW w:w="1026" w:type="dxa"/>
            <w:shd w:val="clear" w:color="auto" w:fill="auto"/>
          </w:tcPr>
          <w:p w14:paraId="1B6C5E1C"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132</w:t>
            </w:r>
          </w:p>
        </w:tc>
        <w:tc>
          <w:tcPr>
            <w:tcW w:w="1128" w:type="dxa"/>
            <w:shd w:val="clear" w:color="auto" w:fill="auto"/>
          </w:tcPr>
          <w:p w14:paraId="2763219A"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w:t>
            </w:r>
          </w:p>
        </w:tc>
        <w:tc>
          <w:tcPr>
            <w:tcW w:w="986" w:type="dxa"/>
            <w:shd w:val="clear" w:color="auto" w:fill="auto"/>
          </w:tcPr>
          <w:p w14:paraId="210CEB16"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132</w:t>
            </w:r>
          </w:p>
        </w:tc>
        <w:tc>
          <w:tcPr>
            <w:tcW w:w="1004" w:type="dxa"/>
            <w:shd w:val="clear" w:color="auto" w:fill="auto"/>
          </w:tcPr>
          <w:p w14:paraId="07A3722E"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132</w:t>
            </w:r>
          </w:p>
        </w:tc>
        <w:tc>
          <w:tcPr>
            <w:tcW w:w="1417" w:type="dxa"/>
            <w:vMerge/>
            <w:shd w:val="clear" w:color="auto" w:fill="auto"/>
          </w:tcPr>
          <w:p w14:paraId="245FF141"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r>
      <w:tr w:rsidR="003E284C" w:rsidRPr="003E284C" w14:paraId="6EAE67A5" w14:textId="77777777" w:rsidTr="003E284C">
        <w:trPr>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7E7A3945"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974" w:type="dxa"/>
            <w:vMerge/>
            <w:shd w:val="clear" w:color="auto" w:fill="auto"/>
          </w:tcPr>
          <w:p w14:paraId="31F3F8B7"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686" w:type="dxa"/>
            <w:shd w:val="clear" w:color="auto" w:fill="auto"/>
          </w:tcPr>
          <w:p w14:paraId="779946A4" w14:textId="058EB2D8" w:rsidR="00667620" w:rsidRPr="003E284C" w:rsidRDefault="009B2CDE"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Sin diabetes</w:t>
            </w:r>
          </w:p>
        </w:tc>
        <w:tc>
          <w:tcPr>
            <w:tcW w:w="1026" w:type="dxa"/>
            <w:shd w:val="clear" w:color="auto" w:fill="auto"/>
          </w:tcPr>
          <w:p w14:paraId="4E37EA54"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173.73</w:t>
            </w:r>
          </w:p>
        </w:tc>
        <w:tc>
          <w:tcPr>
            <w:tcW w:w="1128" w:type="dxa"/>
            <w:shd w:val="clear" w:color="auto" w:fill="auto"/>
          </w:tcPr>
          <w:p w14:paraId="52256FF5"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35.99</w:t>
            </w:r>
          </w:p>
        </w:tc>
        <w:tc>
          <w:tcPr>
            <w:tcW w:w="986" w:type="dxa"/>
            <w:shd w:val="clear" w:color="auto" w:fill="auto"/>
          </w:tcPr>
          <w:p w14:paraId="0144E2DF"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120</w:t>
            </w:r>
          </w:p>
        </w:tc>
        <w:tc>
          <w:tcPr>
            <w:tcW w:w="1004" w:type="dxa"/>
            <w:shd w:val="clear" w:color="auto" w:fill="auto"/>
          </w:tcPr>
          <w:p w14:paraId="4AC048D2"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259</w:t>
            </w:r>
          </w:p>
        </w:tc>
        <w:tc>
          <w:tcPr>
            <w:tcW w:w="1417" w:type="dxa"/>
            <w:vMerge/>
            <w:shd w:val="clear" w:color="auto" w:fill="auto"/>
          </w:tcPr>
          <w:p w14:paraId="4DB688E4"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7791EC9C" w14:textId="77777777" w:rsidTr="003E284C">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val="restart"/>
            <w:tcBorders>
              <w:left w:val="none" w:sz="0" w:space="0" w:color="auto"/>
            </w:tcBorders>
            <w:shd w:val="clear" w:color="auto" w:fill="auto"/>
          </w:tcPr>
          <w:p w14:paraId="33CB1675" w14:textId="1604BA1D" w:rsidR="00667620" w:rsidRPr="003E284C" w:rsidRDefault="004F3C01"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roofErr w:type="spellStart"/>
            <w:r w:rsidRPr="003E284C">
              <w:rPr>
                <w:rFonts w:ascii="Times New Roman" w:hAnsi="Times New Roman" w:cs="Times New Roman"/>
                <w:b w:val="0"/>
                <w:bCs w:val="0"/>
                <w:color w:val="auto"/>
                <w:sz w:val="24"/>
                <w:szCs w:val="24"/>
                <w:lang w:val="es-ES"/>
              </w:rPr>
              <w:t>Trig</w:t>
            </w:r>
            <w:proofErr w:type="spellEnd"/>
          </w:p>
        </w:tc>
        <w:tc>
          <w:tcPr>
            <w:tcW w:w="974" w:type="dxa"/>
            <w:vMerge w:val="restart"/>
            <w:shd w:val="clear" w:color="auto" w:fill="auto"/>
          </w:tcPr>
          <w:p w14:paraId="1129678A"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F</w:t>
            </w:r>
          </w:p>
        </w:tc>
        <w:tc>
          <w:tcPr>
            <w:tcW w:w="1686" w:type="dxa"/>
            <w:shd w:val="clear" w:color="auto" w:fill="auto"/>
          </w:tcPr>
          <w:p w14:paraId="7C75D539" w14:textId="6903F44F" w:rsidR="00667620" w:rsidRPr="003E284C" w:rsidRDefault="00EF3FC3"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diabetes</w:t>
            </w:r>
          </w:p>
        </w:tc>
        <w:tc>
          <w:tcPr>
            <w:tcW w:w="1026" w:type="dxa"/>
            <w:shd w:val="clear" w:color="auto" w:fill="auto"/>
          </w:tcPr>
          <w:p w14:paraId="4F81DF78"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223.11</w:t>
            </w:r>
          </w:p>
        </w:tc>
        <w:tc>
          <w:tcPr>
            <w:tcW w:w="1128" w:type="dxa"/>
            <w:shd w:val="clear" w:color="auto" w:fill="auto"/>
          </w:tcPr>
          <w:p w14:paraId="4466F0DC"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225.35</w:t>
            </w:r>
          </w:p>
        </w:tc>
        <w:tc>
          <w:tcPr>
            <w:tcW w:w="986" w:type="dxa"/>
            <w:shd w:val="clear" w:color="auto" w:fill="auto"/>
          </w:tcPr>
          <w:p w14:paraId="3C3301D6"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51</w:t>
            </w:r>
          </w:p>
        </w:tc>
        <w:tc>
          <w:tcPr>
            <w:tcW w:w="1004" w:type="dxa"/>
            <w:shd w:val="clear" w:color="auto" w:fill="auto"/>
          </w:tcPr>
          <w:p w14:paraId="0BDA4763"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1957</w:t>
            </w:r>
          </w:p>
        </w:tc>
        <w:tc>
          <w:tcPr>
            <w:tcW w:w="1417" w:type="dxa"/>
            <w:vMerge w:val="restart"/>
            <w:shd w:val="clear" w:color="auto" w:fill="auto"/>
          </w:tcPr>
          <w:p w14:paraId="4FF14FDF" w14:textId="0C22E799"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0.13</w:t>
            </w:r>
            <w:r w:rsidR="00C46200" w:rsidRPr="003E284C">
              <w:rPr>
                <w:rFonts w:ascii="Times New Roman" w:hAnsi="Times New Roman" w:cs="Times New Roman"/>
                <w:sz w:val="24"/>
                <w:szCs w:val="24"/>
                <w:lang w:val="es-ES"/>
              </w:rPr>
              <w:t>82</w:t>
            </w:r>
          </w:p>
        </w:tc>
      </w:tr>
      <w:tr w:rsidR="003E284C" w:rsidRPr="003E284C" w14:paraId="4CA1FACF" w14:textId="77777777" w:rsidTr="003E284C">
        <w:trPr>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342F0B44"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974" w:type="dxa"/>
            <w:vMerge/>
            <w:shd w:val="clear" w:color="auto" w:fill="auto"/>
          </w:tcPr>
          <w:p w14:paraId="0BD00D71"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686" w:type="dxa"/>
            <w:shd w:val="clear" w:color="auto" w:fill="auto"/>
          </w:tcPr>
          <w:p w14:paraId="47A06471" w14:textId="2B2F520D" w:rsidR="00667620" w:rsidRPr="003E284C" w:rsidRDefault="00EF3FC3"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prediabetes</w:t>
            </w:r>
          </w:p>
        </w:tc>
        <w:tc>
          <w:tcPr>
            <w:tcW w:w="1026" w:type="dxa"/>
            <w:shd w:val="clear" w:color="auto" w:fill="auto"/>
          </w:tcPr>
          <w:p w14:paraId="6F3A2C53"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200.5</w:t>
            </w:r>
          </w:p>
        </w:tc>
        <w:tc>
          <w:tcPr>
            <w:tcW w:w="1128" w:type="dxa"/>
            <w:shd w:val="clear" w:color="auto" w:fill="auto"/>
          </w:tcPr>
          <w:p w14:paraId="25C34DDC"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117.38</w:t>
            </w:r>
          </w:p>
        </w:tc>
        <w:tc>
          <w:tcPr>
            <w:tcW w:w="986" w:type="dxa"/>
            <w:shd w:val="clear" w:color="auto" w:fill="auto"/>
          </w:tcPr>
          <w:p w14:paraId="508EC55E"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43</w:t>
            </w:r>
          </w:p>
        </w:tc>
        <w:tc>
          <w:tcPr>
            <w:tcW w:w="1004" w:type="dxa"/>
            <w:shd w:val="clear" w:color="auto" w:fill="auto"/>
          </w:tcPr>
          <w:p w14:paraId="103675D4"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468</w:t>
            </w:r>
          </w:p>
        </w:tc>
        <w:tc>
          <w:tcPr>
            <w:tcW w:w="1417" w:type="dxa"/>
            <w:vMerge/>
            <w:shd w:val="clear" w:color="auto" w:fill="auto"/>
          </w:tcPr>
          <w:p w14:paraId="1452EEDB"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61FF3AD2" w14:textId="77777777" w:rsidTr="003E284C">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7D1FBA53"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974" w:type="dxa"/>
            <w:vMerge/>
            <w:shd w:val="clear" w:color="auto" w:fill="auto"/>
          </w:tcPr>
          <w:p w14:paraId="453C0E45"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c>
          <w:tcPr>
            <w:tcW w:w="1686" w:type="dxa"/>
            <w:shd w:val="clear" w:color="auto" w:fill="auto"/>
          </w:tcPr>
          <w:p w14:paraId="2BFC3A52" w14:textId="0C78DD5F" w:rsidR="00667620" w:rsidRPr="003E284C" w:rsidRDefault="009B2CDE"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Sin diabetes</w:t>
            </w:r>
          </w:p>
        </w:tc>
        <w:tc>
          <w:tcPr>
            <w:tcW w:w="1026" w:type="dxa"/>
            <w:shd w:val="clear" w:color="auto" w:fill="auto"/>
          </w:tcPr>
          <w:p w14:paraId="065619AF"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176.76</w:t>
            </w:r>
          </w:p>
        </w:tc>
        <w:tc>
          <w:tcPr>
            <w:tcW w:w="1128" w:type="dxa"/>
            <w:shd w:val="clear" w:color="auto" w:fill="auto"/>
          </w:tcPr>
          <w:p w14:paraId="30240366"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101.63</w:t>
            </w:r>
          </w:p>
        </w:tc>
        <w:tc>
          <w:tcPr>
            <w:tcW w:w="986" w:type="dxa"/>
            <w:shd w:val="clear" w:color="auto" w:fill="auto"/>
          </w:tcPr>
          <w:p w14:paraId="70A33C10"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48</w:t>
            </w:r>
          </w:p>
        </w:tc>
        <w:tc>
          <w:tcPr>
            <w:tcW w:w="1004" w:type="dxa"/>
            <w:shd w:val="clear" w:color="auto" w:fill="auto"/>
          </w:tcPr>
          <w:p w14:paraId="4144341D"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690</w:t>
            </w:r>
          </w:p>
        </w:tc>
        <w:tc>
          <w:tcPr>
            <w:tcW w:w="1417" w:type="dxa"/>
            <w:vMerge/>
            <w:shd w:val="clear" w:color="auto" w:fill="auto"/>
          </w:tcPr>
          <w:p w14:paraId="70901193"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r>
      <w:tr w:rsidR="003E284C" w:rsidRPr="003E284C" w14:paraId="19DD236B" w14:textId="77777777" w:rsidTr="003E284C">
        <w:trPr>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17808566"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974" w:type="dxa"/>
            <w:vMerge w:val="restart"/>
            <w:shd w:val="clear" w:color="auto" w:fill="auto"/>
          </w:tcPr>
          <w:p w14:paraId="388A5E3D"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M</w:t>
            </w:r>
          </w:p>
        </w:tc>
        <w:tc>
          <w:tcPr>
            <w:tcW w:w="1686" w:type="dxa"/>
            <w:shd w:val="clear" w:color="auto" w:fill="auto"/>
          </w:tcPr>
          <w:p w14:paraId="2F4E2F3D" w14:textId="41608623" w:rsidR="00667620" w:rsidRPr="003E284C" w:rsidRDefault="00EF3FC3"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diabetes</w:t>
            </w:r>
          </w:p>
        </w:tc>
        <w:tc>
          <w:tcPr>
            <w:tcW w:w="1026" w:type="dxa"/>
            <w:shd w:val="clear" w:color="auto" w:fill="auto"/>
          </w:tcPr>
          <w:p w14:paraId="65771245"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213.73</w:t>
            </w:r>
          </w:p>
        </w:tc>
        <w:tc>
          <w:tcPr>
            <w:tcW w:w="1128" w:type="dxa"/>
            <w:shd w:val="clear" w:color="auto" w:fill="auto"/>
          </w:tcPr>
          <w:p w14:paraId="2404DC7A"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261.93</w:t>
            </w:r>
          </w:p>
        </w:tc>
        <w:tc>
          <w:tcPr>
            <w:tcW w:w="986" w:type="dxa"/>
            <w:shd w:val="clear" w:color="auto" w:fill="auto"/>
          </w:tcPr>
          <w:p w14:paraId="698AEE03"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40</w:t>
            </w:r>
          </w:p>
        </w:tc>
        <w:tc>
          <w:tcPr>
            <w:tcW w:w="1004" w:type="dxa"/>
            <w:shd w:val="clear" w:color="auto" w:fill="auto"/>
          </w:tcPr>
          <w:p w14:paraId="11D9E40D"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950</w:t>
            </w:r>
          </w:p>
        </w:tc>
        <w:tc>
          <w:tcPr>
            <w:tcW w:w="1417" w:type="dxa"/>
            <w:vMerge w:val="restart"/>
            <w:shd w:val="clear" w:color="auto" w:fill="auto"/>
          </w:tcPr>
          <w:p w14:paraId="6F0E7CF8" w14:textId="77EFED75"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0.87</w:t>
            </w:r>
            <w:r w:rsidR="00C80BB3" w:rsidRPr="003E284C">
              <w:rPr>
                <w:rFonts w:ascii="Times New Roman" w:hAnsi="Times New Roman" w:cs="Times New Roman"/>
                <w:sz w:val="24"/>
                <w:szCs w:val="24"/>
                <w:lang w:val="es-ES"/>
              </w:rPr>
              <w:t>43</w:t>
            </w:r>
          </w:p>
        </w:tc>
      </w:tr>
      <w:tr w:rsidR="003E284C" w:rsidRPr="003E284C" w14:paraId="6DA295C7" w14:textId="77777777" w:rsidTr="003E284C">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53A473F2"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974" w:type="dxa"/>
            <w:vMerge/>
            <w:shd w:val="clear" w:color="auto" w:fill="auto"/>
          </w:tcPr>
          <w:p w14:paraId="6700EDF8"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c>
          <w:tcPr>
            <w:tcW w:w="1686" w:type="dxa"/>
            <w:shd w:val="clear" w:color="auto" w:fill="auto"/>
          </w:tcPr>
          <w:p w14:paraId="29B621E1" w14:textId="01759DCA" w:rsidR="00667620" w:rsidRPr="003E284C" w:rsidRDefault="00EF3FC3"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prediabetes</w:t>
            </w:r>
          </w:p>
        </w:tc>
        <w:tc>
          <w:tcPr>
            <w:tcW w:w="1026" w:type="dxa"/>
            <w:shd w:val="clear" w:color="auto" w:fill="auto"/>
          </w:tcPr>
          <w:p w14:paraId="4B3E85F6"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281</w:t>
            </w:r>
          </w:p>
        </w:tc>
        <w:tc>
          <w:tcPr>
            <w:tcW w:w="1128" w:type="dxa"/>
            <w:shd w:val="clear" w:color="auto" w:fill="auto"/>
          </w:tcPr>
          <w:p w14:paraId="38A60450"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w:t>
            </w:r>
          </w:p>
        </w:tc>
        <w:tc>
          <w:tcPr>
            <w:tcW w:w="986" w:type="dxa"/>
            <w:shd w:val="clear" w:color="auto" w:fill="auto"/>
          </w:tcPr>
          <w:p w14:paraId="540031A6"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281</w:t>
            </w:r>
          </w:p>
        </w:tc>
        <w:tc>
          <w:tcPr>
            <w:tcW w:w="1004" w:type="dxa"/>
            <w:shd w:val="clear" w:color="auto" w:fill="auto"/>
          </w:tcPr>
          <w:p w14:paraId="267D9D2D"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281</w:t>
            </w:r>
          </w:p>
        </w:tc>
        <w:tc>
          <w:tcPr>
            <w:tcW w:w="1417" w:type="dxa"/>
            <w:vMerge/>
            <w:shd w:val="clear" w:color="auto" w:fill="auto"/>
          </w:tcPr>
          <w:p w14:paraId="3C038218"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r>
      <w:tr w:rsidR="003E284C" w:rsidRPr="003E284C" w14:paraId="68C971B6" w14:textId="77777777" w:rsidTr="003E284C">
        <w:trPr>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1158E2F0"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974" w:type="dxa"/>
            <w:vMerge/>
            <w:shd w:val="clear" w:color="auto" w:fill="auto"/>
          </w:tcPr>
          <w:p w14:paraId="1A06DD8B"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686" w:type="dxa"/>
            <w:shd w:val="clear" w:color="auto" w:fill="auto"/>
          </w:tcPr>
          <w:p w14:paraId="146DD47F" w14:textId="7F707A29" w:rsidR="00667620" w:rsidRPr="003E284C" w:rsidRDefault="009B2CDE"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Sin diabetes</w:t>
            </w:r>
          </w:p>
        </w:tc>
        <w:tc>
          <w:tcPr>
            <w:tcW w:w="1026" w:type="dxa"/>
            <w:shd w:val="clear" w:color="auto" w:fill="auto"/>
          </w:tcPr>
          <w:p w14:paraId="547DCC0D"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196.59</w:t>
            </w:r>
          </w:p>
        </w:tc>
        <w:tc>
          <w:tcPr>
            <w:tcW w:w="1128" w:type="dxa"/>
            <w:shd w:val="clear" w:color="auto" w:fill="auto"/>
          </w:tcPr>
          <w:p w14:paraId="7909E63C"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135.56</w:t>
            </w:r>
          </w:p>
        </w:tc>
        <w:tc>
          <w:tcPr>
            <w:tcW w:w="986" w:type="dxa"/>
            <w:shd w:val="clear" w:color="auto" w:fill="auto"/>
          </w:tcPr>
          <w:p w14:paraId="0BD291FF"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60</w:t>
            </w:r>
          </w:p>
        </w:tc>
        <w:tc>
          <w:tcPr>
            <w:tcW w:w="1004" w:type="dxa"/>
            <w:shd w:val="clear" w:color="auto" w:fill="auto"/>
          </w:tcPr>
          <w:p w14:paraId="2837A367"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660</w:t>
            </w:r>
          </w:p>
        </w:tc>
        <w:tc>
          <w:tcPr>
            <w:tcW w:w="1417" w:type="dxa"/>
            <w:vMerge/>
            <w:shd w:val="clear" w:color="auto" w:fill="auto"/>
          </w:tcPr>
          <w:p w14:paraId="79846FFF"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682EDA0F" w14:textId="77777777" w:rsidTr="003E284C">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val="restart"/>
            <w:tcBorders>
              <w:left w:val="none" w:sz="0" w:space="0" w:color="auto"/>
            </w:tcBorders>
            <w:shd w:val="clear" w:color="auto" w:fill="auto"/>
          </w:tcPr>
          <w:p w14:paraId="131C3880" w14:textId="77777777" w:rsidR="00667620" w:rsidRPr="003E284C" w:rsidRDefault="00667620" w:rsidP="00C0012D">
            <w:pPr>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IA</w:t>
            </w:r>
          </w:p>
          <w:p w14:paraId="3CB030C3" w14:textId="77777777" w:rsidR="00667620" w:rsidRPr="003E284C" w:rsidRDefault="00667620" w:rsidP="00C0012D">
            <w:pPr>
              <w:rPr>
                <w:rFonts w:ascii="Times New Roman" w:hAnsi="Times New Roman" w:cs="Times New Roman"/>
                <w:b w:val="0"/>
                <w:bCs w:val="0"/>
                <w:color w:val="auto"/>
                <w:sz w:val="24"/>
                <w:szCs w:val="24"/>
                <w:lang w:val="es-ES"/>
              </w:rPr>
            </w:pPr>
          </w:p>
          <w:p w14:paraId="4E4B6D66" w14:textId="77777777" w:rsidR="00667620" w:rsidRPr="003E284C" w:rsidRDefault="00667620" w:rsidP="00C0012D">
            <w:pPr>
              <w:rPr>
                <w:rFonts w:ascii="Times New Roman" w:hAnsi="Times New Roman" w:cs="Times New Roman"/>
                <w:b w:val="0"/>
                <w:bCs w:val="0"/>
                <w:color w:val="auto"/>
                <w:sz w:val="24"/>
                <w:szCs w:val="24"/>
                <w:lang w:val="es-ES"/>
              </w:rPr>
            </w:pPr>
          </w:p>
          <w:p w14:paraId="3EB0C39D" w14:textId="77777777" w:rsidR="00667620" w:rsidRPr="003E284C" w:rsidRDefault="00667620" w:rsidP="00C0012D">
            <w:pPr>
              <w:rPr>
                <w:rFonts w:ascii="Times New Roman" w:hAnsi="Times New Roman" w:cs="Times New Roman"/>
                <w:b w:val="0"/>
                <w:bCs w:val="0"/>
                <w:color w:val="auto"/>
                <w:sz w:val="24"/>
                <w:szCs w:val="24"/>
                <w:lang w:val="es-ES"/>
              </w:rPr>
            </w:pPr>
          </w:p>
          <w:p w14:paraId="1E4D248C" w14:textId="77777777" w:rsidR="00667620" w:rsidRPr="003E284C" w:rsidRDefault="00667620" w:rsidP="00C0012D">
            <w:pPr>
              <w:rPr>
                <w:rFonts w:ascii="Times New Roman" w:hAnsi="Times New Roman" w:cs="Times New Roman"/>
                <w:b w:val="0"/>
                <w:bCs w:val="0"/>
                <w:color w:val="auto"/>
                <w:sz w:val="24"/>
                <w:szCs w:val="24"/>
                <w:lang w:val="es-ES"/>
              </w:rPr>
            </w:pPr>
          </w:p>
          <w:p w14:paraId="107FBF6B" w14:textId="77777777" w:rsidR="00667620" w:rsidRPr="003E284C" w:rsidRDefault="00667620" w:rsidP="00C0012D">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974" w:type="dxa"/>
            <w:vMerge w:val="restart"/>
            <w:shd w:val="clear" w:color="auto" w:fill="auto"/>
          </w:tcPr>
          <w:p w14:paraId="0FDF13F6"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F</w:t>
            </w:r>
          </w:p>
        </w:tc>
        <w:tc>
          <w:tcPr>
            <w:tcW w:w="1686" w:type="dxa"/>
            <w:shd w:val="clear" w:color="auto" w:fill="auto"/>
          </w:tcPr>
          <w:p w14:paraId="7C0D7EA8" w14:textId="6CCD3862" w:rsidR="00667620" w:rsidRPr="003E284C" w:rsidRDefault="00EF3FC3"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diabetes</w:t>
            </w:r>
          </w:p>
        </w:tc>
        <w:tc>
          <w:tcPr>
            <w:tcW w:w="1026" w:type="dxa"/>
            <w:shd w:val="clear" w:color="auto" w:fill="auto"/>
          </w:tcPr>
          <w:p w14:paraId="2CC0FF60"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4.42</w:t>
            </w:r>
          </w:p>
        </w:tc>
        <w:tc>
          <w:tcPr>
            <w:tcW w:w="1128" w:type="dxa"/>
            <w:shd w:val="clear" w:color="auto" w:fill="auto"/>
          </w:tcPr>
          <w:p w14:paraId="0311C199"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1.36</w:t>
            </w:r>
          </w:p>
        </w:tc>
        <w:tc>
          <w:tcPr>
            <w:tcW w:w="986" w:type="dxa"/>
            <w:shd w:val="clear" w:color="auto" w:fill="auto"/>
          </w:tcPr>
          <w:p w14:paraId="5B3CB524"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1.8</w:t>
            </w:r>
          </w:p>
        </w:tc>
        <w:tc>
          <w:tcPr>
            <w:tcW w:w="1004" w:type="dxa"/>
            <w:shd w:val="clear" w:color="auto" w:fill="auto"/>
          </w:tcPr>
          <w:p w14:paraId="42FE0683"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11.2</w:t>
            </w:r>
          </w:p>
        </w:tc>
        <w:tc>
          <w:tcPr>
            <w:tcW w:w="1417" w:type="dxa"/>
            <w:vMerge w:val="restart"/>
            <w:shd w:val="clear" w:color="auto" w:fill="auto"/>
          </w:tcPr>
          <w:p w14:paraId="264CB7AB" w14:textId="68C44B7F"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0.37</w:t>
            </w:r>
            <w:r w:rsidR="00C46200" w:rsidRPr="003E284C">
              <w:rPr>
                <w:rFonts w:ascii="Times New Roman" w:hAnsi="Times New Roman" w:cs="Times New Roman"/>
                <w:sz w:val="24"/>
                <w:szCs w:val="24"/>
                <w:lang w:val="es-ES"/>
              </w:rPr>
              <w:t>23</w:t>
            </w:r>
          </w:p>
        </w:tc>
      </w:tr>
      <w:tr w:rsidR="003E284C" w:rsidRPr="003E284C" w14:paraId="2DA09253" w14:textId="77777777" w:rsidTr="003E284C">
        <w:trPr>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68706177" w14:textId="77777777" w:rsidR="00667620" w:rsidRPr="003E284C" w:rsidRDefault="00667620" w:rsidP="00C0012D">
            <w:pPr>
              <w:rPr>
                <w:rFonts w:ascii="Times New Roman" w:hAnsi="Times New Roman" w:cs="Times New Roman"/>
                <w:b w:val="0"/>
                <w:bCs w:val="0"/>
                <w:color w:val="auto"/>
                <w:sz w:val="24"/>
                <w:szCs w:val="24"/>
                <w:lang w:val="es-ES"/>
              </w:rPr>
            </w:pPr>
          </w:p>
        </w:tc>
        <w:tc>
          <w:tcPr>
            <w:tcW w:w="974" w:type="dxa"/>
            <w:vMerge/>
            <w:shd w:val="clear" w:color="auto" w:fill="auto"/>
          </w:tcPr>
          <w:p w14:paraId="3A580146"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686" w:type="dxa"/>
            <w:shd w:val="clear" w:color="auto" w:fill="auto"/>
          </w:tcPr>
          <w:p w14:paraId="5D35BB9C" w14:textId="432CBB54" w:rsidR="00667620" w:rsidRPr="003E284C" w:rsidRDefault="00EF3FC3"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prediabetes</w:t>
            </w:r>
          </w:p>
        </w:tc>
        <w:tc>
          <w:tcPr>
            <w:tcW w:w="1026" w:type="dxa"/>
            <w:shd w:val="clear" w:color="auto" w:fill="auto"/>
          </w:tcPr>
          <w:p w14:paraId="716B4010"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4.48</w:t>
            </w:r>
          </w:p>
        </w:tc>
        <w:tc>
          <w:tcPr>
            <w:tcW w:w="1128" w:type="dxa"/>
            <w:shd w:val="clear" w:color="auto" w:fill="auto"/>
          </w:tcPr>
          <w:p w14:paraId="3A859156"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1.40</w:t>
            </w:r>
          </w:p>
        </w:tc>
        <w:tc>
          <w:tcPr>
            <w:tcW w:w="986" w:type="dxa"/>
            <w:shd w:val="clear" w:color="auto" w:fill="auto"/>
          </w:tcPr>
          <w:p w14:paraId="31255CE5"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2.1</w:t>
            </w:r>
          </w:p>
        </w:tc>
        <w:tc>
          <w:tcPr>
            <w:tcW w:w="1004" w:type="dxa"/>
            <w:shd w:val="clear" w:color="auto" w:fill="auto"/>
          </w:tcPr>
          <w:p w14:paraId="01699011"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7.4</w:t>
            </w:r>
          </w:p>
        </w:tc>
        <w:tc>
          <w:tcPr>
            <w:tcW w:w="1417" w:type="dxa"/>
            <w:vMerge/>
            <w:shd w:val="clear" w:color="auto" w:fill="auto"/>
          </w:tcPr>
          <w:p w14:paraId="49C88B9B"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7C08B0E4" w14:textId="77777777" w:rsidTr="003E284C">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041A575E" w14:textId="77777777" w:rsidR="00667620" w:rsidRPr="003E284C" w:rsidRDefault="00667620" w:rsidP="00C0012D">
            <w:pPr>
              <w:rPr>
                <w:rFonts w:ascii="Times New Roman" w:hAnsi="Times New Roman" w:cs="Times New Roman"/>
                <w:b w:val="0"/>
                <w:bCs w:val="0"/>
                <w:color w:val="auto"/>
                <w:sz w:val="24"/>
                <w:szCs w:val="24"/>
                <w:lang w:val="es-ES"/>
              </w:rPr>
            </w:pPr>
          </w:p>
        </w:tc>
        <w:tc>
          <w:tcPr>
            <w:tcW w:w="974" w:type="dxa"/>
            <w:vMerge/>
            <w:shd w:val="clear" w:color="auto" w:fill="auto"/>
          </w:tcPr>
          <w:p w14:paraId="01966321"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c>
          <w:tcPr>
            <w:tcW w:w="1686" w:type="dxa"/>
            <w:shd w:val="clear" w:color="auto" w:fill="auto"/>
          </w:tcPr>
          <w:p w14:paraId="0165A263" w14:textId="1E688B50" w:rsidR="00667620" w:rsidRPr="003E284C" w:rsidRDefault="009B2CDE"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Sin diabetes</w:t>
            </w:r>
          </w:p>
        </w:tc>
        <w:tc>
          <w:tcPr>
            <w:tcW w:w="1026" w:type="dxa"/>
            <w:shd w:val="clear" w:color="auto" w:fill="auto"/>
          </w:tcPr>
          <w:p w14:paraId="331368B0"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4.20</w:t>
            </w:r>
          </w:p>
        </w:tc>
        <w:tc>
          <w:tcPr>
            <w:tcW w:w="1128" w:type="dxa"/>
            <w:shd w:val="clear" w:color="auto" w:fill="auto"/>
          </w:tcPr>
          <w:p w14:paraId="0AA3FA2C"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1.23</w:t>
            </w:r>
          </w:p>
        </w:tc>
        <w:tc>
          <w:tcPr>
            <w:tcW w:w="986" w:type="dxa"/>
            <w:shd w:val="clear" w:color="auto" w:fill="auto"/>
          </w:tcPr>
          <w:p w14:paraId="4FC12716"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1.8</w:t>
            </w:r>
          </w:p>
        </w:tc>
        <w:tc>
          <w:tcPr>
            <w:tcW w:w="1004" w:type="dxa"/>
            <w:shd w:val="clear" w:color="auto" w:fill="auto"/>
          </w:tcPr>
          <w:p w14:paraId="400568EC"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7.6</w:t>
            </w:r>
          </w:p>
        </w:tc>
        <w:tc>
          <w:tcPr>
            <w:tcW w:w="1417" w:type="dxa"/>
            <w:vMerge/>
            <w:shd w:val="clear" w:color="auto" w:fill="auto"/>
          </w:tcPr>
          <w:p w14:paraId="2A96F383"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r>
      <w:tr w:rsidR="003E284C" w:rsidRPr="003E284C" w14:paraId="3B0AEFD1" w14:textId="77777777" w:rsidTr="003E284C">
        <w:trPr>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747725E4" w14:textId="77777777" w:rsidR="00667620" w:rsidRPr="003E284C" w:rsidRDefault="00667620" w:rsidP="00C0012D">
            <w:pPr>
              <w:rPr>
                <w:rFonts w:ascii="Times New Roman" w:hAnsi="Times New Roman" w:cs="Times New Roman"/>
                <w:b w:val="0"/>
                <w:bCs w:val="0"/>
                <w:color w:val="auto"/>
                <w:sz w:val="24"/>
                <w:szCs w:val="24"/>
                <w:lang w:val="es-ES"/>
              </w:rPr>
            </w:pPr>
          </w:p>
        </w:tc>
        <w:tc>
          <w:tcPr>
            <w:tcW w:w="974" w:type="dxa"/>
            <w:vMerge w:val="restart"/>
            <w:shd w:val="clear" w:color="auto" w:fill="auto"/>
          </w:tcPr>
          <w:p w14:paraId="19F5A0D4"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M</w:t>
            </w:r>
          </w:p>
        </w:tc>
        <w:tc>
          <w:tcPr>
            <w:tcW w:w="1686" w:type="dxa"/>
            <w:shd w:val="clear" w:color="auto" w:fill="auto"/>
          </w:tcPr>
          <w:p w14:paraId="7F27A85F" w14:textId="7A4BECF3" w:rsidR="00667620" w:rsidRPr="003E284C" w:rsidRDefault="00EF3FC3"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diabetes</w:t>
            </w:r>
          </w:p>
        </w:tc>
        <w:tc>
          <w:tcPr>
            <w:tcW w:w="1026" w:type="dxa"/>
            <w:shd w:val="clear" w:color="auto" w:fill="auto"/>
          </w:tcPr>
          <w:p w14:paraId="2F735008"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4.54</w:t>
            </w:r>
          </w:p>
        </w:tc>
        <w:tc>
          <w:tcPr>
            <w:tcW w:w="1128" w:type="dxa"/>
            <w:shd w:val="clear" w:color="auto" w:fill="auto"/>
          </w:tcPr>
          <w:p w14:paraId="75D1FEC5"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1.04</w:t>
            </w:r>
          </w:p>
        </w:tc>
        <w:tc>
          <w:tcPr>
            <w:tcW w:w="986" w:type="dxa"/>
            <w:shd w:val="clear" w:color="auto" w:fill="auto"/>
          </w:tcPr>
          <w:p w14:paraId="1427D0CB"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2.5</w:t>
            </w:r>
          </w:p>
        </w:tc>
        <w:tc>
          <w:tcPr>
            <w:tcW w:w="1004" w:type="dxa"/>
            <w:shd w:val="clear" w:color="auto" w:fill="auto"/>
          </w:tcPr>
          <w:p w14:paraId="5681ADB9"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8.6</w:t>
            </w:r>
          </w:p>
        </w:tc>
        <w:tc>
          <w:tcPr>
            <w:tcW w:w="1417" w:type="dxa"/>
            <w:vMerge w:val="restart"/>
            <w:shd w:val="clear" w:color="auto" w:fill="auto"/>
          </w:tcPr>
          <w:p w14:paraId="47F271F7" w14:textId="2DD301A2"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0.89</w:t>
            </w:r>
            <w:r w:rsidR="00C80BB3" w:rsidRPr="003E284C">
              <w:rPr>
                <w:rFonts w:ascii="Times New Roman" w:hAnsi="Times New Roman" w:cs="Times New Roman"/>
                <w:sz w:val="24"/>
                <w:szCs w:val="24"/>
                <w:lang w:val="es-ES"/>
              </w:rPr>
              <w:t>59</w:t>
            </w:r>
          </w:p>
        </w:tc>
      </w:tr>
      <w:tr w:rsidR="003E284C" w:rsidRPr="003E284C" w14:paraId="4F99773E" w14:textId="77777777" w:rsidTr="003E284C">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tcBorders>
            <w:shd w:val="clear" w:color="auto" w:fill="auto"/>
          </w:tcPr>
          <w:p w14:paraId="2D9EEBA9" w14:textId="77777777" w:rsidR="00667620" w:rsidRPr="003E284C" w:rsidRDefault="00667620" w:rsidP="00C0012D">
            <w:pPr>
              <w:rPr>
                <w:rFonts w:ascii="Times New Roman" w:hAnsi="Times New Roman" w:cs="Times New Roman"/>
                <w:b w:val="0"/>
                <w:bCs w:val="0"/>
                <w:color w:val="auto"/>
                <w:sz w:val="24"/>
                <w:szCs w:val="24"/>
                <w:lang w:val="es-ES"/>
              </w:rPr>
            </w:pPr>
          </w:p>
        </w:tc>
        <w:tc>
          <w:tcPr>
            <w:tcW w:w="974" w:type="dxa"/>
            <w:vMerge/>
            <w:shd w:val="clear" w:color="auto" w:fill="auto"/>
          </w:tcPr>
          <w:p w14:paraId="44C377DA"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c>
          <w:tcPr>
            <w:tcW w:w="1686" w:type="dxa"/>
            <w:shd w:val="clear" w:color="auto" w:fill="auto"/>
          </w:tcPr>
          <w:p w14:paraId="19D9CEA6" w14:textId="3D4B9C94" w:rsidR="00667620" w:rsidRPr="003E284C" w:rsidRDefault="00EF3FC3"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Con prediabetes</w:t>
            </w:r>
          </w:p>
        </w:tc>
        <w:tc>
          <w:tcPr>
            <w:tcW w:w="1026" w:type="dxa"/>
            <w:shd w:val="clear" w:color="auto" w:fill="auto"/>
          </w:tcPr>
          <w:p w14:paraId="53D971B9"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5.1</w:t>
            </w:r>
          </w:p>
        </w:tc>
        <w:tc>
          <w:tcPr>
            <w:tcW w:w="1128" w:type="dxa"/>
            <w:shd w:val="clear" w:color="auto" w:fill="auto"/>
          </w:tcPr>
          <w:p w14:paraId="57ECA19E"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w:t>
            </w:r>
          </w:p>
        </w:tc>
        <w:tc>
          <w:tcPr>
            <w:tcW w:w="986" w:type="dxa"/>
            <w:shd w:val="clear" w:color="auto" w:fill="auto"/>
          </w:tcPr>
          <w:p w14:paraId="2C011B51"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5.1</w:t>
            </w:r>
          </w:p>
        </w:tc>
        <w:tc>
          <w:tcPr>
            <w:tcW w:w="1004" w:type="dxa"/>
            <w:shd w:val="clear" w:color="auto" w:fill="auto"/>
          </w:tcPr>
          <w:p w14:paraId="4181C200" w14:textId="77777777" w:rsidR="00667620" w:rsidRPr="003E284C" w:rsidRDefault="00667620" w:rsidP="00C001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5.1</w:t>
            </w:r>
          </w:p>
        </w:tc>
        <w:tc>
          <w:tcPr>
            <w:tcW w:w="1417" w:type="dxa"/>
            <w:vMerge/>
            <w:shd w:val="clear" w:color="auto" w:fill="auto"/>
          </w:tcPr>
          <w:p w14:paraId="29FC5018" w14:textId="77777777" w:rsidR="00667620" w:rsidRPr="003E284C" w:rsidRDefault="00667620" w:rsidP="00C0012D">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r>
      <w:tr w:rsidR="003E284C" w:rsidRPr="003E284C" w14:paraId="6CA3B0EA" w14:textId="77777777" w:rsidTr="003E284C">
        <w:trPr>
          <w:trHeight w:val="203"/>
          <w:jc w:val="center"/>
        </w:trPr>
        <w:tc>
          <w:tcPr>
            <w:cnfStyle w:val="001000000000" w:firstRow="0" w:lastRow="0" w:firstColumn="1" w:lastColumn="0" w:oddVBand="0" w:evenVBand="0" w:oddHBand="0" w:evenHBand="0" w:firstRowFirstColumn="0" w:firstRowLastColumn="0" w:lastRowFirstColumn="0" w:lastRowLastColumn="0"/>
            <w:tcW w:w="1277" w:type="dxa"/>
            <w:vMerge/>
            <w:tcBorders>
              <w:left w:val="none" w:sz="0" w:space="0" w:color="auto"/>
              <w:bottom w:val="none" w:sz="0" w:space="0" w:color="auto"/>
            </w:tcBorders>
            <w:shd w:val="clear" w:color="auto" w:fill="auto"/>
          </w:tcPr>
          <w:p w14:paraId="4D806D26" w14:textId="77777777" w:rsidR="00667620" w:rsidRPr="003E284C" w:rsidRDefault="00667620" w:rsidP="00C0012D">
            <w:pPr>
              <w:rPr>
                <w:rFonts w:ascii="Times New Roman" w:hAnsi="Times New Roman" w:cs="Times New Roman"/>
                <w:b w:val="0"/>
                <w:bCs w:val="0"/>
                <w:color w:val="auto"/>
                <w:sz w:val="24"/>
                <w:szCs w:val="24"/>
                <w:lang w:val="es-ES"/>
              </w:rPr>
            </w:pPr>
          </w:p>
        </w:tc>
        <w:tc>
          <w:tcPr>
            <w:tcW w:w="974" w:type="dxa"/>
            <w:vMerge/>
            <w:shd w:val="clear" w:color="auto" w:fill="auto"/>
          </w:tcPr>
          <w:p w14:paraId="52E82CA9" w14:textId="77777777" w:rsidR="00667620" w:rsidRPr="003E284C" w:rsidRDefault="00667620" w:rsidP="00C0012D">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686" w:type="dxa"/>
            <w:shd w:val="clear" w:color="auto" w:fill="auto"/>
          </w:tcPr>
          <w:p w14:paraId="300631C7" w14:textId="47200B4C" w:rsidR="00667620" w:rsidRPr="003E284C" w:rsidRDefault="009B2CDE"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Sin</w:t>
            </w:r>
            <w:r w:rsidR="00667620" w:rsidRPr="003E284C">
              <w:rPr>
                <w:rFonts w:ascii="Times New Roman" w:hAnsi="Times New Roman" w:cs="Times New Roman"/>
                <w:sz w:val="24"/>
                <w:szCs w:val="24"/>
                <w:lang w:val="es-ES"/>
              </w:rPr>
              <w:t xml:space="preserve"> diab</w:t>
            </w:r>
            <w:r w:rsidRPr="003E284C">
              <w:rPr>
                <w:rFonts w:ascii="Times New Roman" w:hAnsi="Times New Roman" w:cs="Times New Roman"/>
                <w:sz w:val="24"/>
                <w:szCs w:val="24"/>
                <w:lang w:val="es-ES"/>
              </w:rPr>
              <w:t>e</w:t>
            </w:r>
            <w:r w:rsidR="00667620" w:rsidRPr="003E284C">
              <w:rPr>
                <w:rFonts w:ascii="Times New Roman" w:hAnsi="Times New Roman" w:cs="Times New Roman"/>
                <w:sz w:val="24"/>
                <w:szCs w:val="24"/>
                <w:lang w:val="es-ES"/>
              </w:rPr>
              <w:t>t</w:t>
            </w:r>
            <w:r w:rsidRPr="003E284C">
              <w:rPr>
                <w:rFonts w:ascii="Times New Roman" w:hAnsi="Times New Roman" w:cs="Times New Roman"/>
                <w:sz w:val="24"/>
                <w:szCs w:val="24"/>
                <w:lang w:val="es-ES"/>
              </w:rPr>
              <w:t>es</w:t>
            </w:r>
          </w:p>
        </w:tc>
        <w:tc>
          <w:tcPr>
            <w:tcW w:w="1026" w:type="dxa"/>
            <w:shd w:val="clear" w:color="auto" w:fill="auto"/>
          </w:tcPr>
          <w:p w14:paraId="78B065B9"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4.53</w:t>
            </w:r>
          </w:p>
        </w:tc>
        <w:tc>
          <w:tcPr>
            <w:tcW w:w="1128" w:type="dxa"/>
            <w:shd w:val="clear" w:color="auto" w:fill="auto"/>
          </w:tcPr>
          <w:p w14:paraId="223B6085"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1.34</w:t>
            </w:r>
          </w:p>
        </w:tc>
        <w:tc>
          <w:tcPr>
            <w:tcW w:w="986" w:type="dxa"/>
            <w:shd w:val="clear" w:color="auto" w:fill="auto"/>
          </w:tcPr>
          <w:p w14:paraId="5AF2A0F6"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2.3</w:t>
            </w:r>
          </w:p>
        </w:tc>
        <w:tc>
          <w:tcPr>
            <w:tcW w:w="1004" w:type="dxa"/>
            <w:shd w:val="clear" w:color="auto" w:fill="auto"/>
          </w:tcPr>
          <w:p w14:paraId="2915E49F" w14:textId="77777777" w:rsidR="00667620" w:rsidRPr="003E284C" w:rsidRDefault="00667620" w:rsidP="00C0012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8.3</w:t>
            </w:r>
          </w:p>
        </w:tc>
        <w:tc>
          <w:tcPr>
            <w:tcW w:w="1417" w:type="dxa"/>
            <w:vMerge/>
            <w:shd w:val="clear" w:color="auto" w:fill="auto"/>
          </w:tcPr>
          <w:p w14:paraId="47F066C7" w14:textId="77777777" w:rsidR="00667620" w:rsidRPr="003E284C" w:rsidRDefault="00667620" w:rsidP="00C0012D">
            <w:pPr>
              <w:keepNext/>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bl>
    <w:p w14:paraId="5F51F602" w14:textId="77777777" w:rsidR="00456A9D" w:rsidRPr="003E284C" w:rsidRDefault="00846908" w:rsidP="00456A9D">
      <w:pPr>
        <w:pStyle w:val="Normal1"/>
        <w:ind w:firstLine="0"/>
        <w:jc w:val="center"/>
        <w:rPr>
          <w:color w:val="auto"/>
          <w:lang w:val="es-ES"/>
        </w:rPr>
      </w:pPr>
      <w:bookmarkStart w:id="10" w:name="_Hlk138105074"/>
      <w:bookmarkEnd w:id="9"/>
      <w:r w:rsidRPr="003E284C">
        <w:rPr>
          <w:color w:val="auto"/>
          <w:lang w:val="es-ES"/>
        </w:rPr>
        <w:t>Fuente: Elaboración propia</w:t>
      </w:r>
    </w:p>
    <w:p w14:paraId="5EC6EBEE" w14:textId="665790A1" w:rsidR="00667620" w:rsidRPr="003E284C" w:rsidRDefault="00667620" w:rsidP="00846908">
      <w:pPr>
        <w:pStyle w:val="Normal1"/>
        <w:ind w:firstLine="0"/>
        <w:rPr>
          <w:color w:val="auto"/>
          <w:lang w:val="es-ES"/>
        </w:rPr>
      </w:pPr>
      <w:r w:rsidRPr="003E284C">
        <w:rPr>
          <w:color w:val="auto"/>
          <w:lang w:val="es-ES"/>
        </w:rPr>
        <w:t>*Análisis de ANOVA para un factor, con probabilidad de Fisher.</w:t>
      </w:r>
    </w:p>
    <w:p w14:paraId="251A968C" w14:textId="5764B658" w:rsidR="006576FF" w:rsidRPr="003E284C" w:rsidRDefault="00667620" w:rsidP="00846908">
      <w:pPr>
        <w:pStyle w:val="Normal1"/>
        <w:ind w:firstLine="0"/>
        <w:rPr>
          <w:color w:val="auto"/>
          <w:lang w:val="es-ES"/>
        </w:rPr>
      </w:pPr>
      <w:r w:rsidRPr="003E284C">
        <w:rPr>
          <w:color w:val="auto"/>
          <w:lang w:val="es-ES"/>
        </w:rPr>
        <w:t>Abreviaciones: Creatinina sérica (CS), Albuminuria (ALB), Urea (U), Ácido úrico</w:t>
      </w:r>
      <w:r w:rsidR="00863D0B" w:rsidRPr="003E284C">
        <w:rPr>
          <w:color w:val="auto"/>
          <w:lang w:val="es-ES"/>
        </w:rPr>
        <w:t xml:space="preserve"> </w:t>
      </w:r>
      <w:r w:rsidRPr="003E284C">
        <w:rPr>
          <w:color w:val="auto"/>
          <w:lang w:val="es-ES"/>
        </w:rPr>
        <w:t>(AU), Colesterol (COL), Triglicéridos (TRIG), Índice aterogénico (IA), Femenino (F), Masculino (M)</w:t>
      </w:r>
      <w:bookmarkEnd w:id="10"/>
      <w:r w:rsidR="008364B8" w:rsidRPr="003E284C">
        <w:rPr>
          <w:color w:val="auto"/>
          <w:lang w:val="es-ES"/>
        </w:rPr>
        <w:t xml:space="preserve">, </w:t>
      </w:r>
      <w:bookmarkStart w:id="11" w:name="_Hlk143805965"/>
      <w:r w:rsidR="008364B8" w:rsidRPr="003E284C">
        <w:rPr>
          <w:color w:val="auto"/>
          <w:lang w:val="es-ES"/>
        </w:rPr>
        <w:t xml:space="preserve">Dato </w:t>
      </w:r>
      <w:r w:rsidR="00B00FE8" w:rsidRPr="003E284C">
        <w:rPr>
          <w:color w:val="auto"/>
          <w:lang w:val="es-ES"/>
        </w:rPr>
        <w:t>no valorable, n=1</w:t>
      </w:r>
      <w:r w:rsidR="008364B8" w:rsidRPr="003E284C">
        <w:rPr>
          <w:color w:val="auto"/>
          <w:lang w:val="es-ES"/>
        </w:rPr>
        <w:t xml:space="preserve"> (-).</w:t>
      </w:r>
      <w:bookmarkEnd w:id="11"/>
    </w:p>
    <w:p w14:paraId="39C3550A" w14:textId="05CD097F" w:rsidR="00D627DD" w:rsidRPr="003E284C" w:rsidRDefault="00667620" w:rsidP="003E284C">
      <w:pPr>
        <w:spacing w:after="0" w:line="360" w:lineRule="auto"/>
        <w:ind w:firstLine="708"/>
        <w:jc w:val="both"/>
        <w:rPr>
          <w:rFonts w:ascii="Times New Roman" w:hAnsi="Times New Roman" w:cs="Times New Roman"/>
          <w:sz w:val="24"/>
          <w:szCs w:val="24"/>
          <w:lang w:val="es-ES"/>
        </w:rPr>
      </w:pPr>
      <w:r w:rsidRPr="003E284C">
        <w:rPr>
          <w:rFonts w:ascii="Times New Roman" w:hAnsi="Times New Roman" w:cs="Times New Roman"/>
          <w:sz w:val="24"/>
          <w:szCs w:val="24"/>
          <w:lang w:val="es-ES"/>
        </w:rPr>
        <w:t xml:space="preserve">En la </w:t>
      </w:r>
      <w:r w:rsidR="00456A9D" w:rsidRPr="003E284C">
        <w:rPr>
          <w:rFonts w:ascii="Times New Roman" w:hAnsi="Times New Roman" w:cs="Times New Roman"/>
          <w:sz w:val="24"/>
          <w:szCs w:val="24"/>
          <w:lang w:val="es-ES"/>
        </w:rPr>
        <w:t>t</w:t>
      </w:r>
      <w:r w:rsidRPr="003E284C">
        <w:rPr>
          <w:rFonts w:ascii="Times New Roman" w:hAnsi="Times New Roman" w:cs="Times New Roman"/>
          <w:sz w:val="24"/>
          <w:szCs w:val="24"/>
          <w:lang w:val="es-ES"/>
        </w:rPr>
        <w:t xml:space="preserve">abla </w:t>
      </w:r>
      <w:r w:rsidR="008D6F13" w:rsidRPr="003E284C">
        <w:rPr>
          <w:rFonts w:ascii="Times New Roman" w:hAnsi="Times New Roman" w:cs="Times New Roman"/>
          <w:sz w:val="24"/>
          <w:szCs w:val="24"/>
          <w:lang w:val="es-ES"/>
        </w:rPr>
        <w:t>4</w:t>
      </w:r>
      <w:r w:rsidRPr="003E284C">
        <w:rPr>
          <w:rFonts w:ascii="Times New Roman" w:hAnsi="Times New Roman" w:cs="Times New Roman"/>
          <w:sz w:val="24"/>
          <w:szCs w:val="24"/>
          <w:lang w:val="es-ES"/>
        </w:rPr>
        <w:t xml:space="preserve"> se muestra la relación de las variables asociadas con un índice de confianza de</w:t>
      </w:r>
      <w:r w:rsidR="00456A9D" w:rsidRPr="003E284C">
        <w:rPr>
          <w:rFonts w:ascii="Times New Roman" w:hAnsi="Times New Roman" w:cs="Times New Roman"/>
          <w:sz w:val="24"/>
          <w:szCs w:val="24"/>
          <w:lang w:val="es-ES"/>
        </w:rPr>
        <w:t>l</w:t>
      </w:r>
      <w:r w:rsidRPr="003E284C">
        <w:rPr>
          <w:rFonts w:ascii="Times New Roman" w:hAnsi="Times New Roman" w:cs="Times New Roman"/>
          <w:sz w:val="24"/>
          <w:szCs w:val="24"/>
          <w:lang w:val="es-ES"/>
        </w:rPr>
        <w:t xml:space="preserve"> 95</w:t>
      </w:r>
      <w:r w:rsidR="00AA31FF" w:rsidRPr="003E284C">
        <w:rPr>
          <w:rFonts w:ascii="Times New Roman" w:hAnsi="Times New Roman" w:cs="Times New Roman"/>
          <w:sz w:val="24"/>
          <w:szCs w:val="24"/>
          <w:lang w:val="es-ES"/>
        </w:rPr>
        <w:t xml:space="preserve"> </w:t>
      </w:r>
      <w:r w:rsidRPr="003E284C">
        <w:rPr>
          <w:rFonts w:ascii="Times New Roman" w:hAnsi="Times New Roman" w:cs="Times New Roman"/>
          <w:sz w:val="24"/>
          <w:szCs w:val="24"/>
          <w:lang w:val="es-ES"/>
        </w:rPr>
        <w:t>%.</w:t>
      </w:r>
      <w:r w:rsidR="005904F4" w:rsidRPr="003E284C">
        <w:rPr>
          <w:rFonts w:ascii="Times New Roman" w:hAnsi="Times New Roman" w:cs="Times New Roman"/>
          <w:sz w:val="24"/>
          <w:szCs w:val="24"/>
          <w:lang w:val="es-ES"/>
        </w:rPr>
        <w:t xml:space="preserve"> Para la estimación del factor de riesgo se utilizó el análisis de </w:t>
      </w:r>
      <w:proofErr w:type="spellStart"/>
      <w:r w:rsidR="005904F4" w:rsidRPr="003E284C">
        <w:rPr>
          <w:rFonts w:ascii="Times New Roman" w:hAnsi="Times New Roman" w:cs="Times New Roman"/>
          <w:sz w:val="24"/>
          <w:szCs w:val="24"/>
          <w:lang w:val="es-ES"/>
        </w:rPr>
        <w:t>Odds</w:t>
      </w:r>
      <w:proofErr w:type="spellEnd"/>
      <w:r w:rsidR="005904F4" w:rsidRPr="003E284C">
        <w:rPr>
          <w:rFonts w:ascii="Times New Roman" w:hAnsi="Times New Roman" w:cs="Times New Roman"/>
          <w:sz w:val="24"/>
          <w:szCs w:val="24"/>
          <w:lang w:val="es-ES"/>
        </w:rPr>
        <w:t xml:space="preserve"> ratio, </w:t>
      </w:r>
      <w:r w:rsidR="00456A9D" w:rsidRPr="003E284C">
        <w:rPr>
          <w:rFonts w:ascii="Times New Roman" w:hAnsi="Times New Roman" w:cs="Times New Roman"/>
          <w:sz w:val="24"/>
          <w:szCs w:val="24"/>
          <w:lang w:val="es-ES"/>
        </w:rPr>
        <w:t xml:space="preserve">lo que permitió establecer </w:t>
      </w:r>
      <w:r w:rsidR="005904F4" w:rsidRPr="003E284C">
        <w:rPr>
          <w:rFonts w:ascii="Times New Roman" w:hAnsi="Times New Roman" w:cs="Times New Roman"/>
          <w:sz w:val="24"/>
          <w:szCs w:val="24"/>
          <w:lang w:val="es-ES"/>
        </w:rPr>
        <w:t>índices que permiten observar las diferencias de significancia entre las variables de riesgo.</w:t>
      </w:r>
      <w:r w:rsidRPr="003E284C">
        <w:rPr>
          <w:rFonts w:ascii="Times New Roman" w:hAnsi="Times New Roman" w:cs="Times New Roman"/>
          <w:sz w:val="24"/>
          <w:szCs w:val="24"/>
          <w:lang w:val="es-ES"/>
        </w:rPr>
        <w:t xml:space="preserve"> Se encontraron cuatro factores que estuvieron asociados significativamente con ERO, que incluyen la </w:t>
      </w:r>
      <w:r w:rsidR="00B50C7E" w:rsidRPr="003E284C">
        <w:rPr>
          <w:rFonts w:ascii="Times New Roman" w:hAnsi="Times New Roman" w:cs="Times New Roman"/>
          <w:sz w:val="24"/>
          <w:szCs w:val="24"/>
          <w:lang w:val="es-ES"/>
        </w:rPr>
        <w:t xml:space="preserve">edad </w:t>
      </w:r>
      <w:r w:rsidR="00A80C62" w:rsidRPr="003E284C">
        <w:rPr>
          <w:rFonts w:ascii="Times New Roman" w:hAnsi="Times New Roman" w:cs="Times New Roman"/>
          <w:sz w:val="24"/>
          <w:szCs w:val="24"/>
          <w:lang w:val="es-ES"/>
        </w:rPr>
        <w:t>igual o mayor</w:t>
      </w:r>
      <w:r w:rsidR="00EE7462" w:rsidRPr="003E284C">
        <w:rPr>
          <w:rFonts w:ascii="Times New Roman" w:hAnsi="Times New Roman" w:cs="Times New Roman"/>
          <w:sz w:val="24"/>
          <w:szCs w:val="24"/>
          <w:lang w:val="es-ES"/>
        </w:rPr>
        <w:t xml:space="preserve"> </w:t>
      </w:r>
      <w:r w:rsidR="00B50C7E" w:rsidRPr="003E284C">
        <w:rPr>
          <w:rFonts w:ascii="Times New Roman" w:hAnsi="Times New Roman" w:cs="Times New Roman"/>
          <w:sz w:val="24"/>
          <w:szCs w:val="24"/>
          <w:lang w:val="es-ES"/>
        </w:rPr>
        <w:t>a</w:t>
      </w:r>
      <w:r w:rsidR="00EE7462" w:rsidRPr="003E284C">
        <w:rPr>
          <w:rFonts w:ascii="Times New Roman" w:hAnsi="Times New Roman" w:cs="Times New Roman"/>
          <w:sz w:val="24"/>
          <w:szCs w:val="24"/>
          <w:lang w:val="es-ES"/>
        </w:rPr>
        <w:t xml:space="preserve"> </w:t>
      </w:r>
      <w:r w:rsidR="008F6FBB" w:rsidRPr="003E284C">
        <w:rPr>
          <w:rFonts w:ascii="Times New Roman" w:hAnsi="Times New Roman" w:cs="Times New Roman"/>
          <w:sz w:val="24"/>
          <w:szCs w:val="24"/>
          <w:lang w:val="es-ES"/>
        </w:rPr>
        <w:t>60</w:t>
      </w:r>
      <w:r w:rsidR="00EE7462" w:rsidRPr="003E284C">
        <w:rPr>
          <w:rFonts w:ascii="Times New Roman" w:hAnsi="Times New Roman" w:cs="Times New Roman"/>
          <w:sz w:val="24"/>
          <w:szCs w:val="24"/>
          <w:lang w:val="es-ES"/>
        </w:rPr>
        <w:t xml:space="preserve"> años</w:t>
      </w:r>
      <w:r w:rsidR="005F55D4" w:rsidRPr="003E284C">
        <w:rPr>
          <w:rFonts w:ascii="Times New Roman" w:hAnsi="Times New Roman" w:cs="Times New Roman"/>
          <w:sz w:val="24"/>
          <w:szCs w:val="24"/>
          <w:lang w:val="es-ES"/>
        </w:rPr>
        <w:t xml:space="preserve">, </w:t>
      </w:r>
      <w:r w:rsidR="004F3C01" w:rsidRPr="003E284C">
        <w:rPr>
          <w:rFonts w:ascii="Times New Roman" w:hAnsi="Times New Roman" w:cs="Times New Roman"/>
          <w:sz w:val="24"/>
          <w:szCs w:val="24"/>
          <w:lang w:val="es-ES"/>
        </w:rPr>
        <w:t xml:space="preserve">presencia de </w:t>
      </w:r>
      <w:r w:rsidRPr="003E284C">
        <w:rPr>
          <w:rFonts w:ascii="Times New Roman" w:hAnsi="Times New Roman" w:cs="Times New Roman"/>
          <w:sz w:val="24"/>
          <w:szCs w:val="24"/>
          <w:lang w:val="es-ES"/>
        </w:rPr>
        <w:t>albuminuria, urea y ácido úrico</w:t>
      </w:r>
      <w:r w:rsidR="004F3C01" w:rsidRPr="003E284C">
        <w:rPr>
          <w:rFonts w:ascii="Times New Roman" w:hAnsi="Times New Roman" w:cs="Times New Roman"/>
          <w:sz w:val="24"/>
          <w:szCs w:val="24"/>
          <w:lang w:val="es-ES"/>
        </w:rPr>
        <w:t xml:space="preserve"> elevados</w:t>
      </w:r>
      <w:r w:rsidR="00C2478B" w:rsidRPr="003E284C">
        <w:rPr>
          <w:rFonts w:ascii="Times New Roman" w:hAnsi="Times New Roman" w:cs="Times New Roman"/>
          <w:sz w:val="24"/>
          <w:szCs w:val="24"/>
          <w:lang w:val="es-ES"/>
        </w:rPr>
        <w:t xml:space="preserve">. </w:t>
      </w:r>
    </w:p>
    <w:p w14:paraId="0D86B950" w14:textId="77777777" w:rsidR="00456A9D" w:rsidRDefault="00456A9D" w:rsidP="003E284C">
      <w:pPr>
        <w:spacing w:after="0" w:line="360" w:lineRule="auto"/>
        <w:ind w:firstLine="708"/>
        <w:jc w:val="both"/>
        <w:rPr>
          <w:rFonts w:ascii="Times New Roman" w:hAnsi="Times New Roman" w:cs="Times New Roman"/>
          <w:b/>
          <w:bCs/>
          <w:i/>
          <w:iCs/>
          <w:sz w:val="24"/>
          <w:szCs w:val="24"/>
          <w:lang w:val="es-ES"/>
        </w:rPr>
      </w:pPr>
    </w:p>
    <w:p w14:paraId="1E67D7C7" w14:textId="77777777" w:rsidR="003E284C" w:rsidRDefault="003E284C" w:rsidP="003E284C">
      <w:pPr>
        <w:spacing w:after="0" w:line="360" w:lineRule="auto"/>
        <w:ind w:firstLine="708"/>
        <w:jc w:val="both"/>
        <w:rPr>
          <w:rFonts w:ascii="Times New Roman" w:hAnsi="Times New Roman" w:cs="Times New Roman"/>
          <w:b/>
          <w:bCs/>
          <w:i/>
          <w:iCs/>
          <w:sz w:val="24"/>
          <w:szCs w:val="24"/>
          <w:lang w:val="es-ES"/>
        </w:rPr>
      </w:pPr>
    </w:p>
    <w:p w14:paraId="4068E004" w14:textId="77777777" w:rsidR="003E284C" w:rsidRDefault="003E284C" w:rsidP="003E284C">
      <w:pPr>
        <w:spacing w:after="0" w:line="360" w:lineRule="auto"/>
        <w:ind w:firstLine="708"/>
        <w:jc w:val="both"/>
        <w:rPr>
          <w:rFonts w:ascii="Times New Roman" w:hAnsi="Times New Roman" w:cs="Times New Roman"/>
          <w:b/>
          <w:bCs/>
          <w:i/>
          <w:iCs/>
          <w:sz w:val="24"/>
          <w:szCs w:val="24"/>
          <w:lang w:val="es-ES"/>
        </w:rPr>
      </w:pPr>
    </w:p>
    <w:p w14:paraId="0E740E08" w14:textId="77777777" w:rsidR="003E284C" w:rsidRDefault="003E284C" w:rsidP="003E284C">
      <w:pPr>
        <w:spacing w:after="0" w:line="360" w:lineRule="auto"/>
        <w:ind w:firstLine="708"/>
        <w:jc w:val="both"/>
        <w:rPr>
          <w:rFonts w:ascii="Times New Roman" w:hAnsi="Times New Roman" w:cs="Times New Roman"/>
          <w:b/>
          <w:bCs/>
          <w:i/>
          <w:iCs/>
          <w:sz w:val="24"/>
          <w:szCs w:val="24"/>
          <w:lang w:val="es-ES"/>
        </w:rPr>
      </w:pPr>
    </w:p>
    <w:p w14:paraId="7B42106E" w14:textId="77777777" w:rsidR="003E284C" w:rsidRDefault="003E284C" w:rsidP="003E284C">
      <w:pPr>
        <w:spacing w:after="0" w:line="360" w:lineRule="auto"/>
        <w:ind w:firstLine="708"/>
        <w:jc w:val="both"/>
        <w:rPr>
          <w:rFonts w:ascii="Times New Roman" w:hAnsi="Times New Roman" w:cs="Times New Roman"/>
          <w:b/>
          <w:bCs/>
          <w:i/>
          <w:iCs/>
          <w:sz w:val="24"/>
          <w:szCs w:val="24"/>
          <w:lang w:val="es-ES"/>
        </w:rPr>
      </w:pPr>
    </w:p>
    <w:p w14:paraId="521096BB" w14:textId="77777777" w:rsidR="003E284C" w:rsidRDefault="003E284C" w:rsidP="003E284C">
      <w:pPr>
        <w:spacing w:after="0" w:line="360" w:lineRule="auto"/>
        <w:ind w:firstLine="708"/>
        <w:jc w:val="both"/>
        <w:rPr>
          <w:rFonts w:ascii="Times New Roman" w:hAnsi="Times New Roman" w:cs="Times New Roman"/>
          <w:b/>
          <w:bCs/>
          <w:i/>
          <w:iCs/>
          <w:sz w:val="24"/>
          <w:szCs w:val="24"/>
          <w:lang w:val="es-ES"/>
        </w:rPr>
      </w:pPr>
    </w:p>
    <w:p w14:paraId="22CFDBDF" w14:textId="77777777" w:rsidR="003E284C" w:rsidRDefault="003E284C" w:rsidP="003E284C">
      <w:pPr>
        <w:spacing w:after="0" w:line="360" w:lineRule="auto"/>
        <w:ind w:firstLine="708"/>
        <w:jc w:val="both"/>
        <w:rPr>
          <w:rFonts w:ascii="Times New Roman" w:hAnsi="Times New Roman" w:cs="Times New Roman"/>
          <w:b/>
          <w:bCs/>
          <w:i/>
          <w:iCs/>
          <w:sz w:val="24"/>
          <w:szCs w:val="24"/>
          <w:lang w:val="es-ES"/>
        </w:rPr>
      </w:pPr>
    </w:p>
    <w:p w14:paraId="02A0C14D" w14:textId="77777777" w:rsidR="003E284C" w:rsidRDefault="003E284C" w:rsidP="003E284C">
      <w:pPr>
        <w:spacing w:after="0" w:line="360" w:lineRule="auto"/>
        <w:ind w:firstLine="708"/>
        <w:jc w:val="both"/>
        <w:rPr>
          <w:rFonts w:ascii="Times New Roman" w:hAnsi="Times New Roman" w:cs="Times New Roman"/>
          <w:b/>
          <w:bCs/>
          <w:i/>
          <w:iCs/>
          <w:sz w:val="24"/>
          <w:szCs w:val="24"/>
          <w:lang w:val="es-ES"/>
        </w:rPr>
      </w:pPr>
    </w:p>
    <w:p w14:paraId="49C2DE8C" w14:textId="77777777" w:rsidR="003E284C" w:rsidRDefault="003E284C" w:rsidP="003E284C">
      <w:pPr>
        <w:spacing w:after="0" w:line="360" w:lineRule="auto"/>
        <w:ind w:firstLine="708"/>
        <w:jc w:val="both"/>
        <w:rPr>
          <w:rFonts w:ascii="Times New Roman" w:hAnsi="Times New Roman" w:cs="Times New Roman"/>
          <w:b/>
          <w:bCs/>
          <w:i/>
          <w:iCs/>
          <w:sz w:val="24"/>
          <w:szCs w:val="24"/>
          <w:lang w:val="es-ES"/>
        </w:rPr>
      </w:pPr>
    </w:p>
    <w:p w14:paraId="64DE8190" w14:textId="77777777" w:rsidR="003E284C" w:rsidRDefault="003E284C" w:rsidP="003E284C">
      <w:pPr>
        <w:spacing w:after="0" w:line="360" w:lineRule="auto"/>
        <w:ind w:firstLine="708"/>
        <w:jc w:val="both"/>
        <w:rPr>
          <w:rFonts w:ascii="Times New Roman" w:hAnsi="Times New Roman" w:cs="Times New Roman"/>
          <w:b/>
          <w:bCs/>
          <w:i/>
          <w:iCs/>
          <w:sz w:val="24"/>
          <w:szCs w:val="24"/>
          <w:lang w:val="es-ES"/>
        </w:rPr>
      </w:pPr>
    </w:p>
    <w:p w14:paraId="49EA2810" w14:textId="77777777" w:rsidR="003E284C" w:rsidRDefault="003E284C" w:rsidP="003E284C">
      <w:pPr>
        <w:spacing w:after="0" w:line="360" w:lineRule="auto"/>
        <w:ind w:firstLine="708"/>
        <w:jc w:val="both"/>
        <w:rPr>
          <w:rFonts w:ascii="Times New Roman" w:hAnsi="Times New Roman" w:cs="Times New Roman"/>
          <w:b/>
          <w:bCs/>
          <w:i/>
          <w:iCs/>
          <w:sz w:val="24"/>
          <w:szCs w:val="24"/>
          <w:lang w:val="es-ES"/>
        </w:rPr>
      </w:pPr>
    </w:p>
    <w:p w14:paraId="75650C93" w14:textId="77777777" w:rsidR="003E284C" w:rsidRDefault="003E284C" w:rsidP="003E284C">
      <w:pPr>
        <w:spacing w:after="0" w:line="360" w:lineRule="auto"/>
        <w:ind w:firstLine="708"/>
        <w:jc w:val="both"/>
        <w:rPr>
          <w:rFonts w:ascii="Times New Roman" w:hAnsi="Times New Roman" w:cs="Times New Roman"/>
          <w:b/>
          <w:bCs/>
          <w:i/>
          <w:iCs/>
          <w:sz w:val="24"/>
          <w:szCs w:val="24"/>
          <w:lang w:val="es-ES"/>
        </w:rPr>
      </w:pPr>
    </w:p>
    <w:p w14:paraId="6492BD9F" w14:textId="77777777" w:rsidR="003E284C" w:rsidRDefault="003E284C" w:rsidP="003E284C">
      <w:pPr>
        <w:spacing w:after="0" w:line="360" w:lineRule="auto"/>
        <w:ind w:firstLine="708"/>
        <w:jc w:val="both"/>
        <w:rPr>
          <w:rFonts w:ascii="Times New Roman" w:hAnsi="Times New Roman" w:cs="Times New Roman"/>
          <w:b/>
          <w:bCs/>
          <w:i/>
          <w:iCs/>
          <w:sz w:val="24"/>
          <w:szCs w:val="24"/>
          <w:lang w:val="es-ES"/>
        </w:rPr>
      </w:pPr>
    </w:p>
    <w:p w14:paraId="3CACD809" w14:textId="77777777" w:rsidR="003E284C" w:rsidRDefault="003E284C" w:rsidP="003E284C">
      <w:pPr>
        <w:spacing w:after="0" w:line="360" w:lineRule="auto"/>
        <w:ind w:firstLine="708"/>
        <w:jc w:val="both"/>
        <w:rPr>
          <w:rFonts w:ascii="Times New Roman" w:hAnsi="Times New Roman" w:cs="Times New Roman"/>
          <w:b/>
          <w:bCs/>
          <w:i/>
          <w:iCs/>
          <w:sz w:val="24"/>
          <w:szCs w:val="24"/>
          <w:lang w:val="es-ES"/>
        </w:rPr>
      </w:pPr>
    </w:p>
    <w:p w14:paraId="7AA8366E" w14:textId="77777777" w:rsidR="003E284C" w:rsidRPr="003E284C" w:rsidRDefault="003E284C" w:rsidP="003E284C">
      <w:pPr>
        <w:spacing w:after="0" w:line="360" w:lineRule="auto"/>
        <w:ind w:firstLine="708"/>
        <w:jc w:val="both"/>
        <w:rPr>
          <w:rFonts w:ascii="Times New Roman" w:hAnsi="Times New Roman" w:cs="Times New Roman"/>
          <w:b/>
          <w:bCs/>
          <w:i/>
          <w:iCs/>
          <w:sz w:val="24"/>
          <w:szCs w:val="24"/>
          <w:lang w:val="es-ES"/>
        </w:rPr>
      </w:pPr>
    </w:p>
    <w:p w14:paraId="07D2F1DD" w14:textId="5B0F8291" w:rsidR="00D627DD" w:rsidRPr="003E284C" w:rsidRDefault="00EC4FBA" w:rsidP="00456A9D">
      <w:pPr>
        <w:pStyle w:val="Normal1"/>
        <w:ind w:firstLine="0"/>
        <w:jc w:val="center"/>
        <w:rPr>
          <w:color w:val="auto"/>
          <w:sz w:val="22"/>
          <w:szCs w:val="22"/>
          <w:lang w:val="es-ES"/>
        </w:rPr>
      </w:pPr>
      <w:r w:rsidRPr="003E284C">
        <w:rPr>
          <w:b/>
          <w:bCs/>
          <w:color w:val="auto"/>
          <w:lang w:val="es-ES"/>
        </w:rPr>
        <w:lastRenderedPageBreak/>
        <w:t>Tabla 4</w:t>
      </w:r>
      <w:r w:rsidR="00456A9D" w:rsidRPr="003E284C">
        <w:rPr>
          <w:b/>
          <w:bCs/>
          <w:color w:val="auto"/>
          <w:lang w:val="es-ES"/>
        </w:rPr>
        <w:t>.</w:t>
      </w:r>
      <w:r w:rsidRPr="003E284C">
        <w:rPr>
          <w:b/>
          <w:bCs/>
          <w:color w:val="auto"/>
          <w:lang w:val="es-ES"/>
        </w:rPr>
        <w:t xml:space="preserve"> </w:t>
      </w:r>
      <w:r w:rsidRPr="003E284C">
        <w:rPr>
          <w:color w:val="auto"/>
          <w:lang w:val="es-ES"/>
        </w:rPr>
        <w:t>Análisis bivariado de factores asociados con insuficiencia renal oculta</w:t>
      </w:r>
    </w:p>
    <w:tbl>
      <w:tblPr>
        <w:tblStyle w:val="Tablaconcuadrcula5oscura-nfasis6"/>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1732"/>
        <w:gridCol w:w="2268"/>
        <w:gridCol w:w="2126"/>
        <w:gridCol w:w="1701"/>
      </w:tblGrid>
      <w:tr w:rsidR="003E284C" w:rsidRPr="003E284C" w14:paraId="678B2A51" w14:textId="77777777" w:rsidTr="003E284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56" w:type="dxa"/>
            <w:gridSpan w:val="2"/>
            <w:tcBorders>
              <w:top w:val="none" w:sz="0" w:space="0" w:color="auto"/>
              <w:left w:val="none" w:sz="0" w:space="0" w:color="auto"/>
              <w:right w:val="none" w:sz="0" w:space="0" w:color="auto"/>
            </w:tcBorders>
            <w:shd w:val="clear" w:color="auto" w:fill="auto"/>
          </w:tcPr>
          <w:p w14:paraId="580B627C" w14:textId="24222F17" w:rsidR="000B7A0E" w:rsidRPr="003E284C" w:rsidRDefault="000B7A0E" w:rsidP="00EC4FBA">
            <w:pPr>
              <w:jc w:val="center"/>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FACTOR</w:t>
            </w:r>
          </w:p>
        </w:tc>
        <w:tc>
          <w:tcPr>
            <w:tcW w:w="2268" w:type="dxa"/>
            <w:tcBorders>
              <w:top w:val="none" w:sz="0" w:space="0" w:color="auto"/>
              <w:left w:val="none" w:sz="0" w:space="0" w:color="auto"/>
              <w:right w:val="none" w:sz="0" w:space="0" w:color="auto"/>
            </w:tcBorders>
            <w:shd w:val="clear" w:color="auto" w:fill="auto"/>
          </w:tcPr>
          <w:p w14:paraId="14088DA0" w14:textId="678E9B2F" w:rsidR="000B7A0E" w:rsidRPr="003E284C" w:rsidRDefault="000B7A0E" w:rsidP="00EC4FBA">
            <w:pPr>
              <w:pStyle w:val="Normal1"/>
              <w:ind w:firstLine="0"/>
              <w:jc w:val="center"/>
              <w:cnfStyle w:val="100000000000" w:firstRow="1" w:lastRow="0" w:firstColumn="0" w:lastColumn="0" w:oddVBand="0" w:evenVBand="0" w:oddHBand="0" w:evenHBand="0" w:firstRowFirstColumn="0" w:firstRowLastColumn="0" w:lastRowFirstColumn="0" w:lastRowLastColumn="0"/>
              <w:rPr>
                <w:b w:val="0"/>
                <w:bCs w:val="0"/>
                <w:color w:val="auto"/>
                <w:vertAlign w:val="superscript"/>
                <w:lang w:val="es-ES"/>
              </w:rPr>
            </w:pPr>
            <w:r w:rsidRPr="003E284C">
              <w:rPr>
                <w:b w:val="0"/>
                <w:bCs w:val="0"/>
                <w:color w:val="auto"/>
                <w:lang w:val="es-ES"/>
              </w:rPr>
              <w:t>ODDS RATIO</w:t>
            </w:r>
          </w:p>
          <w:p w14:paraId="46D5D706" w14:textId="272DDECF" w:rsidR="000B7A0E" w:rsidRPr="003E284C" w:rsidRDefault="000B7A0E" w:rsidP="00EC4F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es-ES"/>
              </w:rPr>
            </w:pPr>
          </w:p>
        </w:tc>
        <w:tc>
          <w:tcPr>
            <w:tcW w:w="2126" w:type="dxa"/>
            <w:tcBorders>
              <w:top w:val="none" w:sz="0" w:space="0" w:color="auto"/>
              <w:left w:val="none" w:sz="0" w:space="0" w:color="auto"/>
              <w:right w:val="none" w:sz="0" w:space="0" w:color="auto"/>
            </w:tcBorders>
            <w:shd w:val="clear" w:color="auto" w:fill="auto"/>
          </w:tcPr>
          <w:p w14:paraId="14A6DE18" w14:textId="77777777" w:rsidR="000B7A0E" w:rsidRPr="003E284C" w:rsidRDefault="000B7A0E" w:rsidP="00EC4F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IC 95%</w:t>
            </w:r>
          </w:p>
        </w:tc>
        <w:tc>
          <w:tcPr>
            <w:tcW w:w="1701" w:type="dxa"/>
            <w:tcBorders>
              <w:top w:val="none" w:sz="0" w:space="0" w:color="auto"/>
              <w:left w:val="none" w:sz="0" w:space="0" w:color="auto"/>
              <w:right w:val="none" w:sz="0" w:space="0" w:color="auto"/>
            </w:tcBorders>
            <w:shd w:val="clear" w:color="auto" w:fill="auto"/>
          </w:tcPr>
          <w:p w14:paraId="60A2FB2F" w14:textId="170057FE" w:rsidR="000B7A0E" w:rsidRPr="003E284C" w:rsidRDefault="000B7A0E" w:rsidP="00EC4FBA">
            <w:pPr>
              <w:tabs>
                <w:tab w:val="left" w:pos="335"/>
                <w:tab w:val="center" w:pos="41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auto"/>
                <w:sz w:val="24"/>
                <w:szCs w:val="24"/>
                <w:lang w:val="es-ES"/>
              </w:rPr>
            </w:pPr>
            <w:r w:rsidRPr="003E284C">
              <w:rPr>
                <w:rFonts w:ascii="Times New Roman" w:hAnsi="Times New Roman" w:cs="Times New Roman"/>
                <w:b w:val="0"/>
                <w:bCs w:val="0"/>
                <w:i/>
                <w:iCs/>
                <w:color w:val="auto"/>
                <w:sz w:val="24"/>
                <w:szCs w:val="24"/>
                <w:lang w:val="es-ES"/>
              </w:rPr>
              <w:t>P</w:t>
            </w:r>
          </w:p>
        </w:tc>
      </w:tr>
      <w:tr w:rsidR="003E284C" w:rsidRPr="003E284C" w14:paraId="7858F42F" w14:textId="77777777" w:rsidTr="003E284C">
        <w:trPr>
          <w:cnfStyle w:val="000000100000" w:firstRow="0" w:lastRow="0" w:firstColumn="0" w:lastColumn="0" w:oddVBand="0" w:evenVBand="0" w:oddHBand="1" w:evenHBand="0" w:firstRowFirstColumn="0" w:firstRowLastColumn="0" w:lastRowFirstColumn="0" w:lastRowLastColumn="0"/>
          <w:trHeight w:val="181"/>
          <w:jc w:val="center"/>
        </w:trPr>
        <w:tc>
          <w:tcPr>
            <w:cnfStyle w:val="001000000000" w:firstRow="0" w:lastRow="0" w:firstColumn="1" w:lastColumn="0" w:oddVBand="0" w:evenVBand="0" w:oddHBand="0" w:evenHBand="0" w:firstRowFirstColumn="0" w:firstRowLastColumn="0" w:lastRowFirstColumn="0" w:lastRowLastColumn="0"/>
            <w:tcW w:w="1524" w:type="dxa"/>
            <w:vMerge w:val="restart"/>
            <w:tcBorders>
              <w:left w:val="none" w:sz="0" w:space="0" w:color="auto"/>
            </w:tcBorders>
            <w:shd w:val="clear" w:color="auto" w:fill="auto"/>
          </w:tcPr>
          <w:p w14:paraId="7A05823E" w14:textId="77777777" w:rsidR="000B7A0E" w:rsidRPr="003E284C" w:rsidRDefault="000B7A0E" w:rsidP="006E2873">
            <w:pPr>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Sexo</w:t>
            </w:r>
          </w:p>
        </w:tc>
        <w:tc>
          <w:tcPr>
            <w:tcW w:w="1732" w:type="dxa"/>
            <w:shd w:val="clear" w:color="auto" w:fill="auto"/>
          </w:tcPr>
          <w:p w14:paraId="40628F4A"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Femenino</w:t>
            </w:r>
          </w:p>
        </w:tc>
        <w:tc>
          <w:tcPr>
            <w:tcW w:w="2268" w:type="dxa"/>
            <w:vMerge w:val="restart"/>
            <w:shd w:val="clear" w:color="auto" w:fill="auto"/>
          </w:tcPr>
          <w:p w14:paraId="7E214FD2"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1.96</w:t>
            </w:r>
          </w:p>
        </w:tc>
        <w:tc>
          <w:tcPr>
            <w:tcW w:w="2126" w:type="dxa"/>
            <w:vMerge w:val="restart"/>
            <w:shd w:val="clear" w:color="auto" w:fill="auto"/>
          </w:tcPr>
          <w:p w14:paraId="5F001F94"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0.67-5.43</w:t>
            </w:r>
          </w:p>
        </w:tc>
        <w:tc>
          <w:tcPr>
            <w:tcW w:w="1701" w:type="dxa"/>
            <w:vMerge w:val="restart"/>
            <w:shd w:val="clear" w:color="auto" w:fill="auto"/>
          </w:tcPr>
          <w:p w14:paraId="22C84703" w14:textId="5DE2AA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0.14</w:t>
            </w:r>
            <w:r w:rsidR="004E05F3" w:rsidRPr="003E284C">
              <w:rPr>
                <w:rFonts w:ascii="Times New Roman" w:hAnsi="Times New Roman" w:cs="Times New Roman"/>
                <w:sz w:val="24"/>
                <w:szCs w:val="24"/>
                <w:lang w:val="es-ES"/>
              </w:rPr>
              <w:t>62</w:t>
            </w:r>
          </w:p>
        </w:tc>
      </w:tr>
      <w:tr w:rsidR="003E284C" w:rsidRPr="003E284C" w14:paraId="03FE33B3" w14:textId="77777777" w:rsidTr="003E284C">
        <w:trPr>
          <w:trHeight w:val="284"/>
          <w:jc w:val="center"/>
        </w:trPr>
        <w:tc>
          <w:tcPr>
            <w:cnfStyle w:val="001000000000" w:firstRow="0" w:lastRow="0" w:firstColumn="1" w:lastColumn="0" w:oddVBand="0" w:evenVBand="0" w:oddHBand="0" w:evenHBand="0" w:firstRowFirstColumn="0" w:firstRowLastColumn="0" w:lastRowFirstColumn="0" w:lastRowLastColumn="0"/>
            <w:tcW w:w="1524" w:type="dxa"/>
            <w:vMerge/>
            <w:tcBorders>
              <w:left w:val="none" w:sz="0" w:space="0" w:color="auto"/>
            </w:tcBorders>
            <w:shd w:val="clear" w:color="auto" w:fill="auto"/>
          </w:tcPr>
          <w:p w14:paraId="079CB4D3" w14:textId="77777777" w:rsidR="000B7A0E" w:rsidRPr="003E284C" w:rsidRDefault="000B7A0E" w:rsidP="006E2873">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1732" w:type="dxa"/>
            <w:shd w:val="clear" w:color="auto" w:fill="auto"/>
          </w:tcPr>
          <w:p w14:paraId="21D1BEF9" w14:textId="77777777" w:rsidR="000B7A0E" w:rsidRPr="003E284C" w:rsidRDefault="000B7A0E" w:rsidP="006E28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Masculino</w:t>
            </w:r>
          </w:p>
        </w:tc>
        <w:tc>
          <w:tcPr>
            <w:tcW w:w="2268" w:type="dxa"/>
            <w:vMerge/>
            <w:shd w:val="clear" w:color="auto" w:fill="auto"/>
          </w:tcPr>
          <w:p w14:paraId="03EF8A2D"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2126" w:type="dxa"/>
            <w:vMerge/>
            <w:shd w:val="clear" w:color="auto" w:fill="auto"/>
          </w:tcPr>
          <w:p w14:paraId="17948C2F"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701" w:type="dxa"/>
            <w:vMerge/>
            <w:shd w:val="clear" w:color="auto" w:fill="auto"/>
          </w:tcPr>
          <w:p w14:paraId="38D2A484"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4B28BB30" w14:textId="77777777" w:rsidTr="003E284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24" w:type="dxa"/>
            <w:vMerge w:val="restart"/>
            <w:tcBorders>
              <w:left w:val="none" w:sz="0" w:space="0" w:color="auto"/>
            </w:tcBorders>
            <w:shd w:val="clear" w:color="auto" w:fill="auto"/>
          </w:tcPr>
          <w:p w14:paraId="4A12020A" w14:textId="77777777" w:rsidR="000B7A0E" w:rsidRPr="003E284C" w:rsidRDefault="000B7A0E" w:rsidP="006E2873">
            <w:pPr>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Edad</w:t>
            </w:r>
          </w:p>
        </w:tc>
        <w:tc>
          <w:tcPr>
            <w:tcW w:w="1732" w:type="dxa"/>
            <w:shd w:val="clear" w:color="auto" w:fill="auto"/>
          </w:tcPr>
          <w:p w14:paraId="2FE51353" w14:textId="002362C0" w:rsidR="000B7A0E" w:rsidRPr="003E284C" w:rsidRDefault="00000000"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sdt>
              <w:sdtPr>
                <w:rPr>
                  <w:rFonts w:ascii="Times New Roman" w:hAnsi="Times New Roman" w:cs="Times New Roman"/>
                  <w:sz w:val="24"/>
                  <w:szCs w:val="24"/>
                  <w:lang w:val="es-ES"/>
                </w:rPr>
                <w:tag w:val="goog_rdk_0"/>
                <w:id w:val="-858186836"/>
              </w:sdtPr>
              <w:sdtContent>
                <w:r w:rsidR="000B7A0E" w:rsidRPr="003E284C">
                  <w:rPr>
                    <w:rFonts w:ascii="Times New Roman" w:eastAsia="Arial Unicode MS" w:hAnsi="Times New Roman" w:cs="Times New Roman"/>
                    <w:sz w:val="24"/>
                    <w:szCs w:val="24"/>
                    <w:lang w:val="es-ES"/>
                  </w:rPr>
                  <w:t>≥</w:t>
                </w:r>
                <w:r w:rsidR="00456A9D" w:rsidRPr="003E284C">
                  <w:rPr>
                    <w:rFonts w:ascii="Times New Roman" w:eastAsia="Arial Unicode MS" w:hAnsi="Times New Roman" w:cs="Times New Roman"/>
                    <w:sz w:val="24"/>
                    <w:szCs w:val="24"/>
                    <w:lang w:val="es-ES"/>
                  </w:rPr>
                  <w:t xml:space="preserve"> </w:t>
                </w:r>
                <w:r w:rsidR="000B7A0E" w:rsidRPr="003E284C">
                  <w:rPr>
                    <w:rFonts w:ascii="Times New Roman" w:eastAsia="Arial Unicode MS" w:hAnsi="Times New Roman" w:cs="Times New Roman"/>
                    <w:sz w:val="24"/>
                    <w:szCs w:val="24"/>
                    <w:lang w:val="es-ES"/>
                  </w:rPr>
                  <w:t>60</w:t>
                </w:r>
              </w:sdtContent>
            </w:sdt>
          </w:p>
        </w:tc>
        <w:tc>
          <w:tcPr>
            <w:tcW w:w="2268" w:type="dxa"/>
            <w:vMerge w:val="restart"/>
            <w:shd w:val="clear" w:color="auto" w:fill="auto"/>
          </w:tcPr>
          <w:p w14:paraId="6EFF848F"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4.70</w:t>
            </w:r>
          </w:p>
        </w:tc>
        <w:tc>
          <w:tcPr>
            <w:tcW w:w="2126" w:type="dxa"/>
            <w:vMerge w:val="restart"/>
            <w:shd w:val="clear" w:color="auto" w:fill="auto"/>
          </w:tcPr>
          <w:p w14:paraId="5B8D4BBF"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1.63-15.29</w:t>
            </w:r>
          </w:p>
        </w:tc>
        <w:tc>
          <w:tcPr>
            <w:tcW w:w="1701" w:type="dxa"/>
            <w:vMerge w:val="restart"/>
            <w:shd w:val="clear" w:color="auto" w:fill="auto"/>
          </w:tcPr>
          <w:p w14:paraId="569FCA82"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0.0008</w:t>
            </w:r>
          </w:p>
        </w:tc>
      </w:tr>
      <w:tr w:rsidR="003E284C" w:rsidRPr="003E284C" w14:paraId="650FE644" w14:textId="77777777" w:rsidTr="003E284C">
        <w:trPr>
          <w:trHeight w:val="319"/>
          <w:jc w:val="center"/>
        </w:trPr>
        <w:tc>
          <w:tcPr>
            <w:cnfStyle w:val="001000000000" w:firstRow="0" w:lastRow="0" w:firstColumn="1" w:lastColumn="0" w:oddVBand="0" w:evenVBand="0" w:oddHBand="0" w:evenHBand="0" w:firstRowFirstColumn="0" w:firstRowLastColumn="0" w:lastRowFirstColumn="0" w:lastRowLastColumn="0"/>
            <w:tcW w:w="1524" w:type="dxa"/>
            <w:vMerge/>
            <w:tcBorders>
              <w:left w:val="none" w:sz="0" w:space="0" w:color="auto"/>
            </w:tcBorders>
            <w:shd w:val="clear" w:color="auto" w:fill="auto"/>
          </w:tcPr>
          <w:p w14:paraId="74A1F1BB" w14:textId="77777777" w:rsidR="000B7A0E" w:rsidRPr="003E284C" w:rsidRDefault="000B7A0E" w:rsidP="006E2873">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1732" w:type="dxa"/>
            <w:shd w:val="clear" w:color="auto" w:fill="auto"/>
          </w:tcPr>
          <w:p w14:paraId="03C39636" w14:textId="689013C0" w:rsidR="000B7A0E" w:rsidRPr="003E284C" w:rsidRDefault="000B7A0E" w:rsidP="006E28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&lt;</w:t>
            </w:r>
            <w:r w:rsidR="00456A9D" w:rsidRPr="003E284C">
              <w:rPr>
                <w:rFonts w:ascii="Times New Roman" w:hAnsi="Times New Roman" w:cs="Times New Roman"/>
                <w:sz w:val="24"/>
                <w:szCs w:val="24"/>
                <w:lang w:val="es-ES"/>
              </w:rPr>
              <w:t xml:space="preserve"> </w:t>
            </w:r>
            <w:r w:rsidRPr="003E284C">
              <w:rPr>
                <w:rFonts w:ascii="Times New Roman" w:hAnsi="Times New Roman" w:cs="Times New Roman"/>
                <w:sz w:val="24"/>
                <w:szCs w:val="24"/>
                <w:lang w:val="es-ES"/>
              </w:rPr>
              <w:t>60</w:t>
            </w:r>
          </w:p>
        </w:tc>
        <w:tc>
          <w:tcPr>
            <w:tcW w:w="2268" w:type="dxa"/>
            <w:vMerge/>
            <w:shd w:val="clear" w:color="auto" w:fill="auto"/>
          </w:tcPr>
          <w:p w14:paraId="25044B9A"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2126" w:type="dxa"/>
            <w:vMerge/>
            <w:shd w:val="clear" w:color="auto" w:fill="auto"/>
          </w:tcPr>
          <w:p w14:paraId="30D50CDE"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701" w:type="dxa"/>
            <w:vMerge/>
            <w:shd w:val="clear" w:color="auto" w:fill="auto"/>
          </w:tcPr>
          <w:p w14:paraId="785B63C8"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138B0496" w14:textId="77777777" w:rsidTr="003E284C">
        <w:trPr>
          <w:cnfStyle w:val="000000100000" w:firstRow="0" w:lastRow="0" w:firstColumn="0" w:lastColumn="0" w:oddVBand="0" w:evenVBand="0" w:oddHBand="1" w:evenHBand="0" w:firstRowFirstColumn="0" w:firstRowLastColumn="0" w:lastRowFirstColumn="0" w:lastRowLastColumn="0"/>
          <w:trHeight w:val="122"/>
          <w:jc w:val="center"/>
        </w:trPr>
        <w:tc>
          <w:tcPr>
            <w:cnfStyle w:val="001000000000" w:firstRow="0" w:lastRow="0" w:firstColumn="1" w:lastColumn="0" w:oddVBand="0" w:evenVBand="0" w:oddHBand="0" w:evenHBand="0" w:firstRowFirstColumn="0" w:firstRowLastColumn="0" w:lastRowFirstColumn="0" w:lastRowLastColumn="0"/>
            <w:tcW w:w="1524" w:type="dxa"/>
            <w:vMerge w:val="restart"/>
            <w:tcBorders>
              <w:left w:val="none" w:sz="0" w:space="0" w:color="auto"/>
            </w:tcBorders>
            <w:shd w:val="clear" w:color="auto" w:fill="auto"/>
          </w:tcPr>
          <w:p w14:paraId="2E01AD39" w14:textId="77777777" w:rsidR="000B7A0E" w:rsidRPr="003E284C" w:rsidRDefault="000B7A0E" w:rsidP="006E2873">
            <w:pPr>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IMC</w:t>
            </w:r>
          </w:p>
        </w:tc>
        <w:tc>
          <w:tcPr>
            <w:tcW w:w="1732" w:type="dxa"/>
            <w:shd w:val="clear" w:color="auto" w:fill="auto"/>
          </w:tcPr>
          <w:p w14:paraId="115F3A7A" w14:textId="4B586B09" w:rsidR="000B7A0E" w:rsidRPr="003E284C" w:rsidRDefault="00000000"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sdt>
              <w:sdtPr>
                <w:rPr>
                  <w:rFonts w:ascii="Times New Roman" w:hAnsi="Times New Roman" w:cs="Times New Roman"/>
                  <w:sz w:val="24"/>
                  <w:szCs w:val="24"/>
                  <w:lang w:val="es-ES"/>
                </w:rPr>
                <w:tag w:val="goog_rdk_1"/>
                <w:id w:val="-500583641"/>
              </w:sdtPr>
              <w:sdtContent>
                <w:r w:rsidR="000B7A0E" w:rsidRPr="003E284C">
                  <w:rPr>
                    <w:rFonts w:ascii="Times New Roman" w:eastAsia="Arial Unicode MS" w:hAnsi="Times New Roman" w:cs="Times New Roman"/>
                    <w:sz w:val="24"/>
                    <w:szCs w:val="24"/>
                    <w:lang w:val="es-ES"/>
                  </w:rPr>
                  <w:t>≥ 25</w:t>
                </w:r>
              </w:sdtContent>
            </w:sdt>
          </w:p>
        </w:tc>
        <w:tc>
          <w:tcPr>
            <w:tcW w:w="2268" w:type="dxa"/>
            <w:vMerge w:val="restart"/>
            <w:shd w:val="clear" w:color="auto" w:fill="auto"/>
          </w:tcPr>
          <w:p w14:paraId="5849F705"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0.80</w:t>
            </w:r>
          </w:p>
        </w:tc>
        <w:tc>
          <w:tcPr>
            <w:tcW w:w="2126" w:type="dxa"/>
            <w:vMerge w:val="restart"/>
            <w:shd w:val="clear" w:color="auto" w:fill="auto"/>
          </w:tcPr>
          <w:p w14:paraId="289663DE"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0.27-2.63</w:t>
            </w:r>
          </w:p>
        </w:tc>
        <w:tc>
          <w:tcPr>
            <w:tcW w:w="1701" w:type="dxa"/>
            <w:vMerge w:val="restart"/>
            <w:shd w:val="clear" w:color="auto" w:fill="auto"/>
          </w:tcPr>
          <w:p w14:paraId="2C820874" w14:textId="6E1EA8E2"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0.66</w:t>
            </w:r>
            <w:r w:rsidR="004E05F3" w:rsidRPr="003E284C">
              <w:rPr>
                <w:rFonts w:ascii="Times New Roman" w:hAnsi="Times New Roman" w:cs="Times New Roman"/>
                <w:sz w:val="24"/>
                <w:szCs w:val="24"/>
                <w:lang w:val="es-ES"/>
              </w:rPr>
              <w:t>27</w:t>
            </w:r>
          </w:p>
        </w:tc>
      </w:tr>
      <w:tr w:rsidR="003E284C" w:rsidRPr="003E284C" w14:paraId="261F0FFE" w14:textId="77777777" w:rsidTr="003E284C">
        <w:trPr>
          <w:trHeight w:val="212"/>
          <w:jc w:val="center"/>
        </w:trPr>
        <w:tc>
          <w:tcPr>
            <w:cnfStyle w:val="001000000000" w:firstRow="0" w:lastRow="0" w:firstColumn="1" w:lastColumn="0" w:oddVBand="0" w:evenVBand="0" w:oddHBand="0" w:evenHBand="0" w:firstRowFirstColumn="0" w:firstRowLastColumn="0" w:lastRowFirstColumn="0" w:lastRowLastColumn="0"/>
            <w:tcW w:w="1524" w:type="dxa"/>
            <w:vMerge/>
            <w:tcBorders>
              <w:left w:val="none" w:sz="0" w:space="0" w:color="auto"/>
            </w:tcBorders>
            <w:shd w:val="clear" w:color="auto" w:fill="auto"/>
          </w:tcPr>
          <w:p w14:paraId="573BBC0B" w14:textId="77777777" w:rsidR="000B7A0E" w:rsidRPr="003E284C" w:rsidRDefault="000B7A0E" w:rsidP="006E2873">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1732" w:type="dxa"/>
            <w:shd w:val="clear" w:color="auto" w:fill="auto"/>
          </w:tcPr>
          <w:p w14:paraId="29A9CBC3" w14:textId="1A0F0453" w:rsidR="000B7A0E" w:rsidRPr="003E284C" w:rsidRDefault="000B7A0E" w:rsidP="006E28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&lt;</w:t>
            </w:r>
            <w:r w:rsidR="00456A9D" w:rsidRPr="003E284C">
              <w:rPr>
                <w:rFonts w:ascii="Times New Roman" w:hAnsi="Times New Roman" w:cs="Times New Roman"/>
                <w:sz w:val="24"/>
                <w:szCs w:val="24"/>
                <w:lang w:val="es-ES"/>
              </w:rPr>
              <w:t xml:space="preserve"> </w:t>
            </w:r>
            <w:r w:rsidRPr="003E284C">
              <w:rPr>
                <w:rFonts w:ascii="Times New Roman" w:hAnsi="Times New Roman" w:cs="Times New Roman"/>
                <w:sz w:val="24"/>
                <w:szCs w:val="24"/>
                <w:lang w:val="es-ES"/>
              </w:rPr>
              <w:t>25</w:t>
            </w:r>
          </w:p>
        </w:tc>
        <w:tc>
          <w:tcPr>
            <w:tcW w:w="2268" w:type="dxa"/>
            <w:vMerge/>
            <w:shd w:val="clear" w:color="auto" w:fill="auto"/>
          </w:tcPr>
          <w:p w14:paraId="53D31694"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2126" w:type="dxa"/>
            <w:vMerge/>
            <w:shd w:val="clear" w:color="auto" w:fill="auto"/>
          </w:tcPr>
          <w:p w14:paraId="6415FB0A"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701" w:type="dxa"/>
            <w:vMerge/>
            <w:shd w:val="clear" w:color="auto" w:fill="auto"/>
          </w:tcPr>
          <w:p w14:paraId="3A4C8F37"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49041C6F" w14:textId="77777777" w:rsidTr="003E284C">
        <w:trPr>
          <w:cnfStyle w:val="000000100000" w:firstRow="0" w:lastRow="0" w:firstColumn="0" w:lastColumn="0" w:oddVBand="0" w:evenVBand="0" w:oddHBand="1" w:evenHBand="0"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1524" w:type="dxa"/>
            <w:vMerge w:val="restart"/>
            <w:tcBorders>
              <w:left w:val="none" w:sz="0" w:space="0" w:color="auto"/>
            </w:tcBorders>
            <w:shd w:val="clear" w:color="auto" w:fill="auto"/>
          </w:tcPr>
          <w:p w14:paraId="10B5430A" w14:textId="77777777" w:rsidR="000B7A0E" w:rsidRPr="003E284C" w:rsidRDefault="000B7A0E" w:rsidP="006E2873">
            <w:pPr>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PAS</w:t>
            </w:r>
          </w:p>
        </w:tc>
        <w:tc>
          <w:tcPr>
            <w:tcW w:w="1732" w:type="dxa"/>
            <w:shd w:val="clear" w:color="auto" w:fill="auto"/>
          </w:tcPr>
          <w:p w14:paraId="14D9A037"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121-300</w:t>
            </w:r>
          </w:p>
        </w:tc>
        <w:tc>
          <w:tcPr>
            <w:tcW w:w="2268" w:type="dxa"/>
            <w:vMerge w:val="restart"/>
            <w:shd w:val="clear" w:color="auto" w:fill="auto"/>
          </w:tcPr>
          <w:p w14:paraId="245739F7"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1.34</w:t>
            </w:r>
          </w:p>
        </w:tc>
        <w:tc>
          <w:tcPr>
            <w:tcW w:w="2126" w:type="dxa"/>
            <w:vMerge w:val="restart"/>
            <w:shd w:val="clear" w:color="auto" w:fill="auto"/>
          </w:tcPr>
          <w:p w14:paraId="4157817C"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0.49-3.77</w:t>
            </w:r>
          </w:p>
        </w:tc>
        <w:tc>
          <w:tcPr>
            <w:tcW w:w="1701" w:type="dxa"/>
            <w:vMerge w:val="restart"/>
            <w:shd w:val="clear" w:color="auto" w:fill="auto"/>
          </w:tcPr>
          <w:p w14:paraId="550F5A32" w14:textId="4F19EDC9"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0.51</w:t>
            </w:r>
            <w:r w:rsidR="004E05F3" w:rsidRPr="003E284C">
              <w:rPr>
                <w:rFonts w:ascii="Times New Roman" w:hAnsi="Times New Roman" w:cs="Times New Roman"/>
                <w:sz w:val="24"/>
                <w:szCs w:val="24"/>
                <w:lang w:val="es-ES"/>
              </w:rPr>
              <w:t>95</w:t>
            </w:r>
          </w:p>
        </w:tc>
      </w:tr>
      <w:tr w:rsidR="003E284C" w:rsidRPr="003E284C" w14:paraId="44A3B952" w14:textId="77777777" w:rsidTr="003E284C">
        <w:trPr>
          <w:trHeight w:val="319"/>
          <w:jc w:val="center"/>
        </w:trPr>
        <w:tc>
          <w:tcPr>
            <w:cnfStyle w:val="001000000000" w:firstRow="0" w:lastRow="0" w:firstColumn="1" w:lastColumn="0" w:oddVBand="0" w:evenVBand="0" w:oddHBand="0" w:evenHBand="0" w:firstRowFirstColumn="0" w:firstRowLastColumn="0" w:lastRowFirstColumn="0" w:lastRowLastColumn="0"/>
            <w:tcW w:w="1524" w:type="dxa"/>
            <w:vMerge/>
            <w:tcBorders>
              <w:left w:val="none" w:sz="0" w:space="0" w:color="auto"/>
            </w:tcBorders>
            <w:shd w:val="clear" w:color="auto" w:fill="auto"/>
          </w:tcPr>
          <w:p w14:paraId="3DC3BA39" w14:textId="77777777" w:rsidR="000B7A0E" w:rsidRPr="003E284C" w:rsidRDefault="000B7A0E" w:rsidP="006E2873">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1732" w:type="dxa"/>
            <w:shd w:val="clear" w:color="auto" w:fill="auto"/>
          </w:tcPr>
          <w:p w14:paraId="18CBE5C4" w14:textId="77777777" w:rsidR="000B7A0E" w:rsidRPr="003E284C" w:rsidRDefault="000B7A0E" w:rsidP="006E28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80-120</w:t>
            </w:r>
          </w:p>
        </w:tc>
        <w:tc>
          <w:tcPr>
            <w:tcW w:w="2268" w:type="dxa"/>
            <w:vMerge/>
            <w:shd w:val="clear" w:color="auto" w:fill="auto"/>
          </w:tcPr>
          <w:p w14:paraId="0D643EEB"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2126" w:type="dxa"/>
            <w:vMerge/>
            <w:shd w:val="clear" w:color="auto" w:fill="auto"/>
          </w:tcPr>
          <w:p w14:paraId="59CE7857"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701" w:type="dxa"/>
            <w:vMerge/>
            <w:shd w:val="clear" w:color="auto" w:fill="auto"/>
          </w:tcPr>
          <w:p w14:paraId="60EB7992"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2498E224" w14:textId="77777777" w:rsidTr="003E284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1524" w:type="dxa"/>
            <w:vMerge w:val="restart"/>
            <w:tcBorders>
              <w:left w:val="none" w:sz="0" w:space="0" w:color="auto"/>
            </w:tcBorders>
            <w:shd w:val="clear" w:color="auto" w:fill="auto"/>
          </w:tcPr>
          <w:p w14:paraId="58094C1D" w14:textId="77777777" w:rsidR="000B7A0E" w:rsidRPr="003E284C" w:rsidRDefault="000B7A0E" w:rsidP="006E2873">
            <w:pPr>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PAD</w:t>
            </w:r>
          </w:p>
        </w:tc>
        <w:tc>
          <w:tcPr>
            <w:tcW w:w="1732" w:type="dxa"/>
            <w:shd w:val="clear" w:color="auto" w:fill="auto"/>
          </w:tcPr>
          <w:p w14:paraId="77B9DFC1"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81-150</w:t>
            </w:r>
          </w:p>
        </w:tc>
        <w:tc>
          <w:tcPr>
            <w:tcW w:w="2268" w:type="dxa"/>
            <w:vMerge w:val="restart"/>
            <w:shd w:val="clear" w:color="auto" w:fill="auto"/>
          </w:tcPr>
          <w:p w14:paraId="6C57B242"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0.60</w:t>
            </w:r>
          </w:p>
        </w:tc>
        <w:tc>
          <w:tcPr>
            <w:tcW w:w="2126" w:type="dxa"/>
            <w:vMerge w:val="restart"/>
            <w:shd w:val="clear" w:color="auto" w:fill="auto"/>
          </w:tcPr>
          <w:p w14:paraId="7B5E6C75"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0.14-1.94</w:t>
            </w:r>
          </w:p>
        </w:tc>
        <w:tc>
          <w:tcPr>
            <w:tcW w:w="1701" w:type="dxa"/>
            <w:vMerge w:val="restart"/>
            <w:shd w:val="clear" w:color="auto" w:fill="auto"/>
          </w:tcPr>
          <w:p w14:paraId="4283FDE8" w14:textId="1B4AD3AD"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0.37</w:t>
            </w:r>
            <w:r w:rsidR="004E05F3" w:rsidRPr="003E284C">
              <w:rPr>
                <w:rFonts w:ascii="Times New Roman" w:hAnsi="Times New Roman" w:cs="Times New Roman"/>
                <w:sz w:val="24"/>
                <w:szCs w:val="24"/>
                <w:lang w:val="es-ES"/>
              </w:rPr>
              <w:t>62</w:t>
            </w:r>
          </w:p>
          <w:p w14:paraId="7073C6A7"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p>
        </w:tc>
      </w:tr>
      <w:tr w:rsidR="003E284C" w:rsidRPr="003E284C" w14:paraId="23B73023" w14:textId="77777777" w:rsidTr="003E284C">
        <w:trPr>
          <w:trHeight w:val="319"/>
          <w:jc w:val="center"/>
        </w:trPr>
        <w:tc>
          <w:tcPr>
            <w:cnfStyle w:val="001000000000" w:firstRow="0" w:lastRow="0" w:firstColumn="1" w:lastColumn="0" w:oddVBand="0" w:evenVBand="0" w:oddHBand="0" w:evenHBand="0" w:firstRowFirstColumn="0" w:firstRowLastColumn="0" w:lastRowFirstColumn="0" w:lastRowLastColumn="0"/>
            <w:tcW w:w="1524" w:type="dxa"/>
            <w:vMerge/>
            <w:tcBorders>
              <w:left w:val="none" w:sz="0" w:space="0" w:color="auto"/>
            </w:tcBorders>
            <w:shd w:val="clear" w:color="auto" w:fill="auto"/>
          </w:tcPr>
          <w:p w14:paraId="18284118" w14:textId="77777777" w:rsidR="000B7A0E" w:rsidRPr="003E284C" w:rsidRDefault="000B7A0E" w:rsidP="006E2873">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1732" w:type="dxa"/>
            <w:shd w:val="clear" w:color="auto" w:fill="auto"/>
          </w:tcPr>
          <w:p w14:paraId="5B55EA2B" w14:textId="77777777" w:rsidR="000B7A0E" w:rsidRPr="003E284C" w:rsidRDefault="000B7A0E" w:rsidP="006E28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40-80</w:t>
            </w:r>
          </w:p>
        </w:tc>
        <w:tc>
          <w:tcPr>
            <w:tcW w:w="2268" w:type="dxa"/>
            <w:vMerge/>
            <w:shd w:val="clear" w:color="auto" w:fill="auto"/>
          </w:tcPr>
          <w:p w14:paraId="741FEC36"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2126" w:type="dxa"/>
            <w:vMerge/>
            <w:shd w:val="clear" w:color="auto" w:fill="auto"/>
          </w:tcPr>
          <w:p w14:paraId="07B5BE52"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701" w:type="dxa"/>
            <w:vMerge/>
            <w:shd w:val="clear" w:color="auto" w:fill="auto"/>
          </w:tcPr>
          <w:p w14:paraId="6252F613"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0E66B949" w14:textId="77777777" w:rsidTr="003E284C">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1524" w:type="dxa"/>
            <w:vMerge w:val="restart"/>
            <w:tcBorders>
              <w:left w:val="none" w:sz="0" w:space="0" w:color="auto"/>
            </w:tcBorders>
            <w:shd w:val="clear" w:color="auto" w:fill="auto"/>
          </w:tcPr>
          <w:p w14:paraId="45BE8482" w14:textId="77777777" w:rsidR="000B7A0E" w:rsidRPr="003E284C" w:rsidRDefault="000B7A0E" w:rsidP="006E2873">
            <w:pPr>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Alb</w:t>
            </w:r>
          </w:p>
        </w:tc>
        <w:tc>
          <w:tcPr>
            <w:tcW w:w="1732" w:type="dxa"/>
            <w:shd w:val="clear" w:color="auto" w:fill="auto"/>
          </w:tcPr>
          <w:p w14:paraId="38EE483E" w14:textId="4D25A5A4" w:rsidR="000B7A0E" w:rsidRPr="003E284C" w:rsidRDefault="00000000"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sdt>
              <w:sdtPr>
                <w:rPr>
                  <w:rFonts w:ascii="Times New Roman" w:hAnsi="Times New Roman" w:cs="Times New Roman"/>
                  <w:sz w:val="24"/>
                  <w:szCs w:val="24"/>
                  <w:lang w:val="es-ES"/>
                </w:rPr>
                <w:tag w:val="goog_rdk_2"/>
                <w:id w:val="937495215"/>
              </w:sdtPr>
              <w:sdtContent>
                <w:r w:rsidR="000B7A0E" w:rsidRPr="003E284C">
                  <w:rPr>
                    <w:rFonts w:ascii="Times New Roman" w:eastAsia="Arial Unicode MS" w:hAnsi="Times New Roman" w:cs="Times New Roman"/>
                    <w:sz w:val="24"/>
                    <w:szCs w:val="24"/>
                    <w:lang w:val="es-ES"/>
                  </w:rPr>
                  <w:t>≥</w:t>
                </w:r>
                <w:r w:rsidR="00456A9D" w:rsidRPr="003E284C">
                  <w:rPr>
                    <w:rFonts w:ascii="Times New Roman" w:eastAsia="Arial Unicode MS" w:hAnsi="Times New Roman" w:cs="Times New Roman"/>
                    <w:sz w:val="24"/>
                    <w:szCs w:val="24"/>
                    <w:lang w:val="es-ES"/>
                  </w:rPr>
                  <w:t xml:space="preserve"> </w:t>
                </w:r>
                <w:r w:rsidR="000B7A0E" w:rsidRPr="003E284C">
                  <w:rPr>
                    <w:rFonts w:ascii="Times New Roman" w:eastAsia="Arial Unicode MS" w:hAnsi="Times New Roman" w:cs="Times New Roman"/>
                    <w:sz w:val="24"/>
                    <w:szCs w:val="24"/>
                    <w:lang w:val="es-ES"/>
                  </w:rPr>
                  <w:t>30</w:t>
                </w:r>
              </w:sdtContent>
            </w:sdt>
          </w:p>
        </w:tc>
        <w:tc>
          <w:tcPr>
            <w:tcW w:w="2268" w:type="dxa"/>
            <w:vMerge w:val="restart"/>
            <w:shd w:val="clear" w:color="auto" w:fill="auto"/>
          </w:tcPr>
          <w:p w14:paraId="7CA57EB3"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4.63</w:t>
            </w:r>
          </w:p>
        </w:tc>
        <w:tc>
          <w:tcPr>
            <w:tcW w:w="2126" w:type="dxa"/>
            <w:vMerge w:val="restart"/>
            <w:shd w:val="clear" w:color="auto" w:fill="auto"/>
          </w:tcPr>
          <w:p w14:paraId="73FA8B84"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1.52-13.01</w:t>
            </w:r>
          </w:p>
        </w:tc>
        <w:tc>
          <w:tcPr>
            <w:tcW w:w="1701" w:type="dxa"/>
            <w:vMerge w:val="restart"/>
            <w:shd w:val="clear" w:color="auto" w:fill="auto"/>
          </w:tcPr>
          <w:p w14:paraId="6DC735C5"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0.0007</w:t>
            </w:r>
          </w:p>
        </w:tc>
      </w:tr>
      <w:tr w:rsidR="003E284C" w:rsidRPr="003E284C" w14:paraId="539F17A2" w14:textId="77777777" w:rsidTr="003E284C">
        <w:trPr>
          <w:trHeight w:val="319"/>
          <w:jc w:val="center"/>
        </w:trPr>
        <w:tc>
          <w:tcPr>
            <w:cnfStyle w:val="001000000000" w:firstRow="0" w:lastRow="0" w:firstColumn="1" w:lastColumn="0" w:oddVBand="0" w:evenVBand="0" w:oddHBand="0" w:evenHBand="0" w:firstRowFirstColumn="0" w:firstRowLastColumn="0" w:lastRowFirstColumn="0" w:lastRowLastColumn="0"/>
            <w:tcW w:w="1524" w:type="dxa"/>
            <w:vMerge/>
            <w:tcBorders>
              <w:left w:val="none" w:sz="0" w:space="0" w:color="auto"/>
            </w:tcBorders>
            <w:shd w:val="clear" w:color="auto" w:fill="auto"/>
          </w:tcPr>
          <w:p w14:paraId="15DEDC98" w14:textId="77777777" w:rsidR="000B7A0E" w:rsidRPr="003E284C" w:rsidRDefault="000B7A0E" w:rsidP="006E2873">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1732" w:type="dxa"/>
            <w:shd w:val="clear" w:color="auto" w:fill="auto"/>
          </w:tcPr>
          <w:p w14:paraId="21C17A1A" w14:textId="385054FA" w:rsidR="000B7A0E" w:rsidRPr="003E284C" w:rsidRDefault="000B7A0E" w:rsidP="006E28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&lt;</w:t>
            </w:r>
            <w:r w:rsidR="00456A9D" w:rsidRPr="003E284C">
              <w:rPr>
                <w:rFonts w:ascii="Times New Roman" w:hAnsi="Times New Roman" w:cs="Times New Roman"/>
                <w:sz w:val="24"/>
                <w:szCs w:val="24"/>
                <w:lang w:val="es-ES"/>
              </w:rPr>
              <w:t xml:space="preserve"> </w:t>
            </w:r>
            <w:r w:rsidRPr="003E284C">
              <w:rPr>
                <w:rFonts w:ascii="Times New Roman" w:hAnsi="Times New Roman" w:cs="Times New Roman"/>
                <w:sz w:val="24"/>
                <w:szCs w:val="24"/>
                <w:lang w:val="es-ES"/>
              </w:rPr>
              <w:t>30</w:t>
            </w:r>
          </w:p>
        </w:tc>
        <w:tc>
          <w:tcPr>
            <w:tcW w:w="2268" w:type="dxa"/>
            <w:vMerge/>
            <w:shd w:val="clear" w:color="auto" w:fill="auto"/>
          </w:tcPr>
          <w:p w14:paraId="6A1A7197"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2126" w:type="dxa"/>
            <w:vMerge/>
            <w:shd w:val="clear" w:color="auto" w:fill="auto"/>
          </w:tcPr>
          <w:p w14:paraId="1384A897"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701" w:type="dxa"/>
            <w:vMerge/>
            <w:shd w:val="clear" w:color="auto" w:fill="auto"/>
          </w:tcPr>
          <w:p w14:paraId="6344708F"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33904A48" w14:textId="77777777" w:rsidTr="003E284C">
        <w:trPr>
          <w:cnfStyle w:val="000000100000" w:firstRow="0" w:lastRow="0" w:firstColumn="0" w:lastColumn="0" w:oddVBand="0" w:evenVBand="0" w:oddHBand="1" w:evenHBand="0" w:firstRowFirstColumn="0" w:firstRowLastColumn="0" w:lastRowFirstColumn="0" w:lastRowLastColumn="0"/>
          <w:trHeight w:val="351"/>
          <w:jc w:val="center"/>
        </w:trPr>
        <w:tc>
          <w:tcPr>
            <w:cnfStyle w:val="001000000000" w:firstRow="0" w:lastRow="0" w:firstColumn="1" w:lastColumn="0" w:oddVBand="0" w:evenVBand="0" w:oddHBand="0" w:evenHBand="0" w:firstRowFirstColumn="0" w:firstRowLastColumn="0" w:lastRowFirstColumn="0" w:lastRowLastColumn="0"/>
            <w:tcW w:w="1524" w:type="dxa"/>
            <w:vMerge w:val="restart"/>
            <w:tcBorders>
              <w:left w:val="none" w:sz="0" w:space="0" w:color="auto"/>
            </w:tcBorders>
            <w:shd w:val="clear" w:color="auto" w:fill="auto"/>
          </w:tcPr>
          <w:p w14:paraId="195A7B18" w14:textId="77777777" w:rsidR="000B7A0E" w:rsidRPr="003E284C" w:rsidRDefault="000B7A0E" w:rsidP="006E2873">
            <w:pPr>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Urea</w:t>
            </w:r>
          </w:p>
        </w:tc>
        <w:tc>
          <w:tcPr>
            <w:tcW w:w="1732" w:type="dxa"/>
            <w:shd w:val="clear" w:color="auto" w:fill="auto"/>
          </w:tcPr>
          <w:p w14:paraId="3F310802" w14:textId="7CD8D0D6" w:rsidR="000B7A0E" w:rsidRPr="003E284C" w:rsidRDefault="00000000"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sdt>
              <w:sdtPr>
                <w:rPr>
                  <w:rFonts w:ascii="Times New Roman" w:hAnsi="Times New Roman" w:cs="Times New Roman"/>
                  <w:sz w:val="24"/>
                  <w:szCs w:val="24"/>
                  <w:lang w:val="es-ES"/>
                </w:rPr>
                <w:tag w:val="goog_rdk_3"/>
                <w:id w:val="544033267"/>
              </w:sdtPr>
              <w:sdtContent>
                <w:r w:rsidR="000B7A0E" w:rsidRPr="003E284C">
                  <w:rPr>
                    <w:rFonts w:ascii="Times New Roman" w:eastAsia="Arial Unicode MS" w:hAnsi="Times New Roman" w:cs="Times New Roman"/>
                    <w:sz w:val="24"/>
                    <w:szCs w:val="24"/>
                    <w:lang w:val="es-ES"/>
                  </w:rPr>
                  <w:t>≥</w:t>
                </w:r>
                <w:r w:rsidR="00456A9D" w:rsidRPr="003E284C">
                  <w:rPr>
                    <w:rFonts w:ascii="Times New Roman" w:eastAsia="Arial Unicode MS" w:hAnsi="Times New Roman" w:cs="Times New Roman"/>
                    <w:sz w:val="24"/>
                    <w:szCs w:val="24"/>
                    <w:lang w:val="es-ES"/>
                  </w:rPr>
                  <w:t xml:space="preserve"> </w:t>
                </w:r>
                <w:r w:rsidR="000B7A0E" w:rsidRPr="003E284C">
                  <w:rPr>
                    <w:rFonts w:ascii="Times New Roman" w:eastAsia="Arial Unicode MS" w:hAnsi="Times New Roman" w:cs="Times New Roman"/>
                    <w:sz w:val="24"/>
                    <w:szCs w:val="24"/>
                    <w:lang w:val="es-ES"/>
                  </w:rPr>
                  <w:t>44</w:t>
                </w:r>
              </w:sdtContent>
            </w:sdt>
          </w:p>
        </w:tc>
        <w:tc>
          <w:tcPr>
            <w:tcW w:w="2268" w:type="dxa"/>
            <w:vMerge w:val="restart"/>
            <w:shd w:val="clear" w:color="auto" w:fill="auto"/>
          </w:tcPr>
          <w:p w14:paraId="6C90C63F"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29.62</w:t>
            </w:r>
          </w:p>
        </w:tc>
        <w:tc>
          <w:tcPr>
            <w:tcW w:w="2126" w:type="dxa"/>
            <w:vMerge w:val="restart"/>
            <w:shd w:val="clear" w:color="auto" w:fill="auto"/>
          </w:tcPr>
          <w:p w14:paraId="09125C9F"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9.38-94.31</w:t>
            </w:r>
          </w:p>
        </w:tc>
        <w:tc>
          <w:tcPr>
            <w:tcW w:w="1701" w:type="dxa"/>
            <w:vMerge w:val="restart"/>
            <w:shd w:val="clear" w:color="auto" w:fill="auto"/>
          </w:tcPr>
          <w:p w14:paraId="2077EB72" w14:textId="76F6FF28"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0.000</w:t>
            </w:r>
            <w:r w:rsidR="004E05F3" w:rsidRPr="003E284C">
              <w:rPr>
                <w:rFonts w:ascii="Times New Roman" w:hAnsi="Times New Roman" w:cs="Times New Roman"/>
                <w:sz w:val="24"/>
                <w:szCs w:val="24"/>
                <w:lang w:val="es-ES"/>
              </w:rPr>
              <w:t>1</w:t>
            </w:r>
          </w:p>
        </w:tc>
      </w:tr>
      <w:tr w:rsidR="003E284C" w:rsidRPr="003E284C" w14:paraId="2CC8E080" w14:textId="77777777" w:rsidTr="003E284C">
        <w:trPr>
          <w:trHeight w:val="319"/>
          <w:jc w:val="center"/>
        </w:trPr>
        <w:tc>
          <w:tcPr>
            <w:cnfStyle w:val="001000000000" w:firstRow="0" w:lastRow="0" w:firstColumn="1" w:lastColumn="0" w:oddVBand="0" w:evenVBand="0" w:oddHBand="0" w:evenHBand="0" w:firstRowFirstColumn="0" w:firstRowLastColumn="0" w:lastRowFirstColumn="0" w:lastRowLastColumn="0"/>
            <w:tcW w:w="1524" w:type="dxa"/>
            <w:vMerge/>
            <w:tcBorders>
              <w:left w:val="none" w:sz="0" w:space="0" w:color="auto"/>
            </w:tcBorders>
            <w:shd w:val="clear" w:color="auto" w:fill="auto"/>
          </w:tcPr>
          <w:p w14:paraId="417E8C24" w14:textId="77777777" w:rsidR="000B7A0E" w:rsidRPr="003E284C" w:rsidRDefault="000B7A0E" w:rsidP="006E2873">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1732" w:type="dxa"/>
            <w:shd w:val="clear" w:color="auto" w:fill="auto"/>
          </w:tcPr>
          <w:p w14:paraId="2ED30EB5" w14:textId="24D08FAA" w:rsidR="000B7A0E" w:rsidRPr="003E284C" w:rsidRDefault="000B7A0E" w:rsidP="006E28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&lt;</w:t>
            </w:r>
            <w:r w:rsidR="00456A9D" w:rsidRPr="003E284C">
              <w:rPr>
                <w:rFonts w:ascii="Times New Roman" w:hAnsi="Times New Roman" w:cs="Times New Roman"/>
                <w:sz w:val="24"/>
                <w:szCs w:val="24"/>
                <w:lang w:val="es-ES"/>
              </w:rPr>
              <w:t xml:space="preserve"> </w:t>
            </w:r>
            <w:r w:rsidRPr="003E284C">
              <w:rPr>
                <w:rFonts w:ascii="Times New Roman" w:hAnsi="Times New Roman" w:cs="Times New Roman"/>
                <w:sz w:val="24"/>
                <w:szCs w:val="24"/>
                <w:lang w:val="es-ES"/>
              </w:rPr>
              <w:t>44</w:t>
            </w:r>
          </w:p>
        </w:tc>
        <w:tc>
          <w:tcPr>
            <w:tcW w:w="2268" w:type="dxa"/>
            <w:vMerge/>
            <w:shd w:val="clear" w:color="auto" w:fill="auto"/>
          </w:tcPr>
          <w:p w14:paraId="476E494A"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2126" w:type="dxa"/>
            <w:vMerge/>
            <w:shd w:val="clear" w:color="auto" w:fill="auto"/>
          </w:tcPr>
          <w:p w14:paraId="6CFE7425"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701" w:type="dxa"/>
            <w:vMerge/>
            <w:shd w:val="clear" w:color="auto" w:fill="auto"/>
          </w:tcPr>
          <w:p w14:paraId="78BAAE97"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6BCE744E" w14:textId="77777777" w:rsidTr="003E284C">
        <w:trPr>
          <w:cnfStyle w:val="000000100000" w:firstRow="0" w:lastRow="0" w:firstColumn="0" w:lastColumn="0" w:oddVBand="0" w:evenVBand="0" w:oddHBand="1"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1524" w:type="dxa"/>
            <w:vMerge w:val="restart"/>
            <w:tcBorders>
              <w:left w:val="none" w:sz="0" w:space="0" w:color="auto"/>
            </w:tcBorders>
            <w:shd w:val="clear" w:color="auto" w:fill="auto"/>
          </w:tcPr>
          <w:p w14:paraId="31595BE7" w14:textId="77777777" w:rsidR="000B7A0E" w:rsidRPr="003E284C" w:rsidRDefault="000B7A0E" w:rsidP="006E2873">
            <w:pPr>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AU</w:t>
            </w:r>
          </w:p>
        </w:tc>
        <w:tc>
          <w:tcPr>
            <w:tcW w:w="1732" w:type="dxa"/>
            <w:shd w:val="clear" w:color="auto" w:fill="auto"/>
          </w:tcPr>
          <w:p w14:paraId="4C2778BF" w14:textId="70243237" w:rsidR="000B7A0E" w:rsidRPr="003E284C" w:rsidRDefault="00000000"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sdt>
              <w:sdtPr>
                <w:rPr>
                  <w:rFonts w:ascii="Times New Roman" w:hAnsi="Times New Roman" w:cs="Times New Roman"/>
                  <w:sz w:val="24"/>
                  <w:szCs w:val="24"/>
                  <w:lang w:val="es-ES"/>
                </w:rPr>
                <w:tag w:val="goog_rdk_4"/>
                <w:id w:val="1274756525"/>
              </w:sdtPr>
              <w:sdtContent>
                <w:r w:rsidR="000B7A0E" w:rsidRPr="003E284C">
                  <w:rPr>
                    <w:rFonts w:ascii="Times New Roman" w:eastAsia="Arial Unicode MS" w:hAnsi="Times New Roman" w:cs="Times New Roman"/>
                    <w:sz w:val="24"/>
                    <w:szCs w:val="24"/>
                    <w:lang w:val="es-ES"/>
                  </w:rPr>
                  <w:t>≥</w:t>
                </w:r>
                <w:r w:rsidR="00456A9D" w:rsidRPr="003E284C">
                  <w:rPr>
                    <w:rFonts w:ascii="Times New Roman" w:eastAsia="Arial Unicode MS" w:hAnsi="Times New Roman" w:cs="Times New Roman"/>
                    <w:sz w:val="24"/>
                    <w:szCs w:val="24"/>
                    <w:lang w:val="es-ES"/>
                  </w:rPr>
                  <w:t xml:space="preserve"> </w:t>
                </w:r>
                <w:r w:rsidR="000B7A0E" w:rsidRPr="003E284C">
                  <w:rPr>
                    <w:rFonts w:ascii="Times New Roman" w:eastAsia="Arial Unicode MS" w:hAnsi="Times New Roman" w:cs="Times New Roman"/>
                    <w:sz w:val="24"/>
                    <w:szCs w:val="24"/>
                    <w:lang w:val="es-ES"/>
                  </w:rPr>
                  <w:t>8.5</w:t>
                </w:r>
              </w:sdtContent>
            </w:sdt>
          </w:p>
        </w:tc>
        <w:tc>
          <w:tcPr>
            <w:tcW w:w="2268" w:type="dxa"/>
            <w:vMerge w:val="restart"/>
            <w:shd w:val="clear" w:color="auto" w:fill="auto"/>
          </w:tcPr>
          <w:p w14:paraId="7561D778"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8.97</w:t>
            </w:r>
          </w:p>
        </w:tc>
        <w:tc>
          <w:tcPr>
            <w:tcW w:w="2126" w:type="dxa"/>
            <w:vMerge w:val="restart"/>
            <w:shd w:val="clear" w:color="auto" w:fill="auto"/>
          </w:tcPr>
          <w:p w14:paraId="45940F14"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1.79-36.23</w:t>
            </w:r>
          </w:p>
        </w:tc>
        <w:tc>
          <w:tcPr>
            <w:tcW w:w="1701" w:type="dxa"/>
            <w:vMerge w:val="restart"/>
            <w:shd w:val="clear" w:color="auto" w:fill="auto"/>
          </w:tcPr>
          <w:p w14:paraId="5C134F1A" w14:textId="0E62939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0.00</w:t>
            </w:r>
            <w:r w:rsidR="004E05F3" w:rsidRPr="003E284C">
              <w:rPr>
                <w:rFonts w:ascii="Times New Roman" w:hAnsi="Times New Roman" w:cs="Times New Roman"/>
                <w:sz w:val="24"/>
                <w:szCs w:val="24"/>
                <w:lang w:val="es-ES"/>
              </w:rPr>
              <w:t>0</w:t>
            </w:r>
            <w:r w:rsidRPr="003E284C">
              <w:rPr>
                <w:rFonts w:ascii="Times New Roman" w:hAnsi="Times New Roman" w:cs="Times New Roman"/>
                <w:sz w:val="24"/>
                <w:szCs w:val="24"/>
                <w:lang w:val="es-ES"/>
              </w:rPr>
              <w:t>1</w:t>
            </w:r>
          </w:p>
        </w:tc>
      </w:tr>
      <w:tr w:rsidR="003E284C" w:rsidRPr="003E284C" w14:paraId="0A903909" w14:textId="77777777" w:rsidTr="003E284C">
        <w:trPr>
          <w:trHeight w:val="319"/>
          <w:jc w:val="center"/>
        </w:trPr>
        <w:tc>
          <w:tcPr>
            <w:cnfStyle w:val="001000000000" w:firstRow="0" w:lastRow="0" w:firstColumn="1" w:lastColumn="0" w:oddVBand="0" w:evenVBand="0" w:oddHBand="0" w:evenHBand="0" w:firstRowFirstColumn="0" w:firstRowLastColumn="0" w:lastRowFirstColumn="0" w:lastRowLastColumn="0"/>
            <w:tcW w:w="1524" w:type="dxa"/>
            <w:vMerge/>
            <w:tcBorders>
              <w:left w:val="none" w:sz="0" w:space="0" w:color="auto"/>
            </w:tcBorders>
            <w:shd w:val="clear" w:color="auto" w:fill="auto"/>
          </w:tcPr>
          <w:p w14:paraId="6A50C8B3" w14:textId="77777777" w:rsidR="000B7A0E" w:rsidRPr="003E284C" w:rsidRDefault="000B7A0E" w:rsidP="006E2873">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1732" w:type="dxa"/>
            <w:shd w:val="clear" w:color="auto" w:fill="auto"/>
          </w:tcPr>
          <w:p w14:paraId="38305850" w14:textId="37A7506E" w:rsidR="000B7A0E" w:rsidRPr="003E284C" w:rsidRDefault="000B7A0E" w:rsidP="006E28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&lt;</w:t>
            </w:r>
            <w:r w:rsidR="00456A9D" w:rsidRPr="003E284C">
              <w:rPr>
                <w:rFonts w:ascii="Times New Roman" w:hAnsi="Times New Roman" w:cs="Times New Roman"/>
                <w:sz w:val="24"/>
                <w:szCs w:val="24"/>
                <w:lang w:val="es-ES"/>
              </w:rPr>
              <w:t xml:space="preserve"> </w:t>
            </w:r>
            <w:r w:rsidRPr="003E284C">
              <w:rPr>
                <w:rFonts w:ascii="Times New Roman" w:hAnsi="Times New Roman" w:cs="Times New Roman"/>
                <w:sz w:val="24"/>
                <w:szCs w:val="24"/>
                <w:lang w:val="es-ES"/>
              </w:rPr>
              <w:t>8.5</w:t>
            </w:r>
          </w:p>
        </w:tc>
        <w:tc>
          <w:tcPr>
            <w:tcW w:w="2268" w:type="dxa"/>
            <w:vMerge/>
            <w:shd w:val="clear" w:color="auto" w:fill="auto"/>
          </w:tcPr>
          <w:p w14:paraId="241CBD44"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2126" w:type="dxa"/>
            <w:vMerge/>
            <w:shd w:val="clear" w:color="auto" w:fill="auto"/>
          </w:tcPr>
          <w:p w14:paraId="7D959CE9"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701" w:type="dxa"/>
            <w:vMerge/>
            <w:shd w:val="clear" w:color="auto" w:fill="auto"/>
          </w:tcPr>
          <w:p w14:paraId="6FB19439"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6AC1F6CE" w14:textId="77777777" w:rsidTr="003E284C">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524" w:type="dxa"/>
            <w:vMerge w:val="restart"/>
            <w:tcBorders>
              <w:left w:val="none" w:sz="0" w:space="0" w:color="auto"/>
            </w:tcBorders>
            <w:shd w:val="clear" w:color="auto" w:fill="auto"/>
          </w:tcPr>
          <w:p w14:paraId="59E8B827" w14:textId="77777777" w:rsidR="000B7A0E" w:rsidRPr="003E284C" w:rsidRDefault="000B7A0E" w:rsidP="006E2873">
            <w:pPr>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Col.</w:t>
            </w:r>
          </w:p>
        </w:tc>
        <w:tc>
          <w:tcPr>
            <w:tcW w:w="1732" w:type="dxa"/>
            <w:shd w:val="clear" w:color="auto" w:fill="auto"/>
          </w:tcPr>
          <w:p w14:paraId="4FED9E9D" w14:textId="28C56DE5" w:rsidR="000B7A0E" w:rsidRPr="003E284C" w:rsidRDefault="00000000"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sdt>
              <w:sdtPr>
                <w:rPr>
                  <w:rFonts w:ascii="Times New Roman" w:hAnsi="Times New Roman" w:cs="Times New Roman"/>
                  <w:sz w:val="24"/>
                  <w:szCs w:val="24"/>
                  <w:lang w:val="es-ES"/>
                </w:rPr>
                <w:tag w:val="goog_rdk_5"/>
                <w:id w:val="1909885728"/>
              </w:sdtPr>
              <w:sdtContent>
                <w:r w:rsidR="000B7A0E" w:rsidRPr="003E284C">
                  <w:rPr>
                    <w:rFonts w:ascii="Times New Roman" w:eastAsia="Arial Unicode MS" w:hAnsi="Times New Roman" w:cs="Times New Roman"/>
                    <w:sz w:val="24"/>
                    <w:szCs w:val="24"/>
                    <w:lang w:val="es-ES"/>
                  </w:rPr>
                  <w:t>≥</w:t>
                </w:r>
                <w:r w:rsidR="00456A9D" w:rsidRPr="003E284C">
                  <w:rPr>
                    <w:rFonts w:ascii="Times New Roman" w:eastAsia="Arial Unicode MS" w:hAnsi="Times New Roman" w:cs="Times New Roman"/>
                    <w:sz w:val="24"/>
                    <w:szCs w:val="24"/>
                    <w:lang w:val="es-ES"/>
                  </w:rPr>
                  <w:t xml:space="preserve"> </w:t>
                </w:r>
                <w:r w:rsidR="000B7A0E" w:rsidRPr="003E284C">
                  <w:rPr>
                    <w:rFonts w:ascii="Times New Roman" w:eastAsia="Arial Unicode MS" w:hAnsi="Times New Roman" w:cs="Times New Roman"/>
                    <w:sz w:val="24"/>
                    <w:szCs w:val="24"/>
                    <w:lang w:val="es-ES"/>
                  </w:rPr>
                  <w:t>240</w:t>
                </w:r>
              </w:sdtContent>
            </w:sdt>
          </w:p>
        </w:tc>
        <w:tc>
          <w:tcPr>
            <w:tcW w:w="2268" w:type="dxa"/>
            <w:vMerge w:val="restart"/>
            <w:shd w:val="clear" w:color="auto" w:fill="auto"/>
          </w:tcPr>
          <w:p w14:paraId="5C42A566"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1.77</w:t>
            </w:r>
          </w:p>
        </w:tc>
        <w:tc>
          <w:tcPr>
            <w:tcW w:w="2126" w:type="dxa"/>
            <w:vMerge w:val="restart"/>
            <w:shd w:val="clear" w:color="auto" w:fill="auto"/>
          </w:tcPr>
          <w:p w14:paraId="03D022E2"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0.31-6.66</w:t>
            </w:r>
          </w:p>
        </w:tc>
        <w:tc>
          <w:tcPr>
            <w:tcW w:w="1701" w:type="dxa"/>
            <w:vMerge w:val="restart"/>
            <w:shd w:val="clear" w:color="auto" w:fill="auto"/>
          </w:tcPr>
          <w:p w14:paraId="62D6EFFF" w14:textId="509F67EB"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0.37</w:t>
            </w:r>
            <w:r w:rsidR="004E05F3" w:rsidRPr="003E284C">
              <w:rPr>
                <w:rFonts w:ascii="Times New Roman" w:hAnsi="Times New Roman" w:cs="Times New Roman"/>
                <w:sz w:val="24"/>
                <w:szCs w:val="24"/>
                <w:lang w:val="es-ES"/>
              </w:rPr>
              <w:t>42</w:t>
            </w:r>
          </w:p>
        </w:tc>
      </w:tr>
      <w:tr w:rsidR="003E284C" w:rsidRPr="003E284C" w14:paraId="163FAC32" w14:textId="77777777" w:rsidTr="003E284C">
        <w:trPr>
          <w:trHeight w:val="319"/>
          <w:jc w:val="center"/>
        </w:trPr>
        <w:tc>
          <w:tcPr>
            <w:cnfStyle w:val="001000000000" w:firstRow="0" w:lastRow="0" w:firstColumn="1" w:lastColumn="0" w:oddVBand="0" w:evenVBand="0" w:oddHBand="0" w:evenHBand="0" w:firstRowFirstColumn="0" w:firstRowLastColumn="0" w:lastRowFirstColumn="0" w:lastRowLastColumn="0"/>
            <w:tcW w:w="1524" w:type="dxa"/>
            <w:vMerge/>
            <w:tcBorders>
              <w:left w:val="none" w:sz="0" w:space="0" w:color="auto"/>
            </w:tcBorders>
            <w:shd w:val="clear" w:color="auto" w:fill="auto"/>
          </w:tcPr>
          <w:p w14:paraId="2E262FA1" w14:textId="77777777" w:rsidR="000B7A0E" w:rsidRPr="003E284C" w:rsidRDefault="000B7A0E" w:rsidP="006E2873">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1732" w:type="dxa"/>
            <w:shd w:val="clear" w:color="auto" w:fill="auto"/>
          </w:tcPr>
          <w:p w14:paraId="09FDF175" w14:textId="3915AD2E" w:rsidR="000B7A0E" w:rsidRPr="003E284C" w:rsidRDefault="000B7A0E" w:rsidP="006E28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&lt;</w:t>
            </w:r>
            <w:r w:rsidR="00456A9D" w:rsidRPr="003E284C">
              <w:rPr>
                <w:rFonts w:ascii="Times New Roman" w:hAnsi="Times New Roman" w:cs="Times New Roman"/>
                <w:sz w:val="24"/>
                <w:szCs w:val="24"/>
                <w:lang w:val="es-ES"/>
              </w:rPr>
              <w:t xml:space="preserve"> </w:t>
            </w:r>
            <w:r w:rsidRPr="003E284C">
              <w:rPr>
                <w:rFonts w:ascii="Times New Roman" w:hAnsi="Times New Roman" w:cs="Times New Roman"/>
                <w:sz w:val="24"/>
                <w:szCs w:val="24"/>
                <w:lang w:val="es-ES"/>
              </w:rPr>
              <w:t>240</w:t>
            </w:r>
          </w:p>
        </w:tc>
        <w:tc>
          <w:tcPr>
            <w:tcW w:w="2268" w:type="dxa"/>
            <w:vMerge/>
            <w:shd w:val="clear" w:color="auto" w:fill="auto"/>
          </w:tcPr>
          <w:p w14:paraId="23E492E3"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2126" w:type="dxa"/>
            <w:vMerge/>
            <w:shd w:val="clear" w:color="auto" w:fill="auto"/>
          </w:tcPr>
          <w:p w14:paraId="12E3E6E2"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701" w:type="dxa"/>
            <w:vMerge/>
            <w:shd w:val="clear" w:color="auto" w:fill="auto"/>
          </w:tcPr>
          <w:p w14:paraId="4C1D2C77"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392001B7" w14:textId="77777777" w:rsidTr="003E284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524" w:type="dxa"/>
            <w:vMerge w:val="restart"/>
            <w:tcBorders>
              <w:left w:val="none" w:sz="0" w:space="0" w:color="auto"/>
            </w:tcBorders>
            <w:shd w:val="clear" w:color="auto" w:fill="auto"/>
          </w:tcPr>
          <w:p w14:paraId="23BDC146" w14:textId="77777777" w:rsidR="000B7A0E" w:rsidRPr="003E284C" w:rsidRDefault="000B7A0E" w:rsidP="006E2873">
            <w:pPr>
              <w:rPr>
                <w:rFonts w:ascii="Times New Roman" w:hAnsi="Times New Roman" w:cs="Times New Roman"/>
                <w:b w:val="0"/>
                <w:bCs w:val="0"/>
                <w:color w:val="auto"/>
                <w:sz w:val="24"/>
                <w:szCs w:val="24"/>
                <w:lang w:val="es-ES"/>
              </w:rPr>
            </w:pPr>
            <w:proofErr w:type="spellStart"/>
            <w:r w:rsidRPr="003E284C">
              <w:rPr>
                <w:rFonts w:ascii="Times New Roman" w:hAnsi="Times New Roman" w:cs="Times New Roman"/>
                <w:b w:val="0"/>
                <w:bCs w:val="0"/>
                <w:color w:val="auto"/>
                <w:sz w:val="24"/>
                <w:szCs w:val="24"/>
                <w:lang w:val="es-ES"/>
              </w:rPr>
              <w:t>Trig</w:t>
            </w:r>
            <w:proofErr w:type="spellEnd"/>
            <w:r w:rsidRPr="003E284C">
              <w:rPr>
                <w:rFonts w:ascii="Times New Roman" w:hAnsi="Times New Roman" w:cs="Times New Roman"/>
                <w:b w:val="0"/>
                <w:bCs w:val="0"/>
                <w:color w:val="auto"/>
                <w:sz w:val="24"/>
                <w:szCs w:val="24"/>
                <w:lang w:val="es-ES"/>
              </w:rPr>
              <w:t>.</w:t>
            </w:r>
          </w:p>
        </w:tc>
        <w:tc>
          <w:tcPr>
            <w:tcW w:w="1732" w:type="dxa"/>
            <w:shd w:val="clear" w:color="auto" w:fill="auto"/>
          </w:tcPr>
          <w:p w14:paraId="41AC5C5E" w14:textId="0FA18007" w:rsidR="000B7A0E" w:rsidRPr="003E284C" w:rsidRDefault="00000000"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sdt>
              <w:sdtPr>
                <w:rPr>
                  <w:rFonts w:ascii="Times New Roman" w:hAnsi="Times New Roman" w:cs="Times New Roman"/>
                  <w:sz w:val="24"/>
                  <w:szCs w:val="24"/>
                  <w:lang w:val="es-ES"/>
                </w:rPr>
                <w:tag w:val="goog_rdk_6"/>
                <w:id w:val="-1585067409"/>
              </w:sdtPr>
              <w:sdtContent>
                <w:r w:rsidR="000B7A0E" w:rsidRPr="003E284C">
                  <w:rPr>
                    <w:rFonts w:ascii="Times New Roman" w:eastAsia="Arial Unicode MS" w:hAnsi="Times New Roman" w:cs="Times New Roman"/>
                    <w:sz w:val="24"/>
                    <w:szCs w:val="24"/>
                    <w:lang w:val="es-ES"/>
                  </w:rPr>
                  <w:t>≥</w:t>
                </w:r>
                <w:r w:rsidR="00456A9D" w:rsidRPr="003E284C">
                  <w:rPr>
                    <w:rFonts w:ascii="Times New Roman" w:eastAsia="Arial Unicode MS" w:hAnsi="Times New Roman" w:cs="Times New Roman"/>
                    <w:sz w:val="24"/>
                    <w:szCs w:val="24"/>
                    <w:lang w:val="es-ES"/>
                  </w:rPr>
                  <w:t xml:space="preserve"> </w:t>
                </w:r>
                <w:r w:rsidR="000B7A0E" w:rsidRPr="003E284C">
                  <w:rPr>
                    <w:rFonts w:ascii="Times New Roman" w:eastAsia="Arial Unicode MS" w:hAnsi="Times New Roman" w:cs="Times New Roman"/>
                    <w:sz w:val="24"/>
                    <w:szCs w:val="24"/>
                    <w:lang w:val="es-ES"/>
                  </w:rPr>
                  <w:t>200</w:t>
                </w:r>
              </w:sdtContent>
            </w:sdt>
          </w:p>
        </w:tc>
        <w:tc>
          <w:tcPr>
            <w:tcW w:w="2268" w:type="dxa"/>
            <w:vMerge w:val="restart"/>
            <w:shd w:val="clear" w:color="auto" w:fill="auto"/>
          </w:tcPr>
          <w:p w14:paraId="4E287844"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1.18</w:t>
            </w:r>
          </w:p>
        </w:tc>
        <w:tc>
          <w:tcPr>
            <w:tcW w:w="2126" w:type="dxa"/>
            <w:vMerge w:val="restart"/>
            <w:shd w:val="clear" w:color="auto" w:fill="auto"/>
          </w:tcPr>
          <w:p w14:paraId="019A9F53"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0.40-3.26</w:t>
            </w:r>
          </w:p>
        </w:tc>
        <w:tc>
          <w:tcPr>
            <w:tcW w:w="1701" w:type="dxa"/>
            <w:vMerge w:val="restart"/>
            <w:shd w:val="clear" w:color="auto" w:fill="auto"/>
          </w:tcPr>
          <w:p w14:paraId="23DEE5BB" w14:textId="5588BAE3"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0.71</w:t>
            </w:r>
            <w:r w:rsidR="004E05F3" w:rsidRPr="003E284C">
              <w:rPr>
                <w:rFonts w:ascii="Times New Roman" w:hAnsi="Times New Roman" w:cs="Times New Roman"/>
                <w:sz w:val="24"/>
                <w:szCs w:val="24"/>
                <w:lang w:val="es-ES"/>
              </w:rPr>
              <w:t>45</w:t>
            </w:r>
          </w:p>
        </w:tc>
      </w:tr>
      <w:tr w:rsidR="003E284C" w:rsidRPr="003E284C" w14:paraId="04F8ED41" w14:textId="77777777" w:rsidTr="003E284C">
        <w:trPr>
          <w:trHeight w:val="319"/>
          <w:jc w:val="center"/>
        </w:trPr>
        <w:tc>
          <w:tcPr>
            <w:cnfStyle w:val="001000000000" w:firstRow="0" w:lastRow="0" w:firstColumn="1" w:lastColumn="0" w:oddVBand="0" w:evenVBand="0" w:oddHBand="0" w:evenHBand="0" w:firstRowFirstColumn="0" w:firstRowLastColumn="0" w:lastRowFirstColumn="0" w:lastRowLastColumn="0"/>
            <w:tcW w:w="1524" w:type="dxa"/>
            <w:vMerge/>
            <w:tcBorders>
              <w:left w:val="none" w:sz="0" w:space="0" w:color="auto"/>
            </w:tcBorders>
            <w:shd w:val="clear" w:color="auto" w:fill="auto"/>
          </w:tcPr>
          <w:p w14:paraId="1BEE931A" w14:textId="77777777" w:rsidR="000B7A0E" w:rsidRPr="003E284C" w:rsidRDefault="000B7A0E" w:rsidP="006E2873">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1732" w:type="dxa"/>
            <w:shd w:val="clear" w:color="auto" w:fill="auto"/>
          </w:tcPr>
          <w:p w14:paraId="2A8DFE80" w14:textId="41B93681" w:rsidR="000B7A0E" w:rsidRPr="003E284C" w:rsidRDefault="000B7A0E" w:rsidP="006E28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&lt;</w:t>
            </w:r>
            <w:r w:rsidR="00456A9D" w:rsidRPr="003E284C">
              <w:rPr>
                <w:rFonts w:ascii="Times New Roman" w:hAnsi="Times New Roman" w:cs="Times New Roman"/>
                <w:sz w:val="24"/>
                <w:szCs w:val="24"/>
                <w:lang w:val="es-ES"/>
              </w:rPr>
              <w:t xml:space="preserve"> </w:t>
            </w:r>
            <w:r w:rsidRPr="003E284C">
              <w:rPr>
                <w:rFonts w:ascii="Times New Roman" w:hAnsi="Times New Roman" w:cs="Times New Roman"/>
                <w:sz w:val="24"/>
                <w:szCs w:val="24"/>
                <w:lang w:val="es-ES"/>
              </w:rPr>
              <w:t>200</w:t>
            </w:r>
          </w:p>
        </w:tc>
        <w:tc>
          <w:tcPr>
            <w:tcW w:w="2268" w:type="dxa"/>
            <w:vMerge/>
            <w:shd w:val="clear" w:color="auto" w:fill="auto"/>
          </w:tcPr>
          <w:p w14:paraId="5BBDA75B"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2126" w:type="dxa"/>
            <w:vMerge/>
            <w:shd w:val="clear" w:color="auto" w:fill="auto"/>
          </w:tcPr>
          <w:p w14:paraId="15CA3670"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701" w:type="dxa"/>
            <w:vMerge/>
            <w:shd w:val="clear" w:color="auto" w:fill="auto"/>
          </w:tcPr>
          <w:p w14:paraId="09971B24"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7FE66D5C" w14:textId="77777777" w:rsidTr="003E284C">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1524" w:type="dxa"/>
            <w:vMerge w:val="restart"/>
            <w:tcBorders>
              <w:left w:val="none" w:sz="0" w:space="0" w:color="auto"/>
            </w:tcBorders>
            <w:shd w:val="clear" w:color="auto" w:fill="auto"/>
          </w:tcPr>
          <w:p w14:paraId="5CB27A6D" w14:textId="77777777" w:rsidR="000B7A0E" w:rsidRPr="003E284C" w:rsidRDefault="000B7A0E" w:rsidP="006E2873">
            <w:pPr>
              <w:rPr>
                <w:rFonts w:ascii="Times New Roman" w:hAnsi="Times New Roman" w:cs="Times New Roman"/>
                <w:b w:val="0"/>
                <w:bCs w:val="0"/>
                <w:color w:val="auto"/>
                <w:sz w:val="24"/>
                <w:szCs w:val="24"/>
                <w:lang w:val="es-ES"/>
              </w:rPr>
            </w:pPr>
            <w:r w:rsidRPr="003E284C">
              <w:rPr>
                <w:rFonts w:ascii="Times New Roman" w:hAnsi="Times New Roman" w:cs="Times New Roman"/>
                <w:b w:val="0"/>
                <w:bCs w:val="0"/>
                <w:color w:val="auto"/>
                <w:sz w:val="24"/>
                <w:szCs w:val="24"/>
                <w:lang w:val="es-ES"/>
              </w:rPr>
              <w:t>IA</w:t>
            </w:r>
          </w:p>
        </w:tc>
        <w:tc>
          <w:tcPr>
            <w:tcW w:w="1732" w:type="dxa"/>
            <w:shd w:val="clear" w:color="auto" w:fill="auto"/>
          </w:tcPr>
          <w:p w14:paraId="460FA10E" w14:textId="796CC1E9" w:rsidR="000B7A0E" w:rsidRPr="003E284C" w:rsidRDefault="00000000"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sdt>
              <w:sdtPr>
                <w:rPr>
                  <w:rFonts w:ascii="Times New Roman" w:hAnsi="Times New Roman" w:cs="Times New Roman"/>
                  <w:sz w:val="24"/>
                  <w:szCs w:val="24"/>
                  <w:lang w:val="es-ES"/>
                </w:rPr>
                <w:tag w:val="goog_rdk_7"/>
                <w:id w:val="2041855615"/>
              </w:sdtPr>
              <w:sdtContent>
                <w:r w:rsidR="000B7A0E" w:rsidRPr="003E284C">
                  <w:rPr>
                    <w:rFonts w:ascii="Times New Roman" w:eastAsia="Arial Unicode MS" w:hAnsi="Times New Roman" w:cs="Times New Roman"/>
                    <w:sz w:val="24"/>
                    <w:szCs w:val="24"/>
                    <w:lang w:val="es-ES"/>
                  </w:rPr>
                  <w:t>≥</w:t>
                </w:r>
                <w:r w:rsidR="00456A9D" w:rsidRPr="003E284C">
                  <w:rPr>
                    <w:rFonts w:ascii="Times New Roman" w:eastAsia="Arial Unicode MS" w:hAnsi="Times New Roman" w:cs="Times New Roman"/>
                    <w:sz w:val="24"/>
                    <w:szCs w:val="24"/>
                    <w:lang w:val="es-ES"/>
                  </w:rPr>
                  <w:t xml:space="preserve"> </w:t>
                </w:r>
                <w:r w:rsidR="000B7A0E" w:rsidRPr="003E284C">
                  <w:rPr>
                    <w:rFonts w:ascii="Times New Roman" w:eastAsia="Arial Unicode MS" w:hAnsi="Times New Roman" w:cs="Times New Roman"/>
                    <w:sz w:val="24"/>
                    <w:szCs w:val="24"/>
                    <w:lang w:val="es-ES"/>
                  </w:rPr>
                  <w:t>5</w:t>
                </w:r>
              </w:sdtContent>
            </w:sdt>
          </w:p>
        </w:tc>
        <w:tc>
          <w:tcPr>
            <w:tcW w:w="2268" w:type="dxa"/>
            <w:vMerge w:val="restart"/>
            <w:shd w:val="clear" w:color="auto" w:fill="auto"/>
          </w:tcPr>
          <w:p w14:paraId="30B6785B"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0.86</w:t>
            </w:r>
          </w:p>
        </w:tc>
        <w:tc>
          <w:tcPr>
            <w:tcW w:w="2126" w:type="dxa"/>
            <w:vMerge w:val="restart"/>
            <w:shd w:val="clear" w:color="auto" w:fill="auto"/>
          </w:tcPr>
          <w:p w14:paraId="633410DA"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0.23-2.63</w:t>
            </w:r>
          </w:p>
        </w:tc>
        <w:tc>
          <w:tcPr>
            <w:tcW w:w="1701" w:type="dxa"/>
            <w:vMerge w:val="restart"/>
            <w:shd w:val="clear" w:color="auto" w:fill="auto"/>
          </w:tcPr>
          <w:p w14:paraId="5F775435" w14:textId="205E0F0E"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0.78</w:t>
            </w:r>
            <w:r w:rsidR="004E05F3" w:rsidRPr="003E284C">
              <w:rPr>
                <w:rFonts w:ascii="Times New Roman" w:hAnsi="Times New Roman" w:cs="Times New Roman"/>
                <w:sz w:val="24"/>
                <w:szCs w:val="24"/>
                <w:lang w:val="es-ES"/>
              </w:rPr>
              <w:t>65</w:t>
            </w:r>
          </w:p>
        </w:tc>
      </w:tr>
      <w:tr w:rsidR="003E284C" w:rsidRPr="003E284C" w14:paraId="00BAE927" w14:textId="77777777" w:rsidTr="003E284C">
        <w:trPr>
          <w:trHeight w:val="319"/>
          <w:jc w:val="center"/>
        </w:trPr>
        <w:tc>
          <w:tcPr>
            <w:cnfStyle w:val="001000000000" w:firstRow="0" w:lastRow="0" w:firstColumn="1" w:lastColumn="0" w:oddVBand="0" w:evenVBand="0" w:oddHBand="0" w:evenHBand="0" w:firstRowFirstColumn="0" w:firstRowLastColumn="0" w:lastRowFirstColumn="0" w:lastRowLastColumn="0"/>
            <w:tcW w:w="1524" w:type="dxa"/>
            <w:vMerge/>
            <w:tcBorders>
              <w:left w:val="none" w:sz="0" w:space="0" w:color="auto"/>
            </w:tcBorders>
            <w:shd w:val="clear" w:color="auto" w:fill="auto"/>
          </w:tcPr>
          <w:p w14:paraId="45FE6925" w14:textId="77777777" w:rsidR="000B7A0E" w:rsidRPr="003E284C" w:rsidRDefault="000B7A0E" w:rsidP="006E2873">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1732" w:type="dxa"/>
            <w:shd w:val="clear" w:color="auto" w:fill="auto"/>
          </w:tcPr>
          <w:p w14:paraId="4C147AB2" w14:textId="5C57F9AF" w:rsidR="000B7A0E" w:rsidRPr="003E284C" w:rsidRDefault="000B7A0E" w:rsidP="006E28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&lt;</w:t>
            </w:r>
            <w:r w:rsidR="00456A9D" w:rsidRPr="003E284C">
              <w:rPr>
                <w:rFonts w:ascii="Times New Roman" w:hAnsi="Times New Roman" w:cs="Times New Roman"/>
                <w:sz w:val="24"/>
                <w:szCs w:val="24"/>
                <w:lang w:val="es-ES"/>
              </w:rPr>
              <w:t xml:space="preserve"> </w:t>
            </w:r>
            <w:r w:rsidRPr="003E284C">
              <w:rPr>
                <w:rFonts w:ascii="Times New Roman" w:hAnsi="Times New Roman" w:cs="Times New Roman"/>
                <w:sz w:val="24"/>
                <w:szCs w:val="24"/>
                <w:lang w:val="es-ES"/>
              </w:rPr>
              <w:t>5</w:t>
            </w:r>
          </w:p>
        </w:tc>
        <w:tc>
          <w:tcPr>
            <w:tcW w:w="2268" w:type="dxa"/>
            <w:vMerge/>
            <w:shd w:val="clear" w:color="auto" w:fill="auto"/>
          </w:tcPr>
          <w:p w14:paraId="09F304D6"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2126" w:type="dxa"/>
            <w:vMerge/>
            <w:shd w:val="clear" w:color="auto" w:fill="auto"/>
          </w:tcPr>
          <w:p w14:paraId="4B0D2EBA"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701" w:type="dxa"/>
            <w:vMerge/>
            <w:shd w:val="clear" w:color="auto" w:fill="auto"/>
          </w:tcPr>
          <w:p w14:paraId="53C67D1F"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75B92723" w14:textId="77777777" w:rsidTr="003E284C">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524" w:type="dxa"/>
            <w:vMerge w:val="restart"/>
            <w:tcBorders>
              <w:left w:val="none" w:sz="0" w:space="0" w:color="auto"/>
            </w:tcBorders>
            <w:shd w:val="clear" w:color="auto" w:fill="auto"/>
          </w:tcPr>
          <w:p w14:paraId="1D8F3D4F" w14:textId="489D05EA" w:rsidR="000B7A0E" w:rsidRPr="003E284C" w:rsidRDefault="000B7A0E" w:rsidP="006E2873">
            <w:pPr>
              <w:rPr>
                <w:rFonts w:ascii="Times New Roman" w:hAnsi="Times New Roman" w:cs="Times New Roman"/>
                <w:b w:val="0"/>
                <w:bCs w:val="0"/>
                <w:color w:val="auto"/>
                <w:sz w:val="24"/>
                <w:szCs w:val="24"/>
                <w:lang w:val="es-ES"/>
              </w:rPr>
            </w:pPr>
            <w:proofErr w:type="spellStart"/>
            <w:r w:rsidRPr="003E284C">
              <w:rPr>
                <w:rFonts w:ascii="Times New Roman" w:hAnsi="Times New Roman" w:cs="Times New Roman"/>
                <w:b w:val="0"/>
                <w:bCs w:val="0"/>
                <w:color w:val="auto"/>
                <w:sz w:val="24"/>
                <w:szCs w:val="24"/>
                <w:lang w:val="es-ES"/>
              </w:rPr>
              <w:t>HDL</w:t>
            </w:r>
            <w:r w:rsidR="00BD3332" w:rsidRPr="003E284C">
              <w:rPr>
                <w:rFonts w:ascii="Times New Roman" w:hAnsi="Times New Roman" w:cs="Times New Roman"/>
                <w:b w:val="0"/>
                <w:bCs w:val="0"/>
                <w:color w:val="auto"/>
                <w:sz w:val="24"/>
                <w:szCs w:val="24"/>
                <w:lang w:val="es-ES"/>
              </w:rPr>
              <w:t>c</w:t>
            </w:r>
            <w:proofErr w:type="spellEnd"/>
          </w:p>
        </w:tc>
        <w:tc>
          <w:tcPr>
            <w:tcW w:w="1732" w:type="dxa"/>
            <w:shd w:val="clear" w:color="auto" w:fill="auto"/>
          </w:tcPr>
          <w:p w14:paraId="1B2FC5C3" w14:textId="36129A19" w:rsidR="000B7A0E" w:rsidRPr="003E284C" w:rsidRDefault="00000000"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sdt>
              <w:sdtPr>
                <w:rPr>
                  <w:rFonts w:ascii="Times New Roman" w:hAnsi="Times New Roman" w:cs="Times New Roman"/>
                  <w:sz w:val="24"/>
                  <w:szCs w:val="24"/>
                  <w:lang w:val="es-ES"/>
                </w:rPr>
                <w:tag w:val="goog_rdk_8"/>
                <w:id w:val="-257679084"/>
              </w:sdtPr>
              <w:sdtContent>
                <w:r w:rsidR="000B7A0E" w:rsidRPr="003E284C">
                  <w:rPr>
                    <w:rFonts w:ascii="Times New Roman" w:eastAsia="Arial Unicode MS" w:hAnsi="Times New Roman" w:cs="Times New Roman"/>
                    <w:sz w:val="24"/>
                    <w:szCs w:val="24"/>
                    <w:lang w:val="es-ES"/>
                  </w:rPr>
                  <w:t>≥</w:t>
                </w:r>
                <w:r w:rsidR="00456A9D" w:rsidRPr="003E284C">
                  <w:rPr>
                    <w:rFonts w:ascii="Times New Roman" w:eastAsia="Arial Unicode MS" w:hAnsi="Times New Roman" w:cs="Times New Roman"/>
                    <w:sz w:val="24"/>
                    <w:szCs w:val="24"/>
                    <w:lang w:val="es-ES"/>
                  </w:rPr>
                  <w:t xml:space="preserve"> </w:t>
                </w:r>
                <w:r w:rsidR="000B7A0E" w:rsidRPr="003E284C">
                  <w:rPr>
                    <w:rFonts w:ascii="Times New Roman" w:eastAsia="Arial Unicode MS" w:hAnsi="Times New Roman" w:cs="Times New Roman"/>
                    <w:sz w:val="24"/>
                    <w:szCs w:val="24"/>
                    <w:lang w:val="es-ES"/>
                  </w:rPr>
                  <w:t>50</w:t>
                </w:r>
              </w:sdtContent>
            </w:sdt>
          </w:p>
        </w:tc>
        <w:tc>
          <w:tcPr>
            <w:tcW w:w="2268" w:type="dxa"/>
            <w:vMerge w:val="restart"/>
            <w:shd w:val="clear" w:color="auto" w:fill="auto"/>
          </w:tcPr>
          <w:p w14:paraId="3D5413FB"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2.01</w:t>
            </w:r>
          </w:p>
        </w:tc>
        <w:tc>
          <w:tcPr>
            <w:tcW w:w="2126" w:type="dxa"/>
            <w:vMerge w:val="restart"/>
            <w:shd w:val="clear" w:color="auto" w:fill="auto"/>
          </w:tcPr>
          <w:p w14:paraId="5D8F6C08"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0.71-5.52</w:t>
            </w:r>
          </w:p>
        </w:tc>
        <w:tc>
          <w:tcPr>
            <w:tcW w:w="1701" w:type="dxa"/>
            <w:vMerge w:val="restart"/>
            <w:shd w:val="clear" w:color="auto" w:fill="auto"/>
          </w:tcPr>
          <w:p w14:paraId="623065AA" w14:textId="2A7E4408"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0.12</w:t>
            </w:r>
            <w:r w:rsidR="004E05F3" w:rsidRPr="003E284C">
              <w:rPr>
                <w:rFonts w:ascii="Times New Roman" w:hAnsi="Times New Roman" w:cs="Times New Roman"/>
                <w:sz w:val="24"/>
                <w:szCs w:val="24"/>
                <w:lang w:val="es-ES"/>
              </w:rPr>
              <w:t>68</w:t>
            </w:r>
          </w:p>
        </w:tc>
      </w:tr>
      <w:tr w:rsidR="003E284C" w:rsidRPr="003E284C" w14:paraId="0DD751C1" w14:textId="77777777" w:rsidTr="003E284C">
        <w:trPr>
          <w:trHeight w:val="319"/>
          <w:jc w:val="center"/>
        </w:trPr>
        <w:tc>
          <w:tcPr>
            <w:cnfStyle w:val="001000000000" w:firstRow="0" w:lastRow="0" w:firstColumn="1" w:lastColumn="0" w:oddVBand="0" w:evenVBand="0" w:oddHBand="0" w:evenHBand="0" w:firstRowFirstColumn="0" w:firstRowLastColumn="0" w:lastRowFirstColumn="0" w:lastRowLastColumn="0"/>
            <w:tcW w:w="1524" w:type="dxa"/>
            <w:vMerge/>
            <w:tcBorders>
              <w:left w:val="none" w:sz="0" w:space="0" w:color="auto"/>
            </w:tcBorders>
            <w:shd w:val="clear" w:color="auto" w:fill="auto"/>
          </w:tcPr>
          <w:p w14:paraId="5B1F57A2" w14:textId="77777777" w:rsidR="000B7A0E" w:rsidRPr="003E284C" w:rsidRDefault="000B7A0E" w:rsidP="006E2873">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1732" w:type="dxa"/>
            <w:shd w:val="clear" w:color="auto" w:fill="auto"/>
          </w:tcPr>
          <w:p w14:paraId="5C71CDAC" w14:textId="02AE7DAA" w:rsidR="000B7A0E" w:rsidRPr="003E284C" w:rsidRDefault="000B7A0E" w:rsidP="006E28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&lt;</w:t>
            </w:r>
            <w:r w:rsidR="00456A9D" w:rsidRPr="003E284C">
              <w:rPr>
                <w:rFonts w:ascii="Times New Roman" w:hAnsi="Times New Roman" w:cs="Times New Roman"/>
                <w:sz w:val="24"/>
                <w:szCs w:val="24"/>
                <w:lang w:val="es-ES"/>
              </w:rPr>
              <w:t xml:space="preserve"> </w:t>
            </w:r>
            <w:r w:rsidRPr="003E284C">
              <w:rPr>
                <w:rFonts w:ascii="Times New Roman" w:hAnsi="Times New Roman" w:cs="Times New Roman"/>
                <w:sz w:val="24"/>
                <w:szCs w:val="24"/>
                <w:lang w:val="es-ES"/>
              </w:rPr>
              <w:t>50</w:t>
            </w:r>
          </w:p>
        </w:tc>
        <w:tc>
          <w:tcPr>
            <w:tcW w:w="2268" w:type="dxa"/>
            <w:vMerge/>
            <w:shd w:val="clear" w:color="auto" w:fill="auto"/>
          </w:tcPr>
          <w:p w14:paraId="15765EB9"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2126" w:type="dxa"/>
            <w:vMerge/>
            <w:shd w:val="clear" w:color="auto" w:fill="auto"/>
          </w:tcPr>
          <w:p w14:paraId="791CA9C2"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701" w:type="dxa"/>
            <w:vMerge/>
            <w:shd w:val="clear" w:color="auto" w:fill="auto"/>
          </w:tcPr>
          <w:p w14:paraId="5BA96D6A"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3772EB66" w14:textId="77777777" w:rsidTr="003E284C">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1524" w:type="dxa"/>
            <w:vMerge w:val="restart"/>
            <w:tcBorders>
              <w:left w:val="none" w:sz="0" w:space="0" w:color="auto"/>
            </w:tcBorders>
            <w:shd w:val="clear" w:color="auto" w:fill="auto"/>
          </w:tcPr>
          <w:p w14:paraId="18680F37" w14:textId="4AF8B45B" w:rsidR="000B7A0E" w:rsidRPr="003E284C" w:rsidRDefault="000B7A0E" w:rsidP="006E2873">
            <w:pPr>
              <w:rPr>
                <w:rFonts w:ascii="Times New Roman" w:hAnsi="Times New Roman" w:cs="Times New Roman"/>
                <w:b w:val="0"/>
                <w:bCs w:val="0"/>
                <w:color w:val="auto"/>
                <w:sz w:val="24"/>
                <w:szCs w:val="24"/>
                <w:lang w:val="es-ES"/>
              </w:rPr>
            </w:pPr>
            <w:proofErr w:type="spellStart"/>
            <w:r w:rsidRPr="003E284C">
              <w:rPr>
                <w:rFonts w:ascii="Times New Roman" w:hAnsi="Times New Roman" w:cs="Times New Roman"/>
                <w:b w:val="0"/>
                <w:bCs w:val="0"/>
                <w:color w:val="auto"/>
                <w:sz w:val="24"/>
                <w:szCs w:val="24"/>
                <w:lang w:val="es-ES"/>
              </w:rPr>
              <w:t>LDL</w:t>
            </w:r>
            <w:r w:rsidR="00BD3332" w:rsidRPr="003E284C">
              <w:rPr>
                <w:rFonts w:ascii="Times New Roman" w:hAnsi="Times New Roman" w:cs="Times New Roman"/>
                <w:b w:val="0"/>
                <w:bCs w:val="0"/>
                <w:color w:val="auto"/>
                <w:sz w:val="24"/>
                <w:szCs w:val="24"/>
                <w:lang w:val="es-ES"/>
              </w:rPr>
              <w:t>c</w:t>
            </w:r>
            <w:proofErr w:type="spellEnd"/>
          </w:p>
        </w:tc>
        <w:tc>
          <w:tcPr>
            <w:tcW w:w="1732" w:type="dxa"/>
            <w:shd w:val="clear" w:color="auto" w:fill="auto"/>
          </w:tcPr>
          <w:p w14:paraId="6B1C6A00" w14:textId="7B17884B" w:rsidR="000B7A0E" w:rsidRPr="003E284C" w:rsidRDefault="00000000"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sdt>
              <w:sdtPr>
                <w:rPr>
                  <w:rFonts w:ascii="Times New Roman" w:hAnsi="Times New Roman" w:cs="Times New Roman"/>
                  <w:sz w:val="24"/>
                  <w:szCs w:val="24"/>
                  <w:lang w:val="es-ES"/>
                </w:rPr>
                <w:tag w:val="goog_rdk_9"/>
                <w:id w:val="1529990374"/>
              </w:sdtPr>
              <w:sdtContent>
                <w:r w:rsidR="000B7A0E" w:rsidRPr="003E284C">
                  <w:rPr>
                    <w:rFonts w:ascii="Times New Roman" w:eastAsia="Arial Unicode MS" w:hAnsi="Times New Roman" w:cs="Times New Roman"/>
                    <w:sz w:val="24"/>
                    <w:szCs w:val="24"/>
                    <w:lang w:val="es-ES"/>
                  </w:rPr>
                  <w:t>≥</w:t>
                </w:r>
                <w:r w:rsidR="00456A9D" w:rsidRPr="003E284C">
                  <w:rPr>
                    <w:rFonts w:ascii="Times New Roman" w:eastAsia="Arial Unicode MS" w:hAnsi="Times New Roman" w:cs="Times New Roman"/>
                    <w:sz w:val="24"/>
                    <w:szCs w:val="24"/>
                    <w:lang w:val="es-ES"/>
                  </w:rPr>
                  <w:t xml:space="preserve"> </w:t>
                </w:r>
                <w:r w:rsidR="000B7A0E" w:rsidRPr="003E284C">
                  <w:rPr>
                    <w:rFonts w:ascii="Times New Roman" w:eastAsia="Arial Unicode MS" w:hAnsi="Times New Roman" w:cs="Times New Roman"/>
                    <w:sz w:val="24"/>
                    <w:szCs w:val="24"/>
                    <w:lang w:val="es-ES"/>
                  </w:rPr>
                  <w:t>160</w:t>
                </w:r>
              </w:sdtContent>
            </w:sdt>
          </w:p>
        </w:tc>
        <w:tc>
          <w:tcPr>
            <w:tcW w:w="2268" w:type="dxa"/>
            <w:vMerge w:val="restart"/>
            <w:shd w:val="clear" w:color="auto" w:fill="auto"/>
          </w:tcPr>
          <w:p w14:paraId="58B4C8E4"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0.91</w:t>
            </w:r>
          </w:p>
        </w:tc>
        <w:tc>
          <w:tcPr>
            <w:tcW w:w="2126" w:type="dxa"/>
            <w:vMerge w:val="restart"/>
            <w:shd w:val="clear" w:color="auto" w:fill="auto"/>
          </w:tcPr>
          <w:p w14:paraId="2A8BA687"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0.02-6.47</w:t>
            </w:r>
          </w:p>
        </w:tc>
        <w:tc>
          <w:tcPr>
            <w:tcW w:w="1701" w:type="dxa"/>
            <w:vMerge w:val="restart"/>
            <w:shd w:val="clear" w:color="auto" w:fill="auto"/>
          </w:tcPr>
          <w:p w14:paraId="4A804F66" w14:textId="31D91965"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0.93</w:t>
            </w:r>
            <w:r w:rsidR="004E05F3" w:rsidRPr="003E284C">
              <w:rPr>
                <w:rFonts w:ascii="Times New Roman" w:hAnsi="Times New Roman" w:cs="Times New Roman"/>
                <w:sz w:val="24"/>
                <w:szCs w:val="24"/>
                <w:lang w:val="es-ES"/>
              </w:rPr>
              <w:t>54</w:t>
            </w:r>
          </w:p>
        </w:tc>
      </w:tr>
      <w:tr w:rsidR="003E284C" w:rsidRPr="003E284C" w14:paraId="197F2180" w14:textId="77777777" w:rsidTr="003E284C">
        <w:trPr>
          <w:trHeight w:val="319"/>
          <w:jc w:val="center"/>
        </w:trPr>
        <w:tc>
          <w:tcPr>
            <w:cnfStyle w:val="001000000000" w:firstRow="0" w:lastRow="0" w:firstColumn="1" w:lastColumn="0" w:oddVBand="0" w:evenVBand="0" w:oddHBand="0" w:evenHBand="0" w:firstRowFirstColumn="0" w:firstRowLastColumn="0" w:lastRowFirstColumn="0" w:lastRowLastColumn="0"/>
            <w:tcW w:w="1524" w:type="dxa"/>
            <w:vMerge/>
            <w:tcBorders>
              <w:left w:val="none" w:sz="0" w:space="0" w:color="auto"/>
            </w:tcBorders>
            <w:shd w:val="clear" w:color="auto" w:fill="auto"/>
          </w:tcPr>
          <w:p w14:paraId="4EBD7EBF" w14:textId="77777777" w:rsidR="000B7A0E" w:rsidRPr="003E284C" w:rsidRDefault="000B7A0E" w:rsidP="006E2873">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1732" w:type="dxa"/>
            <w:shd w:val="clear" w:color="auto" w:fill="auto"/>
          </w:tcPr>
          <w:p w14:paraId="56B4454B" w14:textId="50D4A586" w:rsidR="000B7A0E" w:rsidRPr="003E284C" w:rsidRDefault="000B7A0E" w:rsidP="006E28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&lt;</w:t>
            </w:r>
            <w:r w:rsidR="00456A9D" w:rsidRPr="003E284C">
              <w:rPr>
                <w:rFonts w:ascii="Times New Roman" w:hAnsi="Times New Roman" w:cs="Times New Roman"/>
                <w:sz w:val="24"/>
                <w:szCs w:val="24"/>
                <w:lang w:val="es-ES"/>
              </w:rPr>
              <w:t xml:space="preserve"> </w:t>
            </w:r>
            <w:r w:rsidRPr="003E284C">
              <w:rPr>
                <w:rFonts w:ascii="Times New Roman" w:hAnsi="Times New Roman" w:cs="Times New Roman"/>
                <w:sz w:val="24"/>
                <w:szCs w:val="24"/>
                <w:lang w:val="es-ES"/>
              </w:rPr>
              <w:t>160</w:t>
            </w:r>
          </w:p>
        </w:tc>
        <w:tc>
          <w:tcPr>
            <w:tcW w:w="2268" w:type="dxa"/>
            <w:vMerge/>
            <w:shd w:val="clear" w:color="auto" w:fill="auto"/>
          </w:tcPr>
          <w:p w14:paraId="390B2828"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2126" w:type="dxa"/>
            <w:vMerge/>
            <w:shd w:val="clear" w:color="auto" w:fill="auto"/>
          </w:tcPr>
          <w:p w14:paraId="7C1067EF"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701" w:type="dxa"/>
            <w:vMerge/>
            <w:shd w:val="clear" w:color="auto" w:fill="auto"/>
          </w:tcPr>
          <w:p w14:paraId="1C704120"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r w:rsidR="003E284C" w:rsidRPr="003E284C" w14:paraId="6D6EBC4F" w14:textId="77777777" w:rsidTr="003E284C">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1524" w:type="dxa"/>
            <w:vMerge w:val="restart"/>
            <w:tcBorders>
              <w:left w:val="none" w:sz="0" w:space="0" w:color="auto"/>
            </w:tcBorders>
            <w:shd w:val="clear" w:color="auto" w:fill="auto"/>
          </w:tcPr>
          <w:p w14:paraId="3D34D9CE" w14:textId="77777777" w:rsidR="000B7A0E" w:rsidRPr="003E284C" w:rsidRDefault="000B7A0E" w:rsidP="006E2873">
            <w:pPr>
              <w:rPr>
                <w:rFonts w:ascii="Times New Roman" w:hAnsi="Times New Roman" w:cs="Times New Roman"/>
                <w:b w:val="0"/>
                <w:bCs w:val="0"/>
                <w:color w:val="auto"/>
                <w:sz w:val="24"/>
                <w:szCs w:val="24"/>
                <w:lang w:val="es-ES"/>
              </w:rPr>
            </w:pPr>
            <w:proofErr w:type="spellStart"/>
            <w:r w:rsidRPr="003E284C">
              <w:rPr>
                <w:rFonts w:ascii="Times New Roman" w:hAnsi="Times New Roman" w:cs="Times New Roman"/>
                <w:b w:val="0"/>
                <w:bCs w:val="0"/>
                <w:color w:val="auto"/>
                <w:sz w:val="24"/>
                <w:szCs w:val="24"/>
                <w:lang w:val="es-ES"/>
              </w:rPr>
              <w:t>Glu</w:t>
            </w:r>
            <w:proofErr w:type="spellEnd"/>
            <w:r w:rsidRPr="003E284C">
              <w:rPr>
                <w:rFonts w:ascii="Times New Roman" w:hAnsi="Times New Roman" w:cs="Times New Roman"/>
                <w:b w:val="0"/>
                <w:bCs w:val="0"/>
                <w:color w:val="auto"/>
                <w:sz w:val="24"/>
                <w:szCs w:val="24"/>
                <w:lang w:val="es-ES"/>
              </w:rPr>
              <w:t xml:space="preserve"> </w:t>
            </w:r>
          </w:p>
        </w:tc>
        <w:tc>
          <w:tcPr>
            <w:tcW w:w="1732" w:type="dxa"/>
            <w:shd w:val="clear" w:color="auto" w:fill="auto"/>
          </w:tcPr>
          <w:p w14:paraId="2F94976B" w14:textId="08DEF567" w:rsidR="000B7A0E" w:rsidRPr="003E284C" w:rsidRDefault="00000000"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sdt>
              <w:sdtPr>
                <w:rPr>
                  <w:rFonts w:ascii="Times New Roman" w:hAnsi="Times New Roman" w:cs="Times New Roman"/>
                  <w:sz w:val="24"/>
                  <w:szCs w:val="24"/>
                  <w:lang w:val="es-ES"/>
                </w:rPr>
                <w:tag w:val="goog_rdk_10"/>
                <w:id w:val="175391760"/>
              </w:sdtPr>
              <w:sdtContent>
                <w:r w:rsidR="000B7A0E" w:rsidRPr="003E284C">
                  <w:rPr>
                    <w:rFonts w:ascii="Times New Roman" w:eastAsia="Arial Unicode MS" w:hAnsi="Times New Roman" w:cs="Times New Roman"/>
                    <w:sz w:val="24"/>
                    <w:szCs w:val="24"/>
                    <w:lang w:val="es-ES"/>
                  </w:rPr>
                  <w:t>≥</w:t>
                </w:r>
                <w:r w:rsidR="00456A9D" w:rsidRPr="003E284C">
                  <w:rPr>
                    <w:rFonts w:ascii="Times New Roman" w:eastAsia="Arial Unicode MS" w:hAnsi="Times New Roman" w:cs="Times New Roman"/>
                    <w:sz w:val="24"/>
                    <w:szCs w:val="24"/>
                    <w:lang w:val="es-ES"/>
                  </w:rPr>
                  <w:t xml:space="preserve"> </w:t>
                </w:r>
                <w:r w:rsidR="000B7A0E" w:rsidRPr="003E284C">
                  <w:rPr>
                    <w:rFonts w:ascii="Times New Roman" w:eastAsia="Arial Unicode MS" w:hAnsi="Times New Roman" w:cs="Times New Roman"/>
                    <w:sz w:val="24"/>
                    <w:szCs w:val="24"/>
                    <w:lang w:val="es-ES"/>
                  </w:rPr>
                  <w:t>126</w:t>
                </w:r>
              </w:sdtContent>
            </w:sdt>
          </w:p>
        </w:tc>
        <w:tc>
          <w:tcPr>
            <w:tcW w:w="2268" w:type="dxa"/>
            <w:vMerge w:val="restart"/>
            <w:shd w:val="clear" w:color="auto" w:fill="auto"/>
          </w:tcPr>
          <w:p w14:paraId="611AE269"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1.78</w:t>
            </w:r>
          </w:p>
        </w:tc>
        <w:tc>
          <w:tcPr>
            <w:tcW w:w="2126" w:type="dxa"/>
            <w:vMerge w:val="restart"/>
            <w:shd w:val="clear" w:color="auto" w:fill="auto"/>
          </w:tcPr>
          <w:p w14:paraId="5F6CD1D9" w14:textId="77777777"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0.64-4.93</w:t>
            </w:r>
          </w:p>
        </w:tc>
        <w:tc>
          <w:tcPr>
            <w:tcW w:w="1701" w:type="dxa"/>
            <w:vMerge w:val="restart"/>
            <w:shd w:val="clear" w:color="auto" w:fill="auto"/>
          </w:tcPr>
          <w:p w14:paraId="6CBB6DC3" w14:textId="447ECBDB" w:rsidR="000B7A0E" w:rsidRPr="003E284C" w:rsidRDefault="000B7A0E" w:rsidP="006E28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0.20</w:t>
            </w:r>
            <w:r w:rsidR="004E05F3" w:rsidRPr="003E284C">
              <w:rPr>
                <w:rFonts w:ascii="Times New Roman" w:hAnsi="Times New Roman" w:cs="Times New Roman"/>
                <w:sz w:val="24"/>
                <w:szCs w:val="24"/>
                <w:lang w:val="es-ES"/>
              </w:rPr>
              <w:t>19</w:t>
            </w:r>
          </w:p>
        </w:tc>
      </w:tr>
      <w:tr w:rsidR="003E284C" w:rsidRPr="003E284C" w14:paraId="49B1410D" w14:textId="77777777" w:rsidTr="003E284C">
        <w:trPr>
          <w:trHeight w:val="319"/>
          <w:jc w:val="center"/>
        </w:trPr>
        <w:tc>
          <w:tcPr>
            <w:cnfStyle w:val="001000000000" w:firstRow="0" w:lastRow="0" w:firstColumn="1" w:lastColumn="0" w:oddVBand="0" w:evenVBand="0" w:oddHBand="0" w:evenHBand="0" w:firstRowFirstColumn="0" w:firstRowLastColumn="0" w:lastRowFirstColumn="0" w:lastRowLastColumn="0"/>
            <w:tcW w:w="1524" w:type="dxa"/>
            <w:vMerge/>
            <w:tcBorders>
              <w:left w:val="none" w:sz="0" w:space="0" w:color="auto"/>
              <w:bottom w:val="none" w:sz="0" w:space="0" w:color="auto"/>
            </w:tcBorders>
            <w:shd w:val="clear" w:color="auto" w:fill="auto"/>
          </w:tcPr>
          <w:p w14:paraId="4C3B273F" w14:textId="77777777" w:rsidR="000B7A0E" w:rsidRPr="003E284C" w:rsidRDefault="000B7A0E" w:rsidP="006E2873">
            <w:pPr>
              <w:widowControl w:val="0"/>
              <w:pBdr>
                <w:top w:val="nil"/>
                <w:left w:val="nil"/>
                <w:bottom w:val="nil"/>
                <w:right w:val="nil"/>
                <w:between w:val="nil"/>
              </w:pBdr>
              <w:spacing w:line="276" w:lineRule="auto"/>
              <w:rPr>
                <w:rFonts w:ascii="Times New Roman" w:hAnsi="Times New Roman" w:cs="Times New Roman"/>
                <w:b w:val="0"/>
                <w:bCs w:val="0"/>
                <w:color w:val="auto"/>
                <w:sz w:val="24"/>
                <w:szCs w:val="24"/>
                <w:lang w:val="es-ES"/>
              </w:rPr>
            </w:pPr>
          </w:p>
        </w:tc>
        <w:tc>
          <w:tcPr>
            <w:tcW w:w="1732" w:type="dxa"/>
            <w:shd w:val="clear" w:color="auto" w:fill="auto"/>
          </w:tcPr>
          <w:p w14:paraId="145D822B" w14:textId="6C791D39" w:rsidR="000B7A0E" w:rsidRPr="003E284C" w:rsidRDefault="000B7A0E" w:rsidP="006E28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r w:rsidRPr="003E284C">
              <w:rPr>
                <w:rFonts w:ascii="Times New Roman" w:hAnsi="Times New Roman" w:cs="Times New Roman"/>
                <w:sz w:val="24"/>
                <w:szCs w:val="24"/>
                <w:lang w:val="es-ES"/>
              </w:rPr>
              <w:t>&lt;</w:t>
            </w:r>
            <w:r w:rsidR="00456A9D" w:rsidRPr="003E284C">
              <w:rPr>
                <w:rFonts w:ascii="Times New Roman" w:hAnsi="Times New Roman" w:cs="Times New Roman"/>
                <w:sz w:val="24"/>
                <w:szCs w:val="24"/>
                <w:lang w:val="es-ES"/>
              </w:rPr>
              <w:t xml:space="preserve"> </w:t>
            </w:r>
            <w:r w:rsidRPr="003E284C">
              <w:rPr>
                <w:rFonts w:ascii="Times New Roman" w:hAnsi="Times New Roman" w:cs="Times New Roman"/>
                <w:sz w:val="24"/>
                <w:szCs w:val="24"/>
                <w:lang w:val="es-ES"/>
              </w:rPr>
              <w:t>126</w:t>
            </w:r>
          </w:p>
        </w:tc>
        <w:tc>
          <w:tcPr>
            <w:tcW w:w="2268" w:type="dxa"/>
            <w:vMerge/>
            <w:shd w:val="clear" w:color="auto" w:fill="auto"/>
          </w:tcPr>
          <w:p w14:paraId="23C3D9E5"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2126" w:type="dxa"/>
            <w:vMerge/>
            <w:shd w:val="clear" w:color="auto" w:fill="auto"/>
          </w:tcPr>
          <w:p w14:paraId="2B8AE8CE" w14:textId="77777777" w:rsidR="000B7A0E" w:rsidRPr="003E284C" w:rsidRDefault="000B7A0E" w:rsidP="006E2873">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c>
          <w:tcPr>
            <w:tcW w:w="1701" w:type="dxa"/>
            <w:vMerge/>
            <w:shd w:val="clear" w:color="auto" w:fill="auto"/>
          </w:tcPr>
          <w:p w14:paraId="0B11ECAC" w14:textId="77777777" w:rsidR="000B7A0E" w:rsidRPr="003E284C" w:rsidRDefault="000B7A0E" w:rsidP="006E2873">
            <w:pPr>
              <w:keepNext/>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rPr>
            </w:pPr>
          </w:p>
        </w:tc>
      </w:tr>
    </w:tbl>
    <w:p w14:paraId="2DAA7A52" w14:textId="77777777" w:rsidR="00456A9D" w:rsidRPr="003E284C" w:rsidRDefault="00EC4FBA" w:rsidP="00456A9D">
      <w:pPr>
        <w:pStyle w:val="Normal1"/>
        <w:ind w:firstLine="0"/>
        <w:jc w:val="center"/>
        <w:rPr>
          <w:color w:val="auto"/>
          <w:lang w:val="es-ES"/>
        </w:rPr>
      </w:pPr>
      <w:r w:rsidRPr="003E284C">
        <w:rPr>
          <w:color w:val="auto"/>
          <w:lang w:val="es-ES"/>
        </w:rPr>
        <w:t>Fuente: Elaboración propia</w:t>
      </w:r>
    </w:p>
    <w:p w14:paraId="4F9CFE3A" w14:textId="2D122F39" w:rsidR="000852E2" w:rsidRPr="003E284C" w:rsidRDefault="000852E2" w:rsidP="00456A9D">
      <w:pPr>
        <w:pStyle w:val="Normal1"/>
        <w:ind w:firstLine="0"/>
        <w:rPr>
          <w:color w:val="auto"/>
          <w:lang w:val="es-ES"/>
        </w:rPr>
      </w:pPr>
      <w:r w:rsidRPr="003E284C">
        <w:rPr>
          <w:color w:val="auto"/>
          <w:lang w:val="es-ES"/>
        </w:rPr>
        <w:t>Abreviaciones: Presión arterial sistólica (PAS), Presión arterial diastólica (PAD), Albuminuria (ALB), Ácido úrico (AU), Colesterol (COL), Triglicéridos (T</w:t>
      </w:r>
      <w:r w:rsidR="00B50C7E" w:rsidRPr="003E284C">
        <w:rPr>
          <w:color w:val="auto"/>
          <w:lang w:val="es-ES"/>
        </w:rPr>
        <w:t>rig</w:t>
      </w:r>
      <w:r w:rsidRPr="003E284C">
        <w:rPr>
          <w:color w:val="auto"/>
          <w:lang w:val="es-ES"/>
        </w:rPr>
        <w:t xml:space="preserve">), Índice aterogénico (IA), </w:t>
      </w:r>
      <w:r w:rsidR="00CE7C83" w:rsidRPr="003E284C">
        <w:rPr>
          <w:color w:val="auto"/>
          <w:lang w:val="es-ES"/>
        </w:rPr>
        <w:t xml:space="preserve">Colesterol </w:t>
      </w:r>
      <w:r w:rsidRPr="003E284C">
        <w:rPr>
          <w:color w:val="auto"/>
          <w:lang w:val="es-ES"/>
        </w:rPr>
        <w:t>de alta densidad (HDL</w:t>
      </w:r>
      <w:r w:rsidR="00BD3332" w:rsidRPr="003E284C">
        <w:rPr>
          <w:color w:val="auto"/>
          <w:lang w:val="es-ES"/>
        </w:rPr>
        <w:t>c</w:t>
      </w:r>
      <w:r w:rsidRPr="003E284C">
        <w:rPr>
          <w:color w:val="auto"/>
          <w:lang w:val="es-ES"/>
        </w:rPr>
        <w:t xml:space="preserve">), </w:t>
      </w:r>
      <w:r w:rsidR="00CE7C83" w:rsidRPr="003E284C">
        <w:rPr>
          <w:color w:val="auto"/>
          <w:lang w:val="es-ES"/>
        </w:rPr>
        <w:t>Colesterol</w:t>
      </w:r>
      <w:r w:rsidRPr="003E284C">
        <w:rPr>
          <w:color w:val="auto"/>
          <w:lang w:val="es-ES"/>
        </w:rPr>
        <w:t xml:space="preserve"> de baja densidad (</w:t>
      </w:r>
      <w:proofErr w:type="spellStart"/>
      <w:r w:rsidRPr="003E284C">
        <w:rPr>
          <w:color w:val="auto"/>
          <w:lang w:val="es-ES"/>
        </w:rPr>
        <w:t>LDL</w:t>
      </w:r>
      <w:r w:rsidR="00BD3332" w:rsidRPr="003E284C">
        <w:rPr>
          <w:color w:val="auto"/>
          <w:lang w:val="es-ES"/>
        </w:rPr>
        <w:t>c</w:t>
      </w:r>
      <w:proofErr w:type="spellEnd"/>
      <w:r w:rsidRPr="003E284C">
        <w:rPr>
          <w:color w:val="auto"/>
          <w:lang w:val="es-ES"/>
        </w:rPr>
        <w:t>), Glucosa (</w:t>
      </w:r>
      <w:proofErr w:type="spellStart"/>
      <w:r w:rsidRPr="003E284C">
        <w:rPr>
          <w:color w:val="auto"/>
          <w:lang w:val="es-ES"/>
        </w:rPr>
        <w:t>G</w:t>
      </w:r>
      <w:r w:rsidR="00B50C7E" w:rsidRPr="003E284C">
        <w:rPr>
          <w:color w:val="auto"/>
          <w:lang w:val="es-ES"/>
        </w:rPr>
        <w:t>lu</w:t>
      </w:r>
      <w:proofErr w:type="spellEnd"/>
      <w:r w:rsidRPr="003E284C">
        <w:rPr>
          <w:color w:val="auto"/>
          <w:lang w:val="es-ES"/>
        </w:rPr>
        <w:t>).</w:t>
      </w:r>
      <w:r w:rsidR="00995A46" w:rsidRPr="003E284C">
        <w:rPr>
          <w:color w:val="auto"/>
          <w:lang w:val="es-ES"/>
        </w:rPr>
        <w:t xml:space="preserve"> </w:t>
      </w:r>
      <w:bookmarkStart w:id="12" w:name="_Hlk150846661"/>
    </w:p>
    <w:p w14:paraId="78E768E4" w14:textId="77777777" w:rsidR="0018154D" w:rsidRPr="003E284C" w:rsidRDefault="0018154D" w:rsidP="00456A9D">
      <w:pPr>
        <w:pStyle w:val="Normal1"/>
        <w:ind w:firstLine="0"/>
        <w:rPr>
          <w:color w:val="auto"/>
          <w:lang w:val="es-ES"/>
        </w:rPr>
      </w:pPr>
    </w:p>
    <w:p w14:paraId="1C4FB886" w14:textId="77777777" w:rsidR="003E284C" w:rsidRDefault="003E284C" w:rsidP="003E284C">
      <w:pPr>
        <w:pStyle w:val="Normal1"/>
        <w:ind w:firstLine="0"/>
        <w:jc w:val="center"/>
        <w:rPr>
          <w:b/>
          <w:bCs/>
          <w:color w:val="auto"/>
          <w:sz w:val="32"/>
          <w:szCs w:val="32"/>
          <w:lang w:val="es-ES"/>
        </w:rPr>
      </w:pPr>
    </w:p>
    <w:p w14:paraId="32378367" w14:textId="77777777" w:rsidR="003E284C" w:rsidRDefault="003E284C" w:rsidP="003E284C">
      <w:pPr>
        <w:pStyle w:val="Normal1"/>
        <w:ind w:firstLine="0"/>
        <w:jc w:val="center"/>
        <w:rPr>
          <w:b/>
          <w:bCs/>
          <w:color w:val="auto"/>
          <w:sz w:val="32"/>
          <w:szCs w:val="32"/>
          <w:lang w:val="es-ES"/>
        </w:rPr>
      </w:pPr>
    </w:p>
    <w:p w14:paraId="49C8A074" w14:textId="77777777" w:rsidR="003E284C" w:rsidRDefault="003E284C" w:rsidP="003E284C">
      <w:pPr>
        <w:pStyle w:val="Normal1"/>
        <w:ind w:firstLine="0"/>
        <w:jc w:val="center"/>
        <w:rPr>
          <w:b/>
          <w:bCs/>
          <w:color w:val="auto"/>
          <w:sz w:val="32"/>
          <w:szCs w:val="32"/>
          <w:lang w:val="es-ES"/>
        </w:rPr>
      </w:pPr>
    </w:p>
    <w:p w14:paraId="342DA269" w14:textId="16B8C775" w:rsidR="00667620" w:rsidRPr="003E284C" w:rsidRDefault="00667620" w:rsidP="003E284C">
      <w:pPr>
        <w:pStyle w:val="Normal1"/>
        <w:ind w:firstLine="0"/>
        <w:jc w:val="center"/>
        <w:rPr>
          <w:b/>
          <w:bCs/>
          <w:color w:val="auto"/>
          <w:sz w:val="32"/>
          <w:szCs w:val="32"/>
          <w:lang w:val="es-ES"/>
        </w:rPr>
      </w:pPr>
      <w:r w:rsidRPr="003E284C">
        <w:rPr>
          <w:b/>
          <w:bCs/>
          <w:color w:val="auto"/>
          <w:sz w:val="32"/>
          <w:szCs w:val="32"/>
          <w:lang w:val="es-ES"/>
        </w:rPr>
        <w:lastRenderedPageBreak/>
        <w:t>Discusió</w:t>
      </w:r>
      <w:r w:rsidR="000852E2" w:rsidRPr="003E284C">
        <w:rPr>
          <w:b/>
          <w:bCs/>
          <w:color w:val="auto"/>
          <w:sz w:val="32"/>
          <w:szCs w:val="32"/>
          <w:lang w:val="es-ES"/>
        </w:rPr>
        <w:t>n</w:t>
      </w:r>
    </w:p>
    <w:p w14:paraId="60A390D0" w14:textId="714E9FAA" w:rsidR="00456C25" w:rsidRPr="003E284C" w:rsidRDefault="00C76EC0" w:rsidP="00066F03">
      <w:pPr>
        <w:pStyle w:val="Normal1"/>
        <w:rPr>
          <w:color w:val="auto"/>
          <w:lang w:val="es-ES"/>
        </w:rPr>
      </w:pPr>
      <w:r w:rsidRPr="003E284C">
        <w:rPr>
          <w:color w:val="auto"/>
          <w:lang w:val="es-ES"/>
        </w:rPr>
        <w:t xml:space="preserve">Las concentraciones de glucosa plasmática anormalmente altas (hiperglucemia) son consecuencia común del mal control de la diabetes, </w:t>
      </w:r>
      <w:r w:rsidR="00456A9D" w:rsidRPr="003E284C">
        <w:rPr>
          <w:color w:val="auto"/>
          <w:lang w:val="es-ES"/>
        </w:rPr>
        <w:t>lo que produce</w:t>
      </w:r>
      <w:r w:rsidRPr="003E284C">
        <w:rPr>
          <w:color w:val="auto"/>
          <w:lang w:val="es-ES"/>
        </w:rPr>
        <w:t xml:space="preserve"> a largo plazo múltiples complicaciones, </w:t>
      </w:r>
      <w:r w:rsidR="00456A9D" w:rsidRPr="003E284C">
        <w:rPr>
          <w:color w:val="auto"/>
          <w:lang w:val="es-ES"/>
        </w:rPr>
        <w:t>como la</w:t>
      </w:r>
      <w:r w:rsidRPr="003E284C">
        <w:rPr>
          <w:color w:val="auto"/>
          <w:lang w:val="es-ES"/>
        </w:rPr>
        <w:t xml:space="preserve"> enfermedad renal </w:t>
      </w:r>
      <w:r w:rsidRPr="003E284C">
        <w:rPr>
          <w:color w:val="auto"/>
          <w:lang w:val="es-ES"/>
        </w:rPr>
        <w:fldChar w:fldCharType="begin" w:fldLock="1"/>
      </w:r>
      <w:r w:rsidRPr="003E284C">
        <w:rPr>
          <w:color w:val="auto"/>
          <w:lang w:val="es-ES"/>
        </w:rPr>
        <w:instrText>ADDIN CSL_CITATION {"citationItems":[{"id":"ITEM-1","itemData":{"DOI":"10.1016/j.endonu.2014.06.003","ISSN":"15792021","PMID":"25171835","abstract":"Chronic kidney disease (CKD) is an important global health problem, involving to 10% of the Spanish population, promoting high morbidity and mortality for the patient and an elevate consumption of the total health resources for the National Health System. This is a summary of an executive consensus document of ten scientific societies involved in the care of the renal patient, that actualizes the consensus document published in 2007. The central extended document can be consulted in the web page of each society. The aspects included in the document are: Concept, epidemiology and risk factors for CKD. Diagnostic criteria, evaluation and stages of CKD, albuminuria and glomerular filtration rate estimation. Progression factors for renal damage. Patient remission criteria. Follow-up and objectives of each speciality control. Nephrotoxicity prevention. Cardio-vascular damage detection. Diet, life-style and treatment attitudes: hypertension, dyslipidaemia, hyperglycemia, smoking, obesity, hyperuricemia, anemia, mineral and bone disorders. Multidisciplinary management for Primary Care, other specialities and Nephrology. Integrated management of CKD patient in haemodialysis, peritoneal dialysis and renal transplant patients. Management of the uremic patient in palliative care. We hope that this document may be of help for the multidisciplinary management of CKD patients by summarizing the most updated recommendations.","author":[{"dropping-particle":"","family":"Martínez-Castelao","given":"Alberto","non-dropping-particle":"","parse-names":false,"suffix":""},{"dropping-particle":"","family":"Górriz","given":"José L.","non-dropping-particle":"","parse-names":false,"suffix":""},{"dropping-particle":"","family":"Bover","given":"Jordi","non-dropping-particle":"","parse-names":false,"suffix":""},{"dropping-particle":"","family":"Segura-de la Morena","given":"Julián","non-dropping-particle":"","parse-names":false,"suffix":""},{"dropping-particle":"","family":"Cebollada","given":"Jesús","non-dropping-particle":"","parse-names":false,"suffix":""},{"dropping-particle":"","family":"Escalada","given":"Javier","non-dropping-particle":"","parse-names":false,"suffix":""},{"dropping-particle":"","family":"Esmatjes","given":"Enric","non-dropping-particle":"","parse-names":false,"suffix":""},{"dropping-particle":"","family":"Fácila","given":"Lorenzo","non-dropping-particle":"","parse-names":false,"suffix":""},{"dropping-particle":"","family":"Gamarra","given":"Javier","non-dropping-particle":"","parse-names":false,"suffix":""},{"dropping-particle":"","family":"Gràcia","given":"Silvia","non-dropping-particle":"","parse-names":false,"suffix":""},{"dropping-particle":"","family":"Hernández-Moreno","given":"Julio","non-dropping-particle":"","parse-names":false,"suffix":""},{"dropping-particle":"","family":"Llisterri-Caro","given":"José L.","non-dropping-particle":"","parse-names":false,"suffix":""},{"dropping-particle":"","family":"Mazón","given":"Pilar","non-dropping-particle":"","parse-names":false,"suffix":""},{"dropping-particle":"","family":"Montañés","given":"Rosario","non-dropping-particle":"","parse-names":false,"suffix":""},{"dropping-particle":"","family":"Morales-Olivas","given":"Francisco","non-dropping-particle":"","parse-names":false,"suffix":""},{"dropping-particle":"","family":"Muñoz-Torres","given":"Manuel","non-dropping-particle":"","parse-names":false,"suffix":""},{"dropping-particle":"","family":"Pablos-Velasco","given":"Pedro","non-dropping-particle":"de","parse-names":false,"suffix":""},{"dropping-particle":"","family":"Santiago","given":"Ana","non-dropping-particle":"de","parse-names":false,"suffix":""},{"dropping-particle":"","family":"Sánchez-Celaya","given":"Marta","non-dropping-particle":"","parse-names":false,"suffix":""},{"dropping-particle":"","family":"Suárez","given":"Carmen","non-dropping-particle":"","parse-names":false,"suffix":""},{"dropping-particle":"","family":"Tranche","given":"Salvador","non-dropping-particle":"","parse-names":false,"suffix":""}],"container-title":"Endocrinologia y Nutricion","id":"ITEM-1","issue":"9","issued":{"date-parts":[["2014"]]},"page":"e25-e43","title":"Documento de consenso para la detección y manejo de la enfermedad renal crónica","type":"article-journal","volume":"61"},"uris":["http://www.mendeley.com/documents/?uuid=f3a15593-066e-494f-aaea-bbaa877a06f1"]}],"mendeley":{"formattedCitation":"(18)","plainTextFormattedCitation":"(18)","previouslyFormattedCitation":"(18)"},"properties":{"noteIndex":0},"schema":"https://github.com/citation-style-language/schema/raw/master/csl-citation.json"}</w:instrText>
      </w:r>
      <w:r w:rsidRPr="003E284C">
        <w:rPr>
          <w:color w:val="auto"/>
          <w:lang w:val="es-ES"/>
        </w:rPr>
        <w:fldChar w:fldCharType="separate"/>
      </w:r>
      <w:r w:rsidRPr="003E284C">
        <w:rPr>
          <w:noProof/>
          <w:color w:val="auto"/>
          <w:lang w:val="es-ES"/>
        </w:rPr>
        <w:t xml:space="preserve">(García </w:t>
      </w:r>
      <w:r w:rsidR="006C597A" w:rsidRPr="003E284C">
        <w:rPr>
          <w:i/>
          <w:noProof/>
          <w:color w:val="auto"/>
          <w:lang w:val="es-ES"/>
        </w:rPr>
        <w:t>et al.</w:t>
      </w:r>
      <w:r w:rsidRPr="003E284C">
        <w:rPr>
          <w:noProof/>
          <w:color w:val="auto"/>
          <w:lang w:val="es-ES"/>
        </w:rPr>
        <w:t>, 2014)</w:t>
      </w:r>
      <w:r w:rsidRPr="003E284C">
        <w:rPr>
          <w:color w:val="auto"/>
          <w:lang w:val="es-ES"/>
        </w:rPr>
        <w:fldChar w:fldCharType="end"/>
      </w:r>
      <w:r w:rsidR="00456A9D" w:rsidRPr="003E284C">
        <w:rPr>
          <w:color w:val="auto"/>
          <w:lang w:val="es-ES"/>
        </w:rPr>
        <w:t>.</w:t>
      </w:r>
      <w:r w:rsidRPr="003E284C">
        <w:rPr>
          <w:color w:val="auto"/>
          <w:lang w:val="es-ES"/>
        </w:rPr>
        <w:t xml:space="preserve"> </w:t>
      </w:r>
      <w:r w:rsidR="00456A9D" w:rsidRPr="003E284C">
        <w:rPr>
          <w:color w:val="auto"/>
          <w:lang w:val="es-ES"/>
        </w:rPr>
        <w:t>E</w:t>
      </w:r>
      <w:r w:rsidRPr="003E284C">
        <w:rPr>
          <w:color w:val="auto"/>
          <w:lang w:val="es-ES"/>
        </w:rPr>
        <w:t xml:space="preserve">n el presente estudio </w:t>
      </w:r>
      <w:r w:rsidR="00456A9D" w:rsidRPr="003E284C">
        <w:rPr>
          <w:color w:val="auto"/>
          <w:lang w:val="es-ES"/>
        </w:rPr>
        <w:t>el</w:t>
      </w:r>
      <w:r w:rsidRPr="003E284C">
        <w:rPr>
          <w:color w:val="auto"/>
          <w:lang w:val="es-ES"/>
        </w:rPr>
        <w:t xml:space="preserve"> 53.6 % </w:t>
      </w:r>
      <w:r w:rsidR="00766DB5" w:rsidRPr="003E284C">
        <w:rPr>
          <w:color w:val="auto"/>
          <w:lang w:val="es-ES"/>
        </w:rPr>
        <w:t>de los pacientes s</w:t>
      </w:r>
      <w:r w:rsidRPr="003E284C">
        <w:rPr>
          <w:color w:val="auto"/>
          <w:lang w:val="es-ES"/>
        </w:rPr>
        <w:t>on diabéticos, de los cuales la media de glucosa se encuentra de 181.3 mg/dl</w:t>
      </w:r>
      <w:r w:rsidR="00456C25" w:rsidRPr="003E284C">
        <w:rPr>
          <w:color w:val="auto"/>
          <w:lang w:val="es-ES"/>
        </w:rPr>
        <w:t>.</w:t>
      </w:r>
      <w:r w:rsidRPr="003E284C">
        <w:rPr>
          <w:color w:val="auto"/>
          <w:lang w:val="es-ES"/>
        </w:rPr>
        <w:t xml:space="preserve"> </w:t>
      </w:r>
      <w:r w:rsidR="00456C25" w:rsidRPr="003E284C">
        <w:rPr>
          <w:color w:val="auto"/>
          <w:lang w:val="es-ES"/>
        </w:rPr>
        <w:t xml:space="preserve">Esto </w:t>
      </w:r>
      <w:r w:rsidRPr="003E284C">
        <w:rPr>
          <w:color w:val="auto"/>
          <w:lang w:val="es-ES"/>
        </w:rPr>
        <w:t xml:space="preserve">refleja mal control de la glicemia, </w:t>
      </w:r>
      <w:r w:rsidR="00456C25" w:rsidRPr="003E284C">
        <w:rPr>
          <w:color w:val="auto"/>
          <w:lang w:val="es-ES"/>
        </w:rPr>
        <w:t>lo que genera</w:t>
      </w:r>
      <w:r w:rsidRPr="003E284C">
        <w:rPr>
          <w:color w:val="auto"/>
          <w:lang w:val="es-ES"/>
        </w:rPr>
        <w:t xml:space="preserve"> </w:t>
      </w:r>
      <w:r w:rsidR="00456C25" w:rsidRPr="003E284C">
        <w:rPr>
          <w:color w:val="auto"/>
          <w:lang w:val="es-ES"/>
        </w:rPr>
        <w:t xml:space="preserve">un </w:t>
      </w:r>
      <w:r w:rsidRPr="003E284C">
        <w:rPr>
          <w:color w:val="auto"/>
          <w:lang w:val="es-ES"/>
        </w:rPr>
        <w:t>mayor impacto en</w:t>
      </w:r>
      <w:r w:rsidR="00995A46" w:rsidRPr="003E284C">
        <w:rPr>
          <w:color w:val="auto"/>
          <w:lang w:val="es-ES"/>
        </w:rPr>
        <w:t xml:space="preserve"> </w:t>
      </w:r>
      <w:r w:rsidRPr="003E284C">
        <w:rPr>
          <w:color w:val="auto"/>
          <w:lang w:val="es-ES"/>
        </w:rPr>
        <w:t xml:space="preserve">los sistemas económicos y de salud. </w:t>
      </w:r>
    </w:p>
    <w:p w14:paraId="2851FD9D" w14:textId="2B85C15B" w:rsidR="00456C25" w:rsidRPr="003E284C" w:rsidRDefault="00456C25" w:rsidP="00066F03">
      <w:pPr>
        <w:pStyle w:val="Normal1"/>
        <w:rPr>
          <w:color w:val="auto"/>
          <w:lang w:val="es-ES"/>
        </w:rPr>
      </w:pPr>
      <w:r w:rsidRPr="003E284C">
        <w:rPr>
          <w:color w:val="auto"/>
          <w:lang w:val="es-ES"/>
        </w:rPr>
        <w:t>En tal sentido, e</w:t>
      </w:r>
      <w:r w:rsidR="00C76EC0" w:rsidRPr="003E284C">
        <w:rPr>
          <w:color w:val="auto"/>
          <w:lang w:val="es-ES"/>
        </w:rPr>
        <w:t>stos niveles elevados en glucosa</w:t>
      </w:r>
      <w:r w:rsidR="00995A46" w:rsidRPr="003E284C">
        <w:rPr>
          <w:color w:val="auto"/>
          <w:lang w:val="es-ES"/>
        </w:rPr>
        <w:t xml:space="preserve"> </w:t>
      </w:r>
      <w:r w:rsidR="00C76EC0" w:rsidRPr="003E284C">
        <w:rPr>
          <w:color w:val="auto"/>
          <w:lang w:val="es-ES"/>
        </w:rPr>
        <w:t>pueden estar influenciados por los efectos de la desaparición de los programas de prospera y seguro popular</w:t>
      </w:r>
      <w:r w:rsidRPr="003E284C">
        <w:rPr>
          <w:color w:val="auto"/>
          <w:lang w:val="es-ES"/>
        </w:rPr>
        <w:t>,</w:t>
      </w:r>
      <w:r w:rsidR="00766DB5" w:rsidRPr="003E284C">
        <w:rPr>
          <w:color w:val="auto"/>
          <w:lang w:val="es-ES"/>
        </w:rPr>
        <w:t xml:space="preserve"> los cuales fueron una herramienta de monitoreo y prevención de salud de la población,</w:t>
      </w:r>
      <w:r w:rsidRPr="003E284C">
        <w:rPr>
          <w:color w:val="auto"/>
          <w:lang w:val="es-ES"/>
        </w:rPr>
        <w:t xml:space="preserve"> así como </w:t>
      </w:r>
      <w:r w:rsidR="00C76EC0" w:rsidRPr="003E284C">
        <w:rPr>
          <w:color w:val="auto"/>
          <w:lang w:val="es-ES"/>
        </w:rPr>
        <w:t xml:space="preserve">la presencia de la pandemia, lo que en conjunto </w:t>
      </w:r>
      <w:r w:rsidRPr="003E284C">
        <w:rPr>
          <w:color w:val="auto"/>
          <w:lang w:val="es-ES"/>
        </w:rPr>
        <w:t>conformó</w:t>
      </w:r>
      <w:r w:rsidR="00C76EC0" w:rsidRPr="003E284C">
        <w:rPr>
          <w:color w:val="auto"/>
          <w:lang w:val="es-ES"/>
        </w:rPr>
        <w:t xml:space="preserve"> un ambiente difícil para la atención m</w:t>
      </w:r>
      <w:r w:rsidR="007510C6" w:rsidRPr="003E284C">
        <w:rPr>
          <w:color w:val="auto"/>
          <w:lang w:val="es-ES"/>
        </w:rPr>
        <w:t>é</w:t>
      </w:r>
      <w:r w:rsidR="00C76EC0" w:rsidRPr="003E284C">
        <w:rPr>
          <w:color w:val="auto"/>
          <w:lang w:val="es-ES"/>
        </w:rPr>
        <w:t xml:space="preserve">dica en todo el país. </w:t>
      </w:r>
    </w:p>
    <w:p w14:paraId="4B55BEBA" w14:textId="6BB16480" w:rsidR="00C76EC0" w:rsidRPr="003E284C" w:rsidRDefault="00456C25" w:rsidP="00066F03">
      <w:pPr>
        <w:pStyle w:val="Normal1"/>
        <w:rPr>
          <w:color w:val="auto"/>
          <w:lang w:val="es-ES"/>
        </w:rPr>
      </w:pPr>
      <w:r w:rsidRPr="003E284C">
        <w:rPr>
          <w:color w:val="auto"/>
          <w:lang w:val="es-ES"/>
        </w:rPr>
        <w:t xml:space="preserve">Por ejemplo, </w:t>
      </w:r>
      <w:r w:rsidR="00C76EC0" w:rsidRPr="003E284C">
        <w:rPr>
          <w:color w:val="auto"/>
          <w:lang w:val="es-ES"/>
        </w:rPr>
        <w:t>Mares</w:t>
      </w:r>
      <w:r w:rsidR="006850E9" w:rsidRPr="003E284C">
        <w:rPr>
          <w:noProof/>
          <w:color w:val="auto"/>
        </w:rPr>
        <w:t xml:space="preserve"> </w:t>
      </w:r>
      <w:r w:rsidR="006C597A" w:rsidRPr="003E284C">
        <w:rPr>
          <w:i/>
          <w:color w:val="auto"/>
          <w:lang w:val="es-ES"/>
        </w:rPr>
        <w:t>et al.</w:t>
      </w:r>
      <w:r w:rsidR="00995A46" w:rsidRPr="003E284C">
        <w:rPr>
          <w:color w:val="auto"/>
          <w:lang w:val="es-ES"/>
        </w:rPr>
        <w:t xml:space="preserve"> </w:t>
      </w:r>
      <w:r w:rsidR="00C76EC0" w:rsidRPr="003E284C">
        <w:rPr>
          <w:color w:val="auto"/>
          <w:lang w:val="es-ES"/>
        </w:rPr>
        <w:t>(2023) realiz</w:t>
      </w:r>
      <w:r w:rsidR="008E69DA" w:rsidRPr="003E284C">
        <w:rPr>
          <w:color w:val="auto"/>
          <w:lang w:val="es-ES"/>
        </w:rPr>
        <w:t>aron</w:t>
      </w:r>
      <w:r w:rsidR="00C76EC0" w:rsidRPr="003E284C">
        <w:rPr>
          <w:color w:val="auto"/>
          <w:lang w:val="es-ES"/>
        </w:rPr>
        <w:t xml:space="preserve"> un estudio comparativo del control glucémico en un grupo prepandemia y de pandemia</w:t>
      </w:r>
      <w:r w:rsidRPr="003E284C">
        <w:rPr>
          <w:color w:val="auto"/>
          <w:lang w:val="es-ES"/>
        </w:rPr>
        <w:t xml:space="preserve">; los resultados demuestran que </w:t>
      </w:r>
      <w:r w:rsidR="00066F03" w:rsidRPr="003E284C">
        <w:rPr>
          <w:color w:val="auto"/>
          <w:lang w:val="es-ES"/>
        </w:rPr>
        <w:t>en la prepandemia los paciente</w:t>
      </w:r>
      <w:r w:rsidRPr="003E284C">
        <w:rPr>
          <w:color w:val="auto"/>
          <w:lang w:val="es-ES"/>
        </w:rPr>
        <w:t>s</w:t>
      </w:r>
      <w:r w:rsidR="00066F03" w:rsidRPr="003E284C">
        <w:rPr>
          <w:color w:val="auto"/>
          <w:lang w:val="es-ES"/>
        </w:rPr>
        <w:t xml:space="preserve"> menores de 50 años presentaron un nivel de HbA1 de 8.1</w:t>
      </w:r>
      <w:r w:rsidR="00066F03" w:rsidRPr="003E284C">
        <w:rPr>
          <w:color w:val="auto"/>
          <w:lang w:val="es-ES"/>
        </w:rPr>
        <w:sym w:font="Symbol" w:char="F0B1"/>
      </w:r>
      <w:r w:rsidR="00066F03" w:rsidRPr="003E284C">
        <w:rPr>
          <w:color w:val="auto"/>
          <w:lang w:val="es-ES"/>
        </w:rPr>
        <w:t>2.4 en comparación con la pandemia</w:t>
      </w:r>
      <w:r w:rsidRPr="003E284C">
        <w:rPr>
          <w:color w:val="auto"/>
          <w:lang w:val="es-ES"/>
        </w:rPr>
        <w:t>,</w:t>
      </w:r>
      <w:r w:rsidR="00066F03" w:rsidRPr="003E284C">
        <w:rPr>
          <w:color w:val="auto"/>
          <w:lang w:val="es-ES"/>
        </w:rPr>
        <w:t xml:space="preserve"> donde el nivel fue de 8.4</w:t>
      </w:r>
      <w:r w:rsidR="00066F03" w:rsidRPr="003E284C">
        <w:rPr>
          <w:color w:val="auto"/>
          <w:lang w:val="es-ES"/>
        </w:rPr>
        <w:sym w:font="Symbol" w:char="F0B1"/>
      </w:r>
      <w:r w:rsidR="00066F03" w:rsidRPr="003E284C">
        <w:rPr>
          <w:color w:val="auto"/>
          <w:lang w:val="es-ES"/>
        </w:rPr>
        <w:t>2.4</w:t>
      </w:r>
      <w:r w:rsidRPr="003E284C">
        <w:rPr>
          <w:color w:val="auto"/>
          <w:lang w:val="es-ES"/>
        </w:rPr>
        <w:t xml:space="preserve">. Además, </w:t>
      </w:r>
      <w:r w:rsidR="00066F03" w:rsidRPr="003E284C">
        <w:rPr>
          <w:color w:val="auto"/>
          <w:lang w:val="es-ES"/>
        </w:rPr>
        <w:t>conforme aumenta la edad, se observa una disminución del nivel de HbA1, ya que los mayores de 70 años en la prepandemia presentaron un</w:t>
      </w:r>
      <w:r w:rsidR="00703763" w:rsidRPr="003E284C">
        <w:rPr>
          <w:color w:val="auto"/>
          <w:lang w:val="es-ES"/>
        </w:rPr>
        <w:t xml:space="preserve"> n</w:t>
      </w:r>
      <w:r w:rsidR="00066F03" w:rsidRPr="003E284C">
        <w:rPr>
          <w:color w:val="auto"/>
          <w:lang w:val="es-ES"/>
        </w:rPr>
        <w:t>ivel de HbA1</w:t>
      </w:r>
      <w:r w:rsidR="00995A46" w:rsidRPr="003E284C">
        <w:rPr>
          <w:color w:val="auto"/>
          <w:lang w:val="es-ES"/>
        </w:rPr>
        <w:t xml:space="preserve"> </w:t>
      </w:r>
      <w:r w:rsidR="00066F03" w:rsidRPr="003E284C">
        <w:rPr>
          <w:color w:val="auto"/>
          <w:lang w:val="es-ES"/>
        </w:rPr>
        <w:t>de 7.1</w:t>
      </w:r>
      <w:r w:rsidRPr="003E284C">
        <w:rPr>
          <w:color w:val="auto"/>
          <w:lang w:val="es-ES"/>
        </w:rPr>
        <w:t>,</w:t>
      </w:r>
      <w:r w:rsidR="00066F03" w:rsidRPr="003E284C">
        <w:rPr>
          <w:color w:val="auto"/>
          <w:lang w:val="es-ES"/>
        </w:rPr>
        <w:t xml:space="preserve"> en contraste con el grupo de pandemia que fue de 7.3</w:t>
      </w:r>
      <w:r w:rsidR="00066F03" w:rsidRPr="003E284C">
        <w:rPr>
          <w:color w:val="auto"/>
          <w:lang w:val="es-ES"/>
        </w:rPr>
        <w:sym w:font="Symbol" w:char="F0B1"/>
      </w:r>
      <w:r w:rsidR="00066F03" w:rsidRPr="003E284C">
        <w:rPr>
          <w:color w:val="auto"/>
          <w:lang w:val="es-ES"/>
        </w:rPr>
        <w:t>1.8</w:t>
      </w:r>
      <w:r w:rsidR="00C76EC0" w:rsidRPr="003E284C">
        <w:rPr>
          <w:color w:val="auto"/>
          <w:lang w:val="es-ES"/>
        </w:rPr>
        <w:t xml:space="preserve">. Estos datos revelan deficiencias en la prevención, especialmente durante la pandemia de </w:t>
      </w:r>
      <w:r w:rsidRPr="003E284C">
        <w:rPr>
          <w:color w:val="auto"/>
          <w:lang w:val="es-ES"/>
        </w:rPr>
        <w:t>c</w:t>
      </w:r>
      <w:r w:rsidR="00C76EC0" w:rsidRPr="003E284C">
        <w:rPr>
          <w:color w:val="auto"/>
          <w:lang w:val="es-ES"/>
        </w:rPr>
        <w:t>ovid-19</w:t>
      </w:r>
      <w:r w:rsidR="008F2C0C" w:rsidRPr="003E284C">
        <w:rPr>
          <w:color w:val="auto"/>
          <w:lang w:val="es-ES"/>
        </w:rPr>
        <w:t>,</w:t>
      </w:r>
      <w:r w:rsidR="00C76EC0" w:rsidRPr="003E284C">
        <w:rPr>
          <w:color w:val="auto"/>
          <w:lang w:val="es-ES"/>
        </w:rPr>
        <w:t xml:space="preserve"> donde el descontrol glucémico fue significativamente mayor comparado a los niveles de prepandemia. </w:t>
      </w:r>
      <w:r w:rsidRPr="003E284C">
        <w:rPr>
          <w:color w:val="auto"/>
          <w:lang w:val="es-ES"/>
        </w:rPr>
        <w:t>En otras palabras, l</w:t>
      </w:r>
      <w:r w:rsidR="00C76EC0" w:rsidRPr="003E284C">
        <w:rPr>
          <w:color w:val="auto"/>
          <w:lang w:val="es-ES"/>
        </w:rPr>
        <w:t xml:space="preserve">a deficiencia en atención primaria, en conjunto con el aislamiento favorecieron el sedentarismo, el tabaquismo, el alcoholismo y las comorbilidades, </w:t>
      </w:r>
      <w:r w:rsidRPr="003E284C">
        <w:rPr>
          <w:color w:val="auto"/>
          <w:lang w:val="es-ES"/>
        </w:rPr>
        <w:t>lo que aumentó</w:t>
      </w:r>
      <w:r w:rsidR="00066F03" w:rsidRPr="003E284C">
        <w:rPr>
          <w:color w:val="auto"/>
          <w:lang w:val="es-ES"/>
        </w:rPr>
        <w:t xml:space="preserve"> </w:t>
      </w:r>
      <w:r w:rsidR="00C76EC0" w:rsidRPr="003E284C">
        <w:rPr>
          <w:color w:val="auto"/>
          <w:lang w:val="es-ES"/>
        </w:rPr>
        <w:t>la probabilidad de</w:t>
      </w:r>
      <w:r w:rsidR="00066F03" w:rsidRPr="003E284C">
        <w:rPr>
          <w:color w:val="auto"/>
          <w:lang w:val="es-ES"/>
        </w:rPr>
        <w:t>l</w:t>
      </w:r>
      <w:r w:rsidR="00C76EC0" w:rsidRPr="003E284C">
        <w:rPr>
          <w:color w:val="auto"/>
          <w:lang w:val="es-ES"/>
        </w:rPr>
        <w:t xml:space="preserve"> descontrol glucémico en la población mexicana (Mares </w:t>
      </w:r>
      <w:r w:rsidR="006C597A" w:rsidRPr="003E284C">
        <w:rPr>
          <w:i/>
          <w:color w:val="auto"/>
          <w:lang w:val="es-ES"/>
        </w:rPr>
        <w:t>et al.</w:t>
      </w:r>
      <w:r w:rsidR="00C76EC0" w:rsidRPr="003E284C">
        <w:rPr>
          <w:color w:val="auto"/>
          <w:lang w:val="es-ES"/>
        </w:rPr>
        <w:t>, 2023).</w:t>
      </w:r>
    </w:p>
    <w:p w14:paraId="3382D43E" w14:textId="09A7BDA3" w:rsidR="00C76EC0" w:rsidRPr="003E284C" w:rsidRDefault="00C76EC0" w:rsidP="00C76EC0">
      <w:pPr>
        <w:pStyle w:val="Normal1"/>
        <w:rPr>
          <w:color w:val="auto"/>
          <w:lang w:val="es-ES"/>
        </w:rPr>
      </w:pPr>
      <w:r w:rsidRPr="003E284C">
        <w:rPr>
          <w:color w:val="auto"/>
          <w:lang w:val="es-ES"/>
        </w:rPr>
        <w:t>En este estudio, se encontró que</w:t>
      </w:r>
      <w:r w:rsidR="00995A46" w:rsidRPr="003E284C">
        <w:rPr>
          <w:color w:val="auto"/>
          <w:lang w:val="es-ES"/>
        </w:rPr>
        <w:t xml:space="preserve"> </w:t>
      </w:r>
      <w:r w:rsidRPr="003E284C">
        <w:rPr>
          <w:color w:val="auto"/>
          <w:lang w:val="es-ES"/>
        </w:rPr>
        <w:t>los pacientes diabéticos presentan</w:t>
      </w:r>
      <w:r w:rsidR="00995A46" w:rsidRPr="003E284C">
        <w:rPr>
          <w:color w:val="auto"/>
          <w:lang w:val="es-ES"/>
        </w:rPr>
        <w:t xml:space="preserve"> </w:t>
      </w:r>
      <w:r w:rsidRPr="003E284C">
        <w:rPr>
          <w:color w:val="auto"/>
          <w:lang w:val="es-ES"/>
        </w:rPr>
        <w:t>una prevalencia similar de ERO a la identificada en una investigación realizada en Guanajuato</w:t>
      </w:r>
      <w:r w:rsidR="00456C25" w:rsidRPr="003E284C">
        <w:rPr>
          <w:color w:val="auto"/>
          <w:lang w:val="es-ES"/>
        </w:rPr>
        <w:t>,</w:t>
      </w:r>
      <w:r w:rsidRPr="003E284C">
        <w:rPr>
          <w:color w:val="auto"/>
          <w:lang w:val="es-ES"/>
        </w:rPr>
        <w:t xml:space="preserve"> México, la cual fue de 7.4 % y reveló que aquellos diabéticos con FG &lt;60 ml/min/1.73m</w:t>
      </w:r>
      <w:r w:rsidRPr="003E284C">
        <w:rPr>
          <w:color w:val="auto"/>
          <w:vertAlign w:val="superscript"/>
          <w:lang w:val="es-ES"/>
        </w:rPr>
        <w:t>2</w:t>
      </w:r>
      <w:r w:rsidRPr="003E284C">
        <w:rPr>
          <w:color w:val="auto"/>
          <w:lang w:val="es-ES"/>
        </w:rPr>
        <w:t xml:space="preserve"> presentaban colesterol, triglicéridos y presión arterial elevados </w:t>
      </w:r>
      <w:r w:rsidRPr="003E284C">
        <w:rPr>
          <w:color w:val="auto"/>
          <w:lang w:val="es-ES"/>
        </w:rPr>
        <w:fldChar w:fldCharType="begin" w:fldLock="1"/>
      </w:r>
      <w:r w:rsidRPr="003E284C">
        <w:rPr>
          <w:color w:val="auto"/>
          <w:lang w:val="es-ES"/>
        </w:rPr>
        <w:instrText>ADDIN CSL_CITATION {"citationItems":[{"id":"ITEM-1","itemData":{"author":[{"dropping-particle":"","family":"R. Leyva-Jimenez, L R. Vázques Aguilar","given":"H. M. Alvarado- García","non-dropping-particle":"","parse-names":false,"suffix":""}],"id":"ITEM-1","issue":"78","issued":{"date-parts":[["2013"]]},"page":"176-177","title":"Insuficiencia renal oculta en diabéticos tipo 2 de una unidad médica de atención primaria Occult renal disease in type 2 diabetes","type":"article-journal","volume":"45"},"uris":["http://www.mendeley.com/documents/?uuid=1150f03c-8890-48b5-b463-ec3660ce7853"]}],"mendeley":{"formattedCitation":"(17)","plainTextFormattedCitation":"(17)","previouslyFormattedCitation":"(17)"},"properties":{"noteIndex":0},"schema":"https://github.com/citation-style-language/schema/raw/master/csl-citation.json"}</w:instrText>
      </w:r>
      <w:r w:rsidRPr="003E284C">
        <w:rPr>
          <w:color w:val="auto"/>
          <w:lang w:val="es-ES"/>
        </w:rPr>
        <w:fldChar w:fldCharType="separate"/>
      </w:r>
      <w:r w:rsidRPr="003E284C">
        <w:rPr>
          <w:noProof/>
          <w:color w:val="auto"/>
          <w:lang w:val="es-ES"/>
        </w:rPr>
        <w:t>(</w:t>
      </w:r>
      <w:r w:rsidRPr="003E284C">
        <w:rPr>
          <w:color w:val="auto"/>
          <w:lang w:val="es-ES"/>
        </w:rPr>
        <w:t xml:space="preserve">Leyva </w:t>
      </w:r>
      <w:r w:rsidR="006C597A" w:rsidRPr="003E284C">
        <w:rPr>
          <w:i/>
          <w:noProof/>
          <w:color w:val="auto"/>
          <w:lang w:val="es-ES"/>
        </w:rPr>
        <w:t>et al.</w:t>
      </w:r>
      <w:r w:rsidRPr="003E284C">
        <w:rPr>
          <w:noProof/>
          <w:color w:val="auto"/>
          <w:lang w:val="es-ES"/>
        </w:rPr>
        <w:t>, 2013)</w:t>
      </w:r>
      <w:r w:rsidRPr="003E284C">
        <w:rPr>
          <w:color w:val="auto"/>
          <w:lang w:val="es-ES"/>
        </w:rPr>
        <w:fldChar w:fldCharType="end"/>
      </w:r>
      <w:r w:rsidRPr="003E284C">
        <w:rPr>
          <w:color w:val="auto"/>
          <w:lang w:val="es-ES"/>
        </w:rPr>
        <w:t xml:space="preserve">. A diferencia del presente estudio, en donde los pacientes diabéticos con ERO, la creatinina y la presión arterial se encuentran normales, mientras </w:t>
      </w:r>
      <w:r w:rsidR="00456C25" w:rsidRPr="003E284C">
        <w:rPr>
          <w:color w:val="auto"/>
          <w:lang w:val="es-ES"/>
        </w:rPr>
        <w:t xml:space="preserve">que </w:t>
      </w:r>
      <w:r w:rsidRPr="003E284C">
        <w:rPr>
          <w:color w:val="auto"/>
          <w:lang w:val="es-ES"/>
        </w:rPr>
        <w:t>el 50 % presentan niveles elevados de triglicéridos y el 33 % valores elevados de colesterol</w:t>
      </w:r>
      <w:r w:rsidR="00456C25" w:rsidRPr="003E284C">
        <w:rPr>
          <w:color w:val="auto"/>
          <w:lang w:val="es-ES"/>
        </w:rPr>
        <w:t>.</w:t>
      </w:r>
      <w:r w:rsidRPr="003E284C">
        <w:rPr>
          <w:color w:val="auto"/>
          <w:lang w:val="es-ES"/>
        </w:rPr>
        <w:t xml:space="preserve"> </w:t>
      </w:r>
      <w:r w:rsidR="00456C25" w:rsidRPr="003E284C">
        <w:rPr>
          <w:color w:val="auto"/>
          <w:lang w:val="es-ES"/>
        </w:rPr>
        <w:t>E</w:t>
      </w:r>
      <w:r w:rsidRPr="003E284C">
        <w:rPr>
          <w:color w:val="auto"/>
          <w:lang w:val="es-ES"/>
        </w:rPr>
        <w:t xml:space="preserve">sto sugiere que probablemente los pacientes se están identificando en las etapas iniciales de la ERO. </w:t>
      </w:r>
      <w:r w:rsidR="00456C25" w:rsidRPr="003E284C">
        <w:rPr>
          <w:color w:val="auto"/>
          <w:lang w:val="es-ES"/>
        </w:rPr>
        <w:t>P</w:t>
      </w:r>
      <w:r w:rsidRPr="003E284C">
        <w:rPr>
          <w:color w:val="auto"/>
          <w:lang w:val="es-ES"/>
        </w:rPr>
        <w:t>or ello</w:t>
      </w:r>
      <w:r w:rsidR="00456C25" w:rsidRPr="003E284C">
        <w:rPr>
          <w:color w:val="auto"/>
          <w:lang w:val="es-ES"/>
        </w:rPr>
        <w:t>,</w:t>
      </w:r>
      <w:r w:rsidRPr="003E284C">
        <w:rPr>
          <w:color w:val="auto"/>
          <w:lang w:val="es-ES"/>
        </w:rPr>
        <w:t xml:space="preserve"> la </w:t>
      </w:r>
      <w:r w:rsidR="00456C25" w:rsidRPr="003E284C">
        <w:rPr>
          <w:color w:val="auto"/>
          <w:lang w:val="es-ES"/>
        </w:rPr>
        <w:t>detección</w:t>
      </w:r>
      <w:r w:rsidRPr="003E284C">
        <w:rPr>
          <w:color w:val="auto"/>
          <w:lang w:val="es-ES"/>
        </w:rPr>
        <w:t xml:space="preserve"> de FG con creatinina sérica normal debe procurarse en la evaluación del paciente durante su diagnóstico.</w:t>
      </w:r>
    </w:p>
    <w:p w14:paraId="0E3064A2" w14:textId="6050E23C" w:rsidR="00456C25" w:rsidRPr="003E284C" w:rsidRDefault="00456C25" w:rsidP="00C76EC0">
      <w:pPr>
        <w:pStyle w:val="Normal1"/>
        <w:rPr>
          <w:color w:val="auto"/>
          <w:lang w:val="es-ES"/>
        </w:rPr>
      </w:pPr>
      <w:r w:rsidRPr="003E284C">
        <w:rPr>
          <w:color w:val="auto"/>
          <w:shd w:val="clear" w:color="auto" w:fill="FFFFFF"/>
          <w:lang w:val="es-ES"/>
        </w:rPr>
        <w:lastRenderedPageBreak/>
        <w:t>Asimismo, e</w:t>
      </w:r>
      <w:r w:rsidR="00086FD6" w:rsidRPr="003E284C">
        <w:rPr>
          <w:color w:val="auto"/>
          <w:shd w:val="clear" w:color="auto" w:fill="FFFFFF"/>
          <w:lang w:val="es-ES"/>
        </w:rPr>
        <w:t>n la presente investigación</w:t>
      </w:r>
      <w:r w:rsidR="00995A46" w:rsidRPr="003E284C">
        <w:rPr>
          <w:color w:val="auto"/>
          <w:shd w:val="clear" w:color="auto" w:fill="FFFFFF"/>
          <w:lang w:val="es-ES"/>
        </w:rPr>
        <w:t xml:space="preserve"> </w:t>
      </w:r>
      <w:r w:rsidR="00C76EC0" w:rsidRPr="003E284C">
        <w:rPr>
          <w:color w:val="auto"/>
          <w:shd w:val="clear" w:color="auto" w:fill="FFFFFF"/>
          <w:lang w:val="es-ES"/>
        </w:rPr>
        <w:t>se observó un porcentaje de ERO mayor en pacientes femeninas con un 66.6 %</w:t>
      </w:r>
      <w:r w:rsidRPr="003E284C">
        <w:rPr>
          <w:color w:val="auto"/>
          <w:shd w:val="clear" w:color="auto" w:fill="FFFFFF"/>
          <w:lang w:val="es-ES"/>
        </w:rPr>
        <w:t>,</w:t>
      </w:r>
      <w:r w:rsidR="00C76EC0" w:rsidRPr="003E284C">
        <w:rPr>
          <w:color w:val="auto"/>
          <w:shd w:val="clear" w:color="auto" w:fill="FFFFFF"/>
          <w:lang w:val="es-ES"/>
        </w:rPr>
        <w:t xml:space="preserve"> mientras que en los masculinos un 33.30 %. En estudios realizados en Cuba por López</w:t>
      </w:r>
      <w:r w:rsidR="000E3EE2" w:rsidRPr="003E284C">
        <w:rPr>
          <w:noProof/>
          <w:color w:val="auto"/>
        </w:rPr>
        <w:t xml:space="preserve"> </w:t>
      </w:r>
      <w:r w:rsidR="006C597A" w:rsidRPr="003E284C">
        <w:rPr>
          <w:i/>
          <w:color w:val="auto"/>
          <w:shd w:val="clear" w:color="auto" w:fill="FFFFFF"/>
          <w:lang w:val="es-ES"/>
        </w:rPr>
        <w:t>et al.</w:t>
      </w:r>
      <w:r w:rsidR="00C76EC0" w:rsidRPr="003E284C">
        <w:rPr>
          <w:color w:val="auto"/>
          <w:shd w:val="clear" w:color="auto" w:fill="FFFFFF"/>
          <w:lang w:val="es-ES"/>
        </w:rPr>
        <w:t xml:space="preserve"> (2020)</w:t>
      </w:r>
      <w:r w:rsidR="00995A46" w:rsidRPr="003E284C">
        <w:rPr>
          <w:color w:val="auto"/>
          <w:shd w:val="clear" w:color="auto" w:fill="FFFFFF"/>
          <w:lang w:val="es-ES"/>
        </w:rPr>
        <w:t xml:space="preserve"> </w:t>
      </w:r>
      <w:r w:rsidR="00C76EC0" w:rsidRPr="003E284C">
        <w:rPr>
          <w:color w:val="auto"/>
          <w:shd w:val="clear" w:color="auto" w:fill="FFFFFF"/>
          <w:lang w:val="es-ES"/>
        </w:rPr>
        <w:t>muestran que también hubo un mayor porcentaje en el</w:t>
      </w:r>
      <w:r w:rsidR="00995A46" w:rsidRPr="003E284C">
        <w:rPr>
          <w:color w:val="auto"/>
          <w:shd w:val="clear" w:color="auto" w:fill="FFFFFF"/>
          <w:lang w:val="es-ES"/>
        </w:rPr>
        <w:t xml:space="preserve"> </w:t>
      </w:r>
      <w:r w:rsidR="00C76EC0" w:rsidRPr="003E284C">
        <w:rPr>
          <w:color w:val="auto"/>
          <w:shd w:val="clear" w:color="auto" w:fill="FFFFFF"/>
          <w:lang w:val="es-ES"/>
        </w:rPr>
        <w:t>sexo femenino</w:t>
      </w:r>
      <w:r w:rsidRPr="003E284C">
        <w:rPr>
          <w:color w:val="auto"/>
          <w:shd w:val="clear" w:color="auto" w:fill="FFFFFF"/>
          <w:lang w:val="es-ES"/>
        </w:rPr>
        <w:t>,</w:t>
      </w:r>
      <w:r w:rsidR="00C76EC0" w:rsidRPr="003E284C">
        <w:rPr>
          <w:color w:val="auto"/>
          <w:shd w:val="clear" w:color="auto" w:fill="FFFFFF"/>
          <w:lang w:val="es-ES"/>
        </w:rPr>
        <w:t xml:space="preserve"> con un 54.9 %</w:t>
      </w:r>
      <w:r w:rsidR="00995A46" w:rsidRPr="003E284C">
        <w:rPr>
          <w:color w:val="auto"/>
          <w:shd w:val="clear" w:color="auto" w:fill="FFFFFF"/>
          <w:lang w:val="es-ES"/>
        </w:rPr>
        <w:t xml:space="preserve"> </w:t>
      </w:r>
      <w:r w:rsidR="00C76EC0" w:rsidRPr="003E284C">
        <w:rPr>
          <w:color w:val="auto"/>
          <w:shd w:val="clear" w:color="auto" w:fill="FFFFFF"/>
          <w:lang w:val="es-ES"/>
        </w:rPr>
        <w:t>en su población de estudio</w:t>
      </w:r>
      <w:r w:rsidRPr="003E284C">
        <w:rPr>
          <w:color w:val="auto"/>
          <w:shd w:val="clear" w:color="auto" w:fill="FFFFFF"/>
          <w:lang w:val="es-ES"/>
        </w:rPr>
        <w:t>.</w:t>
      </w:r>
      <w:r w:rsidR="00C76EC0" w:rsidRPr="003E284C">
        <w:rPr>
          <w:color w:val="auto"/>
          <w:shd w:val="clear" w:color="auto" w:fill="FFFFFF"/>
          <w:lang w:val="es-ES"/>
        </w:rPr>
        <w:t xml:space="preserve"> </w:t>
      </w:r>
      <w:r w:rsidRPr="003E284C">
        <w:rPr>
          <w:color w:val="auto"/>
          <w:shd w:val="clear" w:color="auto" w:fill="FFFFFF"/>
          <w:lang w:val="es-ES"/>
        </w:rPr>
        <w:t>D</w:t>
      </w:r>
      <w:r w:rsidR="00C76EC0" w:rsidRPr="003E284C">
        <w:rPr>
          <w:color w:val="auto"/>
          <w:shd w:val="clear" w:color="auto" w:fill="FFFFFF"/>
          <w:lang w:val="es-ES"/>
        </w:rPr>
        <w:t xml:space="preserve">esde el punto de vista </w:t>
      </w:r>
      <w:r w:rsidRPr="003E284C">
        <w:rPr>
          <w:color w:val="auto"/>
          <w:shd w:val="clear" w:color="auto" w:fill="FFFFFF"/>
          <w:lang w:val="es-ES"/>
        </w:rPr>
        <w:t xml:space="preserve">poblacional, </w:t>
      </w:r>
      <w:r w:rsidR="00C76EC0" w:rsidRPr="003E284C">
        <w:rPr>
          <w:color w:val="auto"/>
          <w:shd w:val="clear" w:color="auto" w:fill="FFFFFF"/>
          <w:lang w:val="es-ES"/>
        </w:rPr>
        <w:t>se cree que esto se asocia con que demográficamente hay más mujeres que hombres</w:t>
      </w:r>
      <w:r w:rsidRPr="003E284C">
        <w:rPr>
          <w:color w:val="auto"/>
          <w:shd w:val="clear" w:color="auto" w:fill="FFFFFF"/>
          <w:lang w:val="es-ES"/>
        </w:rPr>
        <w:t>,</w:t>
      </w:r>
      <w:r w:rsidR="00C76EC0" w:rsidRPr="003E284C">
        <w:rPr>
          <w:color w:val="auto"/>
          <w:shd w:val="clear" w:color="auto" w:fill="FFFFFF"/>
          <w:lang w:val="es-ES"/>
        </w:rPr>
        <w:t xml:space="preserve"> ya que, en México de acuerdo con los datos del </w:t>
      </w:r>
      <w:r w:rsidRPr="003E284C">
        <w:rPr>
          <w:color w:val="auto"/>
          <w:shd w:val="clear" w:color="auto" w:fill="FFFFFF"/>
          <w:lang w:val="es-ES"/>
        </w:rPr>
        <w:t>c</w:t>
      </w:r>
      <w:r w:rsidR="00C76EC0" w:rsidRPr="003E284C">
        <w:rPr>
          <w:color w:val="auto"/>
          <w:shd w:val="clear" w:color="auto" w:fill="FFFFFF"/>
          <w:lang w:val="es-ES"/>
        </w:rPr>
        <w:t xml:space="preserve">enso 2020 realizado por el INEGI, de la población total, </w:t>
      </w:r>
      <w:r w:rsidRPr="003E284C">
        <w:rPr>
          <w:color w:val="auto"/>
          <w:shd w:val="clear" w:color="auto" w:fill="FFFFFF"/>
          <w:lang w:val="es-ES"/>
        </w:rPr>
        <w:t xml:space="preserve">el </w:t>
      </w:r>
      <w:r w:rsidR="00C76EC0" w:rsidRPr="003E284C">
        <w:rPr>
          <w:color w:val="auto"/>
          <w:shd w:val="clear" w:color="auto" w:fill="FFFFFF"/>
          <w:lang w:val="es-ES"/>
        </w:rPr>
        <w:t xml:space="preserve">48.8 % son hombres y </w:t>
      </w:r>
      <w:r w:rsidRPr="003E284C">
        <w:rPr>
          <w:color w:val="auto"/>
          <w:shd w:val="clear" w:color="auto" w:fill="FFFFFF"/>
          <w:lang w:val="es-ES"/>
        </w:rPr>
        <w:t xml:space="preserve">el </w:t>
      </w:r>
      <w:r w:rsidR="00C76EC0" w:rsidRPr="003E284C">
        <w:rPr>
          <w:color w:val="auto"/>
          <w:shd w:val="clear" w:color="auto" w:fill="FFFFFF"/>
          <w:lang w:val="es-ES"/>
        </w:rPr>
        <w:t>51.2 % son mujeres</w:t>
      </w:r>
      <w:r w:rsidR="00436AF9" w:rsidRPr="003E284C">
        <w:rPr>
          <w:color w:val="auto"/>
          <w:shd w:val="clear" w:color="auto" w:fill="FFFFFF"/>
          <w:lang w:val="es-ES"/>
        </w:rPr>
        <w:t xml:space="preserve"> (INEGI, 2021</w:t>
      </w:r>
      <w:r w:rsidR="007278B1" w:rsidRPr="003E284C">
        <w:rPr>
          <w:color w:val="auto"/>
          <w:shd w:val="clear" w:color="auto" w:fill="FFFFFF"/>
          <w:lang w:val="es-ES"/>
        </w:rPr>
        <w:t>c</w:t>
      </w:r>
      <w:r w:rsidR="00436AF9" w:rsidRPr="003E284C">
        <w:rPr>
          <w:color w:val="auto"/>
          <w:shd w:val="clear" w:color="auto" w:fill="FFFFFF"/>
          <w:lang w:val="es-ES"/>
        </w:rPr>
        <w:t>)</w:t>
      </w:r>
      <w:r w:rsidRPr="003E284C">
        <w:rPr>
          <w:color w:val="auto"/>
          <w:shd w:val="clear" w:color="auto" w:fill="FFFFFF"/>
          <w:lang w:val="es-ES"/>
        </w:rPr>
        <w:t>.</w:t>
      </w:r>
      <w:r w:rsidR="00C76EC0" w:rsidRPr="003E284C">
        <w:rPr>
          <w:color w:val="auto"/>
          <w:shd w:val="clear" w:color="auto" w:fill="FFFFFF"/>
          <w:lang w:val="es-ES"/>
        </w:rPr>
        <w:t xml:space="preserve"> </w:t>
      </w:r>
      <w:r w:rsidRPr="003E284C">
        <w:rPr>
          <w:color w:val="auto"/>
          <w:shd w:val="clear" w:color="auto" w:fill="FFFFFF"/>
          <w:lang w:val="es-ES"/>
        </w:rPr>
        <w:t xml:space="preserve">Además, </w:t>
      </w:r>
      <w:r w:rsidR="00C76EC0" w:rsidRPr="003E284C">
        <w:rPr>
          <w:color w:val="auto"/>
          <w:lang w:val="es-ES"/>
        </w:rPr>
        <w:t>cabe recalcar el hecho de que acuden más mujeres que hombres a los centros de salud</w:t>
      </w:r>
      <w:r w:rsidRPr="003E284C">
        <w:rPr>
          <w:color w:val="auto"/>
          <w:lang w:val="es-ES"/>
        </w:rPr>
        <w:t xml:space="preserve">, lo cual </w:t>
      </w:r>
      <w:r w:rsidR="00C76EC0" w:rsidRPr="003E284C">
        <w:rPr>
          <w:color w:val="auto"/>
          <w:lang w:val="es-ES"/>
        </w:rPr>
        <w:t xml:space="preserve">puede generar un subregistro del sexo masculino. </w:t>
      </w:r>
    </w:p>
    <w:p w14:paraId="3D150CDD" w14:textId="7A97AB6E" w:rsidR="00C76EC0" w:rsidRPr="003E284C" w:rsidRDefault="00456C25" w:rsidP="00C76EC0">
      <w:pPr>
        <w:pStyle w:val="Normal1"/>
        <w:rPr>
          <w:noProof/>
          <w:color w:val="auto"/>
          <w:lang w:val="es-ES"/>
        </w:rPr>
      </w:pPr>
      <w:r w:rsidRPr="003E284C">
        <w:rPr>
          <w:color w:val="auto"/>
          <w:lang w:val="es-ES"/>
        </w:rPr>
        <w:t>Por otra parte, cabe resaltar, e</w:t>
      </w:r>
      <w:r w:rsidR="00C76EC0" w:rsidRPr="003E284C">
        <w:rPr>
          <w:color w:val="auto"/>
          <w:lang w:val="es-ES"/>
        </w:rPr>
        <w:t xml:space="preserve">n el caso de la presente investigación, </w:t>
      </w:r>
      <w:r w:rsidRPr="003E284C">
        <w:rPr>
          <w:color w:val="auto"/>
          <w:lang w:val="es-ES"/>
        </w:rPr>
        <w:t xml:space="preserve">que </w:t>
      </w:r>
      <w:r w:rsidR="00C76EC0" w:rsidRPr="003E284C">
        <w:rPr>
          <w:color w:val="auto"/>
          <w:lang w:val="es-ES"/>
        </w:rPr>
        <w:t xml:space="preserve">la mayor parte de </w:t>
      </w:r>
      <w:r w:rsidRPr="003E284C">
        <w:rPr>
          <w:color w:val="auto"/>
          <w:lang w:val="es-ES"/>
        </w:rPr>
        <w:t xml:space="preserve">los participantes </w:t>
      </w:r>
      <w:r w:rsidR="00C76EC0" w:rsidRPr="003E284C">
        <w:rPr>
          <w:color w:val="auto"/>
          <w:lang w:val="es-ES"/>
        </w:rPr>
        <w:t>proviene</w:t>
      </w:r>
      <w:r w:rsidRPr="003E284C">
        <w:rPr>
          <w:color w:val="auto"/>
          <w:lang w:val="es-ES"/>
        </w:rPr>
        <w:t>n</w:t>
      </w:r>
      <w:r w:rsidR="00C76EC0" w:rsidRPr="003E284C">
        <w:rPr>
          <w:color w:val="auto"/>
          <w:lang w:val="es-ES"/>
        </w:rPr>
        <w:t xml:space="preserve"> del poblado de Olinalá, en donde </w:t>
      </w:r>
      <w:r w:rsidRPr="003E284C">
        <w:rPr>
          <w:color w:val="auto"/>
          <w:lang w:val="es-ES"/>
        </w:rPr>
        <w:t>la</w:t>
      </w:r>
      <w:r w:rsidR="00C76EC0" w:rsidRPr="003E284C">
        <w:rPr>
          <w:color w:val="auto"/>
          <w:lang w:val="es-ES"/>
        </w:rPr>
        <w:t xml:space="preserve"> población masculina </w:t>
      </w:r>
      <w:r w:rsidRPr="003E284C">
        <w:rPr>
          <w:color w:val="auto"/>
          <w:lang w:val="es-ES"/>
        </w:rPr>
        <w:t xml:space="preserve">suele dedicarse </w:t>
      </w:r>
      <w:r w:rsidR="00C76EC0" w:rsidRPr="003E284C">
        <w:rPr>
          <w:color w:val="auto"/>
          <w:lang w:val="es-ES"/>
        </w:rPr>
        <w:t>al trabajo en campo, lo cual no facilit</w:t>
      </w:r>
      <w:r w:rsidRPr="003E284C">
        <w:rPr>
          <w:color w:val="auto"/>
          <w:lang w:val="es-ES"/>
        </w:rPr>
        <w:t>ó</w:t>
      </w:r>
      <w:r w:rsidR="00C76EC0" w:rsidRPr="003E284C">
        <w:rPr>
          <w:color w:val="auto"/>
          <w:lang w:val="es-ES"/>
        </w:rPr>
        <w:t xml:space="preserve"> que acudieran al muestreo</w:t>
      </w:r>
      <w:r w:rsidRPr="003E284C">
        <w:rPr>
          <w:color w:val="auto"/>
          <w:lang w:val="es-ES"/>
        </w:rPr>
        <w:t xml:space="preserve">. Este fue un factor </w:t>
      </w:r>
      <w:r w:rsidR="00C76EC0" w:rsidRPr="003E284C">
        <w:rPr>
          <w:color w:val="auto"/>
          <w:lang w:val="es-ES"/>
        </w:rPr>
        <w:t>que afect</w:t>
      </w:r>
      <w:r w:rsidRPr="003E284C">
        <w:rPr>
          <w:color w:val="auto"/>
          <w:lang w:val="es-ES"/>
        </w:rPr>
        <w:t>ó</w:t>
      </w:r>
      <w:r w:rsidR="00C76EC0" w:rsidRPr="003E284C">
        <w:rPr>
          <w:color w:val="auto"/>
          <w:lang w:val="es-ES"/>
        </w:rPr>
        <w:t xml:space="preserve"> el monitoreo del estado de salud en la población masculina. </w:t>
      </w:r>
      <w:r w:rsidRPr="003E284C">
        <w:rPr>
          <w:color w:val="auto"/>
          <w:lang w:val="es-ES"/>
        </w:rPr>
        <w:t>Aunado a esto, se debe mencionar que, e</w:t>
      </w:r>
      <w:r w:rsidR="00C76EC0" w:rsidRPr="003E284C">
        <w:rPr>
          <w:color w:val="auto"/>
          <w:lang w:val="es-ES"/>
        </w:rPr>
        <w:t xml:space="preserve">n cuanto al sector salud, actualmente existen más campañas para la prevención y salud </w:t>
      </w:r>
      <w:r w:rsidRPr="003E284C">
        <w:rPr>
          <w:color w:val="auto"/>
          <w:lang w:val="es-ES"/>
        </w:rPr>
        <w:t>para</w:t>
      </w:r>
      <w:r w:rsidR="00C76EC0" w:rsidRPr="003E284C">
        <w:rPr>
          <w:color w:val="auto"/>
          <w:lang w:val="es-ES"/>
        </w:rPr>
        <w:t xml:space="preserve"> la población femenina.</w:t>
      </w:r>
    </w:p>
    <w:p w14:paraId="5141BEBD" w14:textId="5A7E2BFB" w:rsidR="00456C25" w:rsidRPr="003E284C" w:rsidRDefault="00456C25" w:rsidP="00C76EC0">
      <w:pPr>
        <w:pStyle w:val="Normal1"/>
        <w:rPr>
          <w:color w:val="auto"/>
          <w:lang w:val="es-ES"/>
        </w:rPr>
      </w:pPr>
      <w:r w:rsidRPr="003E284C">
        <w:rPr>
          <w:color w:val="auto"/>
          <w:lang w:val="es-ES"/>
        </w:rPr>
        <w:t>Aun así, e</w:t>
      </w:r>
      <w:r w:rsidR="00C76EC0" w:rsidRPr="003E284C">
        <w:rPr>
          <w:color w:val="auto"/>
          <w:lang w:val="es-ES"/>
        </w:rPr>
        <w:t xml:space="preserve">l análisis </w:t>
      </w:r>
      <w:r w:rsidR="005279AC" w:rsidRPr="003E284C">
        <w:rPr>
          <w:color w:val="auto"/>
          <w:lang w:val="es-ES"/>
        </w:rPr>
        <w:t>b</w:t>
      </w:r>
      <w:r w:rsidR="00C76EC0" w:rsidRPr="003E284C">
        <w:rPr>
          <w:color w:val="auto"/>
          <w:lang w:val="es-ES"/>
        </w:rPr>
        <w:t xml:space="preserve">ivariado permitió encontrar cuatro factores asociados a la presencia de ERO en nuestra población de estudio. Se encontró al envejecimiento como factor asociado (OR:4.70, IC 95 %; 1.63-15.29), ya que la edad igual o mayor de 60 presentó significancia con un valor </w:t>
      </w:r>
      <w:r w:rsidR="00C76EC0" w:rsidRPr="003E284C">
        <w:rPr>
          <w:i/>
          <w:iCs/>
          <w:color w:val="auto"/>
          <w:lang w:val="es-ES"/>
        </w:rPr>
        <w:t>p</w:t>
      </w:r>
      <w:r w:rsidRPr="003E284C">
        <w:rPr>
          <w:i/>
          <w:iCs/>
          <w:color w:val="auto"/>
          <w:lang w:val="es-ES"/>
        </w:rPr>
        <w:t xml:space="preserve"> </w:t>
      </w:r>
      <w:r w:rsidR="00C76EC0" w:rsidRPr="003E284C">
        <w:rPr>
          <w:i/>
          <w:iCs/>
          <w:color w:val="auto"/>
          <w:lang w:val="es-ES"/>
        </w:rPr>
        <w:t>=</w:t>
      </w:r>
      <w:r w:rsidRPr="003E284C">
        <w:rPr>
          <w:i/>
          <w:iCs/>
          <w:color w:val="auto"/>
          <w:lang w:val="es-ES"/>
        </w:rPr>
        <w:t xml:space="preserve"> </w:t>
      </w:r>
      <w:r w:rsidR="00C76EC0" w:rsidRPr="003E284C">
        <w:rPr>
          <w:color w:val="auto"/>
          <w:lang w:val="es-ES"/>
        </w:rPr>
        <w:t xml:space="preserve">0.008. Este resultado coincide con lo señalado por Balderas </w:t>
      </w:r>
      <w:r w:rsidR="006C597A" w:rsidRPr="003E284C">
        <w:rPr>
          <w:i/>
          <w:color w:val="auto"/>
          <w:lang w:val="es-ES"/>
        </w:rPr>
        <w:t>et al.</w:t>
      </w:r>
      <w:r w:rsidR="00C76EC0" w:rsidRPr="003E284C">
        <w:rPr>
          <w:color w:val="auto"/>
          <w:lang w:val="es-ES"/>
        </w:rPr>
        <w:t xml:space="preserve"> (2019)</w:t>
      </w:r>
      <w:r w:rsidR="000E3EE2" w:rsidRPr="003E284C">
        <w:rPr>
          <w:color w:val="auto"/>
          <w:lang w:val="es-ES"/>
        </w:rPr>
        <w:t>,</w:t>
      </w:r>
      <w:r w:rsidR="00C76EC0" w:rsidRPr="003E284C">
        <w:rPr>
          <w:color w:val="auto"/>
          <w:lang w:val="es-ES"/>
        </w:rPr>
        <w:t xml:space="preserve"> qu</w:t>
      </w:r>
      <w:r w:rsidRPr="003E284C">
        <w:rPr>
          <w:color w:val="auto"/>
          <w:lang w:val="es-ES"/>
        </w:rPr>
        <w:t>ienes</w:t>
      </w:r>
      <w:r w:rsidR="00C76EC0" w:rsidRPr="003E284C">
        <w:rPr>
          <w:color w:val="auto"/>
          <w:lang w:val="es-ES"/>
        </w:rPr>
        <w:t xml:space="preserve"> durante el 2021</w:t>
      </w:r>
      <w:r w:rsidR="005279AC" w:rsidRPr="003E284C">
        <w:rPr>
          <w:color w:val="auto"/>
          <w:lang w:val="es-ES"/>
        </w:rPr>
        <w:t xml:space="preserve"> </w:t>
      </w:r>
      <w:r w:rsidR="00C76EC0" w:rsidRPr="003E284C">
        <w:rPr>
          <w:color w:val="auto"/>
          <w:lang w:val="es-ES"/>
        </w:rPr>
        <w:t>realiz</w:t>
      </w:r>
      <w:r w:rsidR="00F0200A" w:rsidRPr="003E284C">
        <w:rPr>
          <w:color w:val="auto"/>
          <w:lang w:val="es-ES"/>
        </w:rPr>
        <w:t>aron</w:t>
      </w:r>
      <w:r w:rsidR="00C76EC0" w:rsidRPr="003E284C">
        <w:rPr>
          <w:color w:val="auto"/>
          <w:lang w:val="es-ES"/>
        </w:rPr>
        <w:t xml:space="preserve"> un estudio en donde</w:t>
      </w:r>
      <w:r w:rsidR="00995A46" w:rsidRPr="003E284C">
        <w:rPr>
          <w:color w:val="auto"/>
          <w:lang w:val="es-ES"/>
        </w:rPr>
        <w:t xml:space="preserve"> </w:t>
      </w:r>
      <w:r w:rsidR="00C76EC0" w:rsidRPr="003E284C">
        <w:rPr>
          <w:color w:val="auto"/>
          <w:lang w:val="es-ES"/>
        </w:rPr>
        <w:t>encontr</w:t>
      </w:r>
      <w:r w:rsidR="00F0200A" w:rsidRPr="003E284C">
        <w:rPr>
          <w:color w:val="auto"/>
          <w:lang w:val="es-ES"/>
        </w:rPr>
        <w:t>aron</w:t>
      </w:r>
      <w:r w:rsidR="00C76EC0" w:rsidRPr="003E284C">
        <w:rPr>
          <w:color w:val="auto"/>
          <w:lang w:val="es-ES"/>
        </w:rPr>
        <w:t xml:space="preserve"> como uno de los principales factores asociados a ERO</w:t>
      </w:r>
      <w:r w:rsidR="00F0200A" w:rsidRPr="003E284C">
        <w:rPr>
          <w:color w:val="auto"/>
          <w:lang w:val="es-ES"/>
        </w:rPr>
        <w:t xml:space="preserve"> a</w:t>
      </w:r>
      <w:r w:rsidR="00C76EC0" w:rsidRPr="003E284C">
        <w:rPr>
          <w:color w:val="auto"/>
          <w:lang w:val="es-ES"/>
        </w:rPr>
        <w:t xml:space="preserve"> la edad ≥ 60 años. </w:t>
      </w:r>
    </w:p>
    <w:p w14:paraId="6B9B58EB" w14:textId="0CF30F31" w:rsidR="00C76EC0" w:rsidRPr="003E284C" w:rsidRDefault="006A3B79" w:rsidP="00C76EC0">
      <w:pPr>
        <w:pStyle w:val="Normal1"/>
        <w:rPr>
          <w:color w:val="auto"/>
          <w:lang w:val="es-ES"/>
        </w:rPr>
      </w:pPr>
      <w:r w:rsidRPr="003E284C">
        <w:rPr>
          <w:color w:val="auto"/>
          <w:lang w:val="es-ES"/>
        </w:rPr>
        <w:t>Además, e</w:t>
      </w:r>
      <w:r w:rsidR="00C76EC0" w:rsidRPr="003E284C">
        <w:rPr>
          <w:color w:val="auto"/>
          <w:lang w:val="es-ES"/>
        </w:rPr>
        <w:t xml:space="preserve">s importante notar el descenso fisiológico esperado en la tasa de FG asociado al proceso de </w:t>
      </w:r>
      <w:proofErr w:type="spellStart"/>
      <w:r w:rsidR="00C76EC0" w:rsidRPr="003E284C">
        <w:rPr>
          <w:color w:val="auto"/>
          <w:lang w:val="es-ES"/>
        </w:rPr>
        <w:t>nefroenvejecimiento</w:t>
      </w:r>
      <w:proofErr w:type="spellEnd"/>
      <w:r w:rsidR="00C76EC0" w:rsidRPr="003E284C">
        <w:rPr>
          <w:color w:val="auto"/>
          <w:lang w:val="es-ES"/>
        </w:rPr>
        <w:t xml:space="preserve"> (envejecimiento del riñón), en </w:t>
      </w:r>
      <w:r w:rsidRPr="003E284C">
        <w:rPr>
          <w:color w:val="auto"/>
          <w:lang w:val="es-ES"/>
        </w:rPr>
        <w:t>e</w:t>
      </w:r>
      <w:r w:rsidR="00C76EC0" w:rsidRPr="003E284C">
        <w:rPr>
          <w:color w:val="auto"/>
          <w:lang w:val="es-ES"/>
        </w:rPr>
        <w:t>l que se consideran aspectos biológicos debido a esta relación</w:t>
      </w:r>
      <w:r w:rsidRPr="003E284C">
        <w:rPr>
          <w:color w:val="auto"/>
          <w:lang w:val="es-ES"/>
        </w:rPr>
        <w:t xml:space="preserve">. Por eso, </w:t>
      </w:r>
      <w:r w:rsidR="00C76EC0" w:rsidRPr="003E284C">
        <w:rPr>
          <w:color w:val="auto"/>
          <w:lang w:val="es-ES"/>
        </w:rPr>
        <w:t xml:space="preserve">se debe de dar mayor importancia al monitoreo de la edad renal, la velocidad de progresión del deterioro fisiológico </w:t>
      </w:r>
      <w:r w:rsidRPr="003E284C">
        <w:rPr>
          <w:color w:val="auto"/>
          <w:lang w:val="es-ES"/>
        </w:rPr>
        <w:t>en</w:t>
      </w:r>
      <w:r w:rsidR="00C76EC0" w:rsidRPr="003E284C">
        <w:rPr>
          <w:color w:val="auto"/>
          <w:lang w:val="es-ES"/>
        </w:rPr>
        <w:t xml:space="preserve"> este nivel, así como a los aspectos propios de cada sexo y del grupo </w:t>
      </w:r>
      <w:r w:rsidR="00EC4FBA" w:rsidRPr="003E284C">
        <w:rPr>
          <w:color w:val="auto"/>
          <w:lang w:val="es-ES"/>
        </w:rPr>
        <w:t>etario</w:t>
      </w:r>
      <w:r w:rsidR="00C76EC0" w:rsidRPr="003E284C">
        <w:rPr>
          <w:color w:val="auto"/>
          <w:lang w:val="es-ES"/>
        </w:rPr>
        <w:t xml:space="preserve"> </w:t>
      </w:r>
      <w:r w:rsidR="00C76EC0" w:rsidRPr="003E284C">
        <w:rPr>
          <w:color w:val="auto"/>
          <w:lang w:val="es-ES"/>
        </w:rPr>
        <w:fldChar w:fldCharType="begin" w:fldLock="1"/>
      </w:r>
      <w:r w:rsidR="00C76EC0" w:rsidRPr="003E284C">
        <w:rPr>
          <w:color w:val="auto"/>
          <w:lang w:val="es-ES"/>
        </w:rPr>
        <w:instrText>ADDIN CSL_CITATION {"citationItems":[{"id":"ITEM-1","itemData":{"DOI":"10.22517/25395203.24001","abstract":"La salud como estado deseable implica la ausencia de enfermedad como uno de sus requisitos, sin embargo en este punto lo que se considera ausencia de enfermedad, debe ajustarse a los cambios fisiológicos asociados al envejecimiento, destacando por supuesto que vejez no es igual a enfermedad pero si existen un deterioro progresivo de órganos y funciones, que cuando “sobrepasan lo esperado”, se traslada a el espectro de enfermedad, esto asociado a que el envejecimiento es un proceso sistemático que afecta prácticamente a todas las especies existentes. La “salud renal” no se escapa a este escenario, es así como todas las clasificaciones actuales por estadios en Enfermedad Renal Crónica no contemplan el descenso fisiológico esperado en la tasa de filtración glomerular asociado a el proceso de nefro envejecimiento, lo que indefectiblemente lleva a sobre y subdiagnosticos de esta condición, con las implicaciones en uso indiscriminado de ayudas diagnósticas y procedimientos terapéuticos, impactando en costos y por supuesto en calidad de vida de la población2. Las diferentes formulas utilizadas en la práctica clínica para el calculo de la tasa de filtración glomerular, tienen en cuenta además de la edad, variables que se modifican indefectiblemente con el envejecimiento, entre ellas el peso corporal para algunas y la creatinina sérica que es un marcador subrogado de la función renal, con las limitantes propias de ser un producto derivado de la masa muscular la cual en procesos de sarcopenia se subestima","author":[{"dropping-particle":"","family":"Alvarez Vera","given":"Tatiana","non-dropping-particle":"","parse-names":false,"suffix":""}],"container-title":"Revista Médica de Risaralda","id":"ITEM-1","issue":"1","issued":{"date-parts":[["2020"]]},"page":"4-6","title":"Concepto de salud renal y nefroenvejecimiento","type":"article-journal","volume":"26"},"uris":["http://www.mendeley.com/documents/?uuid=5911aaf0-9ba1-4c85-82e1-8b9a8fb22668"]}],"mendeley":{"formattedCitation":"(21)","plainTextFormattedCitation":"(21)","previouslyFormattedCitation":"(21)"},"properties":{"noteIndex":0},"schema":"https://github.com/citation-style-language/schema/raw/master/csl-citation.json"}</w:instrText>
      </w:r>
      <w:r w:rsidR="00C76EC0" w:rsidRPr="003E284C">
        <w:rPr>
          <w:color w:val="auto"/>
          <w:lang w:val="es-ES"/>
        </w:rPr>
        <w:fldChar w:fldCharType="separate"/>
      </w:r>
      <w:r w:rsidR="00C76EC0" w:rsidRPr="003E284C">
        <w:rPr>
          <w:noProof/>
          <w:color w:val="auto"/>
          <w:lang w:val="es-ES"/>
        </w:rPr>
        <w:t>(</w:t>
      </w:r>
      <w:r w:rsidRPr="003E284C">
        <w:rPr>
          <w:noProof/>
          <w:color w:val="auto"/>
          <w:lang w:val="es-ES"/>
        </w:rPr>
        <w:t>Á</w:t>
      </w:r>
      <w:r w:rsidR="00C76EC0" w:rsidRPr="003E284C">
        <w:rPr>
          <w:noProof/>
          <w:color w:val="auto"/>
          <w:lang w:val="es-ES"/>
        </w:rPr>
        <w:t>lvarez, 2020)</w:t>
      </w:r>
      <w:r w:rsidR="00C76EC0" w:rsidRPr="003E284C">
        <w:rPr>
          <w:color w:val="auto"/>
          <w:lang w:val="es-ES"/>
        </w:rPr>
        <w:fldChar w:fldCharType="end"/>
      </w:r>
      <w:r w:rsidR="00C76EC0" w:rsidRPr="003E284C">
        <w:rPr>
          <w:color w:val="auto"/>
          <w:lang w:val="es-ES"/>
        </w:rPr>
        <w:t>.</w:t>
      </w:r>
    </w:p>
    <w:p w14:paraId="41AF1905" w14:textId="356A23E3" w:rsidR="00C76EC0" w:rsidRPr="003E284C" w:rsidRDefault="00C76EC0" w:rsidP="00C76EC0">
      <w:pPr>
        <w:pStyle w:val="Normal1"/>
        <w:rPr>
          <w:color w:val="auto"/>
          <w:lang w:val="es-ES"/>
        </w:rPr>
      </w:pPr>
      <w:r w:rsidRPr="003E284C">
        <w:rPr>
          <w:color w:val="auto"/>
          <w:lang w:val="es-ES"/>
        </w:rPr>
        <w:t>Otros factores asociados a la ERO fueron los niveles &gt;20 mg/dL de albuminuria</w:t>
      </w:r>
      <w:r w:rsidR="00F0200A" w:rsidRPr="003E284C">
        <w:rPr>
          <w:color w:val="auto"/>
          <w:lang w:val="es-ES"/>
        </w:rPr>
        <w:t>, ya que</w:t>
      </w:r>
      <w:r w:rsidRPr="003E284C">
        <w:rPr>
          <w:color w:val="auto"/>
          <w:lang w:val="es-ES"/>
        </w:rPr>
        <w:t xml:space="preserve"> </w:t>
      </w:r>
      <w:r w:rsidR="00F0200A" w:rsidRPr="003E284C">
        <w:rPr>
          <w:color w:val="auto"/>
          <w:lang w:val="es-ES"/>
        </w:rPr>
        <w:t>a</w:t>
      </w:r>
      <w:r w:rsidRPr="003E284C">
        <w:rPr>
          <w:color w:val="auto"/>
          <w:lang w:val="es-ES"/>
        </w:rPr>
        <w:t xml:space="preserve"> medida que la nefropatía diabética progresa, las pérdidas de albúmina se hacen más evidentes</w:t>
      </w:r>
      <w:r w:rsidR="006A3B79" w:rsidRPr="003E284C">
        <w:rPr>
          <w:color w:val="auto"/>
          <w:lang w:val="es-ES"/>
        </w:rPr>
        <w:t xml:space="preserve">, lo que </w:t>
      </w:r>
      <w:r w:rsidRPr="003E284C">
        <w:rPr>
          <w:color w:val="auto"/>
          <w:lang w:val="es-ES"/>
        </w:rPr>
        <w:t xml:space="preserve">contribuye a la pérdida progresiva del FG </w:t>
      </w:r>
      <w:r w:rsidRPr="003E284C">
        <w:rPr>
          <w:color w:val="auto"/>
          <w:lang w:val="es-ES"/>
        </w:rPr>
        <w:fldChar w:fldCharType="begin" w:fldLock="1"/>
      </w:r>
      <w:r w:rsidRPr="003E284C">
        <w:rPr>
          <w:color w:val="auto"/>
          <w:lang w:val="es-ES"/>
        </w:rPr>
        <w:instrText>ADDIN CSL_CITATION {"citationItems":[{"id":"ITEM-1","itemData":{"abstract":"El concepto enfermedad renal diabética (ERD) hace referencia a la enfermedad renal crónica (ERC) atribuida a la propia diabetes. Asimismo, en la diabetes la ERC se define como la pérdida de función renal alcanzando un filtrado glomerular estimado (FGe) 30 mg/g o albuminuria &gt;30mg/24h) o la conjunción de ambas [1]. El diagnóstico de esta patología es habitualmente clínico y en raras ocasiones suele confirmarse mediante biopsia renal. Por otra parte, el término nefropatía diabética se debería reservar a aquellos casos con afectación renal diabética confirmada histológicamente [1]. La asociación entre la ERD y la albuminuria se ha descrito tradicionalmente en los pacientes con diabetes tipo 1 en los que el diagnóstico de diabetes precede al desarrollo de la propia enfermedad","author":[{"dropping-particle":"","family":"Vergara","given":"Ander","non-dropping-particle":"","parse-names":false,"suffix":""},{"dropping-particle":"","family":"Martínez","given":"Alberto","non-dropping-particle":"","parse-names":false,"suffix":""},{"dropping-particle":"","family":"Górriz","given":"José","non-dropping-particle":"","parse-names":false,"suffix":""},{"dropping-particle":"","family":"Moreno","given":"Fernando","non-dropping-particle":"","parse-names":false,"suffix":""},{"dropping-particle":"","family":"Navarro","given":"Juan","non-dropping-particle":"","parse-names":false,"suffix":""},{"dropping-particle":"","family":"Soler","given":"María","non-dropping-particle":"","parse-names":false,"suffix":""}],"container-title":"Sociedad Española de Nefrología","id":"ITEM-1","issued":{"date-parts":[["2020"]]},"page":"1-4","title":"Enfermedad Diabética Renal: Albuminuria Y Progresión","type":"article-journal"},"uris":["http://www.mendeley.com/documents/?uuid=07a0be99-c8cf-48c6-8950-6c60252d37b3"]}],"mendeley":{"formattedCitation":"(22)","plainTextFormattedCitation":"(22)","previouslyFormattedCitation":"(22)"},"properties":{"noteIndex":0},"schema":"https://github.com/citation-style-language/schema/raw/master/csl-citation.json"}</w:instrText>
      </w:r>
      <w:r w:rsidRPr="003E284C">
        <w:rPr>
          <w:color w:val="auto"/>
          <w:lang w:val="es-ES"/>
        </w:rPr>
        <w:fldChar w:fldCharType="separate"/>
      </w:r>
      <w:r w:rsidRPr="003E284C">
        <w:rPr>
          <w:noProof/>
          <w:color w:val="auto"/>
          <w:lang w:val="es-ES"/>
        </w:rPr>
        <w:t>(</w:t>
      </w:r>
      <w:hyperlink r:id="rId13" w:tgtFrame="_blank" w:history="1">
        <w:r w:rsidRPr="003E284C">
          <w:rPr>
            <w:rStyle w:val="Hipervnculo"/>
            <w:color w:val="auto"/>
            <w:u w:val="none"/>
            <w:lang w:val="es-ES"/>
          </w:rPr>
          <w:t>Vergara</w:t>
        </w:r>
      </w:hyperlink>
      <w:r w:rsidR="00995A46" w:rsidRPr="003E284C">
        <w:rPr>
          <w:color w:val="auto"/>
          <w:lang w:val="es-ES"/>
        </w:rPr>
        <w:t xml:space="preserve"> </w:t>
      </w:r>
      <w:r w:rsidR="006C597A" w:rsidRPr="003E284C">
        <w:rPr>
          <w:i/>
          <w:noProof/>
          <w:color w:val="auto"/>
          <w:lang w:val="es-ES"/>
        </w:rPr>
        <w:t>et al.</w:t>
      </w:r>
      <w:r w:rsidRPr="003E284C">
        <w:rPr>
          <w:noProof/>
          <w:color w:val="auto"/>
          <w:lang w:val="es-ES"/>
        </w:rPr>
        <w:t>, 2020)</w:t>
      </w:r>
      <w:r w:rsidRPr="003E284C">
        <w:rPr>
          <w:color w:val="auto"/>
          <w:lang w:val="es-ES"/>
        </w:rPr>
        <w:fldChar w:fldCharType="end"/>
      </w:r>
      <w:r w:rsidRPr="003E284C">
        <w:rPr>
          <w:color w:val="auto"/>
          <w:lang w:val="es-ES"/>
        </w:rPr>
        <w:t xml:space="preserve">. En este estudio </w:t>
      </w:r>
      <w:r w:rsidR="006A3B79" w:rsidRPr="003E284C">
        <w:rPr>
          <w:color w:val="auto"/>
          <w:lang w:val="es-ES"/>
        </w:rPr>
        <w:t>el</w:t>
      </w:r>
      <w:r w:rsidRPr="003E284C">
        <w:rPr>
          <w:color w:val="auto"/>
          <w:lang w:val="es-ES"/>
        </w:rPr>
        <w:t xml:space="preserve"> 16</w:t>
      </w:r>
      <w:r w:rsidR="006A3B79" w:rsidRPr="003E284C">
        <w:rPr>
          <w:color w:val="auto"/>
          <w:lang w:val="es-ES"/>
        </w:rPr>
        <w:t xml:space="preserve"> </w:t>
      </w:r>
      <w:r w:rsidRPr="003E284C">
        <w:rPr>
          <w:color w:val="auto"/>
          <w:lang w:val="es-ES"/>
        </w:rPr>
        <w:t>% de la población tiene niveles elevados de albuminuria y son diabéticos. La presencia de albuminuria puede ser de las primeras manifestaciones de daño renal ante la disminución de la tasa de FG (</w:t>
      </w:r>
      <w:r w:rsidRPr="003E284C">
        <w:rPr>
          <w:noProof/>
          <w:color w:val="auto"/>
          <w:lang w:val="es-ES"/>
        </w:rPr>
        <w:t>Labrador</w:t>
      </w:r>
      <w:r w:rsidR="000E3EE2" w:rsidRPr="003E284C">
        <w:rPr>
          <w:noProof/>
          <w:color w:val="auto"/>
        </w:rPr>
        <w:t xml:space="preserve"> </w:t>
      </w:r>
      <w:r w:rsidR="006C597A" w:rsidRPr="003E284C">
        <w:rPr>
          <w:i/>
          <w:color w:val="auto"/>
          <w:lang w:val="es-ES"/>
        </w:rPr>
        <w:t>et al.</w:t>
      </w:r>
      <w:r w:rsidRPr="003E284C">
        <w:rPr>
          <w:color w:val="auto"/>
          <w:lang w:val="es-ES"/>
        </w:rPr>
        <w:t xml:space="preserve">, 2018b). </w:t>
      </w:r>
    </w:p>
    <w:p w14:paraId="2E264AF3" w14:textId="77777777" w:rsidR="006A3B79" w:rsidRPr="003E284C" w:rsidRDefault="00C76EC0" w:rsidP="00C76EC0">
      <w:pPr>
        <w:pStyle w:val="Normal1"/>
        <w:rPr>
          <w:color w:val="auto"/>
          <w:lang w:val="es-ES"/>
        </w:rPr>
      </w:pPr>
      <w:r w:rsidRPr="003E284C">
        <w:rPr>
          <w:color w:val="auto"/>
          <w:lang w:val="es-ES"/>
        </w:rPr>
        <w:t xml:space="preserve">El ácido úrico (AU) tiene un gran impacto en la salud, </w:t>
      </w:r>
      <w:r w:rsidR="006A3B79" w:rsidRPr="003E284C">
        <w:rPr>
          <w:color w:val="auto"/>
          <w:lang w:val="es-ES"/>
        </w:rPr>
        <w:t xml:space="preserve">ya que </w:t>
      </w:r>
      <w:r w:rsidRPr="003E284C">
        <w:rPr>
          <w:color w:val="auto"/>
          <w:lang w:val="es-ES"/>
        </w:rPr>
        <w:t xml:space="preserve">es un precursor en el desarrollo de varias patologías cuando se presenta en niveles elevados. Se ha determinado al </w:t>
      </w:r>
      <w:r w:rsidRPr="003E284C">
        <w:rPr>
          <w:color w:val="auto"/>
          <w:lang w:val="es-ES"/>
        </w:rPr>
        <w:lastRenderedPageBreak/>
        <w:t>AU en niveles &gt; 7mg/dl como hiperuricemia (</w:t>
      </w:r>
      <w:r w:rsidRPr="003E284C">
        <w:rPr>
          <w:noProof/>
          <w:color w:val="auto"/>
          <w:lang w:val="es-ES"/>
        </w:rPr>
        <w:t xml:space="preserve">Ríos </w:t>
      </w:r>
      <w:r w:rsidR="006C597A" w:rsidRPr="003E284C">
        <w:rPr>
          <w:i/>
          <w:color w:val="auto"/>
          <w:lang w:val="es-ES"/>
        </w:rPr>
        <w:t>et al.</w:t>
      </w:r>
      <w:r w:rsidRPr="003E284C">
        <w:rPr>
          <w:color w:val="auto"/>
          <w:lang w:val="es-ES"/>
        </w:rPr>
        <w:t xml:space="preserve">, 2020) y algunos estudios han señalado que los niveles elevados de AU tienen una gran </w:t>
      </w:r>
      <w:r w:rsidR="006A3B79" w:rsidRPr="003E284C">
        <w:rPr>
          <w:color w:val="auto"/>
          <w:lang w:val="es-ES"/>
        </w:rPr>
        <w:t>vinculación</w:t>
      </w:r>
      <w:r w:rsidRPr="003E284C">
        <w:rPr>
          <w:color w:val="auto"/>
          <w:lang w:val="es-ES"/>
        </w:rPr>
        <w:t xml:space="preserve"> con el desarrollo de la enfermedad renal debido que el AU se elimina en dos terceras partes por el riñón y se incrementa con el deterioro del FG. La hiperuricemia produce varias lesiones a nivel renal, </w:t>
      </w:r>
      <w:r w:rsidR="006A3B79" w:rsidRPr="003E284C">
        <w:rPr>
          <w:color w:val="auto"/>
          <w:lang w:val="es-ES"/>
        </w:rPr>
        <w:t>las cuales</w:t>
      </w:r>
      <w:r w:rsidRPr="003E284C">
        <w:rPr>
          <w:color w:val="auto"/>
          <w:lang w:val="es-ES"/>
        </w:rPr>
        <w:t xml:space="preserve"> deterioran las respuestas de la autorregulación renal y causan hipertensión glomerular </w:t>
      </w:r>
      <w:r w:rsidRPr="003E284C">
        <w:rPr>
          <w:color w:val="auto"/>
          <w:lang w:val="es-ES"/>
        </w:rPr>
        <w:fldChar w:fldCharType="begin" w:fldLock="1"/>
      </w:r>
      <w:r w:rsidRPr="003E284C">
        <w:rPr>
          <w:color w:val="auto"/>
          <w:lang w:val="es-ES"/>
        </w:rPr>
        <w:instrText>ADDIN CSL_CITATION {"citationItems":[{"id":"ITEM-1","itemData":{"author":[{"dropping-particle":"","family":"Diezandino","given":"Marian Goicoechea","non-dropping-particle":"","parse-names":false,"suffix":""}],"id":"ITEM-1","issued":{"date-parts":[["2021"]]},"title":"Ácido Úrico y Enfermedad Renal Crónica","type":"article-journal"},"uris":["http://www.mendeley.com/documents/?uuid=2a31a2aa-5a18-470e-b7c1-641589480e8b"]}],"mendeley":{"formattedCitation":"(25)","plainTextFormattedCitation":"(25)","previouslyFormattedCitation":"(25)"},"properties":{"noteIndex":0},"schema":"https://github.com/citation-style-language/schema/raw/master/csl-citation.json"}</w:instrText>
      </w:r>
      <w:r w:rsidRPr="003E284C">
        <w:rPr>
          <w:color w:val="auto"/>
          <w:lang w:val="es-ES"/>
        </w:rPr>
        <w:fldChar w:fldCharType="separate"/>
      </w:r>
      <w:r w:rsidRPr="003E284C">
        <w:rPr>
          <w:noProof/>
          <w:color w:val="auto"/>
          <w:lang w:val="es-ES"/>
        </w:rPr>
        <w:t xml:space="preserve">(Goicoechea </w:t>
      </w:r>
      <w:r w:rsidR="006C597A" w:rsidRPr="003E284C">
        <w:rPr>
          <w:i/>
          <w:noProof/>
          <w:color w:val="auto"/>
          <w:lang w:val="es-ES"/>
        </w:rPr>
        <w:t>et al.</w:t>
      </w:r>
      <w:r w:rsidRPr="003E284C">
        <w:rPr>
          <w:noProof/>
          <w:color w:val="auto"/>
          <w:lang w:val="es-ES"/>
        </w:rPr>
        <w:t>, 2021)</w:t>
      </w:r>
      <w:r w:rsidRPr="003E284C">
        <w:rPr>
          <w:color w:val="auto"/>
          <w:lang w:val="es-ES"/>
        </w:rPr>
        <w:fldChar w:fldCharType="end"/>
      </w:r>
      <w:r w:rsidRPr="003E284C">
        <w:rPr>
          <w:color w:val="auto"/>
          <w:lang w:val="es-ES"/>
        </w:rPr>
        <w:t xml:space="preserve">. </w:t>
      </w:r>
    </w:p>
    <w:p w14:paraId="646BAA23" w14:textId="77777777" w:rsidR="006A3B79" w:rsidRPr="003E284C" w:rsidRDefault="00C76EC0" w:rsidP="00C76EC0">
      <w:pPr>
        <w:pStyle w:val="Normal1"/>
        <w:rPr>
          <w:color w:val="auto"/>
          <w:lang w:val="es-ES"/>
        </w:rPr>
      </w:pPr>
      <w:r w:rsidRPr="003E284C">
        <w:rPr>
          <w:color w:val="auto"/>
          <w:lang w:val="es-ES"/>
        </w:rPr>
        <w:t xml:space="preserve">Dos estudios realizados en Japón </w:t>
      </w:r>
      <w:r w:rsidR="006A3B79" w:rsidRPr="003E284C">
        <w:rPr>
          <w:color w:val="auto"/>
          <w:lang w:val="es-ES"/>
        </w:rPr>
        <w:t>—</w:t>
      </w:r>
      <w:r w:rsidRPr="003E284C">
        <w:rPr>
          <w:color w:val="auto"/>
          <w:lang w:val="es-ES"/>
        </w:rPr>
        <w:t xml:space="preserve">uno </w:t>
      </w:r>
      <w:r w:rsidR="006A3B79" w:rsidRPr="003E284C">
        <w:rPr>
          <w:color w:val="auto"/>
          <w:lang w:val="es-ES"/>
        </w:rPr>
        <w:t xml:space="preserve">realizado </w:t>
      </w:r>
      <w:r w:rsidRPr="003E284C">
        <w:rPr>
          <w:color w:val="auto"/>
          <w:lang w:val="es-ES"/>
        </w:rPr>
        <w:t xml:space="preserve">por Tomita </w:t>
      </w:r>
      <w:r w:rsidR="006C597A" w:rsidRPr="003E284C">
        <w:rPr>
          <w:i/>
          <w:color w:val="auto"/>
          <w:lang w:val="es-ES"/>
        </w:rPr>
        <w:t>et al.</w:t>
      </w:r>
      <w:r w:rsidRPr="003E284C">
        <w:rPr>
          <w:color w:val="auto"/>
          <w:lang w:val="es-ES"/>
        </w:rPr>
        <w:t xml:space="preserve"> </w:t>
      </w:r>
      <w:r w:rsidR="006A3B79" w:rsidRPr="003E284C">
        <w:rPr>
          <w:color w:val="auto"/>
          <w:lang w:val="es-ES"/>
        </w:rPr>
        <w:t>(</w:t>
      </w:r>
      <w:r w:rsidRPr="003E284C">
        <w:rPr>
          <w:color w:val="auto"/>
          <w:lang w:val="es-ES"/>
        </w:rPr>
        <w:t>2000</w:t>
      </w:r>
      <w:r w:rsidR="006A3B79" w:rsidRPr="003E284C">
        <w:rPr>
          <w:color w:val="auto"/>
          <w:lang w:val="es-ES"/>
        </w:rPr>
        <w:t>)</w:t>
      </w:r>
      <w:r w:rsidRPr="003E284C">
        <w:rPr>
          <w:color w:val="auto"/>
          <w:lang w:val="es-ES"/>
        </w:rPr>
        <w:t xml:space="preserve"> para examinar la relación entre el AU y la ER</w:t>
      </w:r>
      <w:r w:rsidR="006A3B79" w:rsidRPr="003E284C">
        <w:rPr>
          <w:color w:val="auto"/>
          <w:lang w:val="es-ES"/>
        </w:rPr>
        <w:t>—</w:t>
      </w:r>
      <w:r w:rsidRPr="003E284C">
        <w:rPr>
          <w:color w:val="auto"/>
          <w:lang w:val="es-ES"/>
        </w:rPr>
        <w:t xml:space="preserve"> determinaron que al tener AU &gt;8.5 mg/dl aumentaba a 8 veces del riesgo de desarrollar ERC frente a niveles de hiperuricemia moderada 5-6.4 mg/dl</w:t>
      </w:r>
      <w:r w:rsidR="006A3B79" w:rsidRPr="003E284C">
        <w:rPr>
          <w:color w:val="auto"/>
          <w:lang w:val="es-ES"/>
        </w:rPr>
        <w:t>; mientras que el otro</w:t>
      </w:r>
      <w:r w:rsidRPr="003E284C">
        <w:rPr>
          <w:color w:val="auto"/>
          <w:lang w:val="es-ES"/>
        </w:rPr>
        <w:t xml:space="preserve"> estudio evaluó la incidencia de ERC, donde los niveles en hombres con AU resultan ser &gt;7 mg/dl y en mujeres &gt; 6 mg/dl (Kunitoshi </w:t>
      </w:r>
      <w:r w:rsidR="006C597A" w:rsidRPr="003E284C">
        <w:rPr>
          <w:i/>
          <w:noProof/>
          <w:color w:val="auto"/>
          <w:lang w:val="es-ES"/>
        </w:rPr>
        <w:t>et al.</w:t>
      </w:r>
      <w:r w:rsidRPr="003E284C">
        <w:rPr>
          <w:color w:val="auto"/>
          <w:lang w:val="es-ES"/>
        </w:rPr>
        <w:t xml:space="preserve">, 2004). </w:t>
      </w:r>
    </w:p>
    <w:p w14:paraId="755FB326" w14:textId="2333AD7B" w:rsidR="00C76EC0" w:rsidRPr="003E284C" w:rsidRDefault="006A3B79" w:rsidP="00C76EC0">
      <w:pPr>
        <w:pStyle w:val="Normal1"/>
        <w:rPr>
          <w:color w:val="auto"/>
          <w:lang w:val="es-ES"/>
        </w:rPr>
      </w:pPr>
      <w:r w:rsidRPr="003E284C">
        <w:rPr>
          <w:color w:val="auto"/>
          <w:lang w:val="es-ES"/>
        </w:rPr>
        <w:t>En concordancia con lo anterior, en</w:t>
      </w:r>
      <w:r w:rsidR="00C76EC0" w:rsidRPr="003E284C">
        <w:rPr>
          <w:color w:val="auto"/>
          <w:lang w:val="es-ES"/>
        </w:rPr>
        <w:t xml:space="preserve"> el presente estudio</w:t>
      </w:r>
      <w:r w:rsidRPr="003E284C">
        <w:rPr>
          <w:color w:val="auto"/>
          <w:lang w:val="es-ES"/>
        </w:rPr>
        <w:t xml:space="preserve"> se</w:t>
      </w:r>
      <w:r w:rsidR="00C76EC0" w:rsidRPr="003E284C">
        <w:rPr>
          <w:color w:val="auto"/>
          <w:lang w:val="es-ES"/>
        </w:rPr>
        <w:t xml:space="preserve"> destaca la hiperuricemia como otro factor debido que se representó en </w:t>
      </w:r>
      <w:r w:rsidRPr="003E284C">
        <w:rPr>
          <w:color w:val="auto"/>
          <w:lang w:val="es-ES"/>
        </w:rPr>
        <w:t>el</w:t>
      </w:r>
      <w:r w:rsidR="00C76EC0" w:rsidRPr="003E284C">
        <w:rPr>
          <w:color w:val="auto"/>
          <w:lang w:val="es-ES"/>
        </w:rPr>
        <w:t xml:space="preserve"> 30.76 % en pacientes con patología renal y diabéticos tomando como referencia &gt; 8.5 mg/dl. Esto nos da entender que a largo plazo los pacientes que presentan niveles elevados de ácido úrico tendrán mayor probabilidad de presentar ERO, </w:t>
      </w:r>
      <w:r w:rsidRPr="003E284C">
        <w:rPr>
          <w:color w:val="auto"/>
          <w:lang w:val="es-ES"/>
        </w:rPr>
        <w:t>lo que</w:t>
      </w:r>
      <w:r w:rsidR="00C76EC0" w:rsidRPr="003E284C">
        <w:rPr>
          <w:color w:val="auto"/>
          <w:lang w:val="es-ES"/>
        </w:rPr>
        <w:t xml:space="preserve"> </w:t>
      </w:r>
      <w:r w:rsidRPr="003E284C">
        <w:rPr>
          <w:color w:val="auto"/>
          <w:lang w:val="es-ES"/>
        </w:rPr>
        <w:t>significará</w:t>
      </w:r>
      <w:r w:rsidR="00C76EC0" w:rsidRPr="003E284C">
        <w:rPr>
          <w:color w:val="auto"/>
          <w:lang w:val="es-ES"/>
        </w:rPr>
        <w:t xml:space="preserve"> </w:t>
      </w:r>
      <w:r w:rsidRPr="003E284C">
        <w:rPr>
          <w:color w:val="auto"/>
          <w:lang w:val="es-ES"/>
        </w:rPr>
        <w:t>e</w:t>
      </w:r>
      <w:r w:rsidR="00C76EC0" w:rsidRPr="003E284C">
        <w:rPr>
          <w:color w:val="auto"/>
          <w:lang w:val="es-ES"/>
        </w:rPr>
        <w:t>l desarrollo de ERC si no se lleva un tratamiento adecuado.</w:t>
      </w:r>
    </w:p>
    <w:p w14:paraId="7368ACF1" w14:textId="71726E60" w:rsidR="00C76EC0" w:rsidRPr="003E284C" w:rsidRDefault="006A3B79" w:rsidP="00C76EC0">
      <w:pPr>
        <w:pStyle w:val="Normal1"/>
        <w:rPr>
          <w:color w:val="auto"/>
          <w:lang w:val="es-ES"/>
        </w:rPr>
      </w:pPr>
      <w:r w:rsidRPr="003E284C">
        <w:rPr>
          <w:color w:val="auto"/>
          <w:lang w:val="es-ES"/>
        </w:rPr>
        <w:t>Por último, l</w:t>
      </w:r>
      <w:r w:rsidR="00C76EC0" w:rsidRPr="003E284C">
        <w:rPr>
          <w:color w:val="auto"/>
          <w:lang w:val="es-ES"/>
        </w:rPr>
        <w:t xml:space="preserve">a estimación del FG, además del uso de ecuaciones, puede determinarse a partir del aclaramiento medio de urea y creatinina. La urea es eliminada en su totalidad por el riñón mediante filtración, por lo que aumenta su concentración cuando el flujo tubular es menor </w:t>
      </w:r>
      <w:r w:rsidR="00C76EC0" w:rsidRPr="003E284C">
        <w:rPr>
          <w:color w:val="auto"/>
          <w:lang w:val="es-ES"/>
        </w:rPr>
        <w:fldChar w:fldCharType="begin" w:fldLock="1"/>
      </w:r>
      <w:r w:rsidR="00C76EC0" w:rsidRPr="003E284C">
        <w:rPr>
          <w:color w:val="auto"/>
          <w:lang w:val="es-ES"/>
        </w:rPr>
        <w:instrText>ADDIN CSL_CITATION {"citationItems":[{"id":"ITEM-1","itemData":{"abstract":"La detección inicial de la enfermedad renal suele realizarse por aumento de creatinina y/o alteraciones en la orina. Las pruebas de función tubular se utilizan sobre todo en trastornos hidroelectrolíticos. La estimación del Filtrado Glomerular (FG) puede hacerse a partir del aclaramiento de sustancias endógenas (creatinina y/o urea) y exógenas, o mediante ecuaciones estimativas validadas en poblaciones determinadas. El uso del aclaramiento de creatinina de 24 horas se ha restringido a situaciones en las que el valor de creatinina sérica está muy influido por factores dependientes del paciente. El aclaramiento medio de urea y creatinina se utiliza en la enfermedad renal crónica estadio 4-5. Entre las ecuaciones estimativas del FG más utilizadas, están la de Cockcroft-Gault y la de MDRD-4. Ambas sobrestiman el FG cuando es inferior a 15 ml/min y son válidas para FG entre 15-60 ml/min. El uso de la cistatina C como alternativa a la creatinina en la estimación del FG aún es discutible por sus limitaciones. El estudio de orina resulta de gran interés por orientar sobre la posible etiología de la patología renal.","author":[{"dropping-particle":"","family":"Castaño Bilbao","given":"Itziar","non-dropping-particle":"","parse-names":false,"suffix":""},{"dropping-particle":"","family":"Slon Roblero M.ª","given":"Fernanda","non-dropping-particle":"","parse-names":false,"suffix":""},{"dropping-particle":"","family":"García-Fernández","given":"Nuria","non-dropping-particle":"","parse-names":false,"suffix":""}],"container-title":"NefroPlus","id":"ITEM-1","issued":{"date-parts":[["2009"]]},"page":"17-30","title":"Revista Nefrologia - Estudios de función renal: función glomerular y tubular. Análisis de la orina","type":"article-journal","volume":"2"},"uris":["http://www.mendeley.com/documents/?uuid=f6725a58-f270-4351-9dfb-248db66dd59f"]}],"mendeley":{"formattedCitation":"(27)","plainTextFormattedCitation":"(27)","previouslyFormattedCitation":"(27)"},"properties":{"noteIndex":0},"schema":"https://github.com/citation-style-language/schema/raw/master/csl-citation.json"}</w:instrText>
      </w:r>
      <w:r w:rsidR="00C76EC0" w:rsidRPr="003E284C">
        <w:rPr>
          <w:color w:val="auto"/>
          <w:lang w:val="es-ES"/>
        </w:rPr>
        <w:fldChar w:fldCharType="separate"/>
      </w:r>
      <w:r w:rsidR="00C76EC0" w:rsidRPr="003E284C">
        <w:rPr>
          <w:noProof/>
          <w:color w:val="auto"/>
          <w:lang w:val="es-ES"/>
        </w:rPr>
        <w:t xml:space="preserve">(Castaño </w:t>
      </w:r>
      <w:r w:rsidR="006C597A" w:rsidRPr="003E284C">
        <w:rPr>
          <w:i/>
          <w:noProof/>
          <w:color w:val="auto"/>
          <w:lang w:val="es-ES"/>
        </w:rPr>
        <w:t>et al.</w:t>
      </w:r>
      <w:r w:rsidR="00C76EC0" w:rsidRPr="003E284C">
        <w:rPr>
          <w:noProof/>
          <w:color w:val="auto"/>
          <w:lang w:val="es-ES"/>
        </w:rPr>
        <w:t>, 2009)</w:t>
      </w:r>
      <w:r w:rsidR="00C76EC0" w:rsidRPr="003E284C">
        <w:rPr>
          <w:color w:val="auto"/>
          <w:lang w:val="es-ES"/>
        </w:rPr>
        <w:fldChar w:fldCharType="end"/>
      </w:r>
      <w:r w:rsidR="00C76EC0" w:rsidRPr="003E284C">
        <w:rPr>
          <w:color w:val="auto"/>
          <w:lang w:val="es-ES"/>
        </w:rPr>
        <w:t>. En el presente estudio</w:t>
      </w:r>
      <w:r w:rsidRPr="003E284C">
        <w:rPr>
          <w:color w:val="auto"/>
          <w:lang w:val="es-ES"/>
        </w:rPr>
        <w:t>,</w:t>
      </w:r>
      <w:r w:rsidR="00C76EC0" w:rsidRPr="003E284C">
        <w:rPr>
          <w:color w:val="auto"/>
          <w:lang w:val="es-ES"/>
        </w:rPr>
        <w:t xml:space="preserve"> la urea se muestra como un indicador de riesgo, </w:t>
      </w:r>
      <w:r w:rsidRPr="003E284C">
        <w:rPr>
          <w:color w:val="auto"/>
          <w:lang w:val="es-ES"/>
        </w:rPr>
        <w:t>ya que alcanzó</w:t>
      </w:r>
      <w:r w:rsidR="00C76EC0" w:rsidRPr="003E284C">
        <w:rPr>
          <w:color w:val="auto"/>
          <w:lang w:val="es-ES"/>
        </w:rPr>
        <w:t xml:space="preserve"> niveles elevados en </w:t>
      </w:r>
      <w:r w:rsidRPr="003E284C">
        <w:rPr>
          <w:color w:val="auto"/>
          <w:lang w:val="es-ES"/>
        </w:rPr>
        <w:t>el</w:t>
      </w:r>
      <w:r w:rsidR="00C76EC0" w:rsidRPr="003E284C">
        <w:rPr>
          <w:color w:val="auto"/>
          <w:lang w:val="es-ES"/>
        </w:rPr>
        <w:t xml:space="preserve"> 42.85 % </w:t>
      </w:r>
      <w:r w:rsidRPr="003E284C">
        <w:rPr>
          <w:color w:val="auto"/>
          <w:lang w:val="es-ES"/>
        </w:rPr>
        <w:t>de</w:t>
      </w:r>
      <w:r w:rsidR="00C76EC0" w:rsidRPr="003E284C">
        <w:rPr>
          <w:color w:val="auto"/>
          <w:lang w:val="es-ES"/>
        </w:rPr>
        <w:t xml:space="preserve"> los pacientes diabéticos con ERO. </w:t>
      </w:r>
    </w:p>
    <w:p w14:paraId="52283F90" w14:textId="77777777" w:rsidR="00C76EC0" w:rsidRPr="003E284C" w:rsidRDefault="00C76EC0" w:rsidP="0018154D">
      <w:pPr>
        <w:pStyle w:val="Normal1"/>
        <w:ind w:firstLine="0"/>
        <w:rPr>
          <w:bCs/>
          <w:color w:val="auto"/>
          <w:sz w:val="28"/>
          <w:szCs w:val="28"/>
          <w:vertAlign w:val="superscript"/>
          <w:lang w:val="es-ES"/>
        </w:rPr>
      </w:pPr>
    </w:p>
    <w:bookmarkEnd w:id="12"/>
    <w:p w14:paraId="075D7C44" w14:textId="73D51612" w:rsidR="00667620" w:rsidRPr="003E284C" w:rsidRDefault="00667620" w:rsidP="0018154D">
      <w:pPr>
        <w:spacing w:after="0" w:line="360" w:lineRule="auto"/>
        <w:jc w:val="center"/>
        <w:rPr>
          <w:rFonts w:ascii="Times New Roman" w:eastAsia="Times New Roman" w:hAnsi="Times New Roman" w:cs="Times New Roman"/>
          <w:b/>
          <w:bCs/>
          <w:sz w:val="32"/>
          <w:szCs w:val="32"/>
          <w:lang w:val="es-ES"/>
        </w:rPr>
      </w:pPr>
      <w:r w:rsidRPr="003E284C">
        <w:rPr>
          <w:rFonts w:ascii="Times New Roman" w:eastAsia="Times New Roman" w:hAnsi="Times New Roman" w:cs="Times New Roman"/>
          <w:b/>
          <w:bCs/>
          <w:sz w:val="32"/>
          <w:szCs w:val="32"/>
          <w:lang w:val="es-ES"/>
        </w:rPr>
        <w:t>Conclusión</w:t>
      </w:r>
    </w:p>
    <w:p w14:paraId="78A6DAAA" w14:textId="4D283223" w:rsidR="0011521E" w:rsidRPr="003E284C" w:rsidRDefault="00667620" w:rsidP="00667620">
      <w:pPr>
        <w:pStyle w:val="Normal1"/>
        <w:rPr>
          <w:color w:val="auto"/>
          <w:lang w:val="es-ES"/>
        </w:rPr>
      </w:pPr>
      <w:r w:rsidRPr="003E284C">
        <w:rPr>
          <w:color w:val="auto"/>
          <w:lang w:val="es-ES"/>
        </w:rPr>
        <w:t xml:space="preserve">La </w:t>
      </w:r>
      <w:r w:rsidR="008F1FA5" w:rsidRPr="003E284C">
        <w:rPr>
          <w:color w:val="auto"/>
          <w:lang w:val="es-ES"/>
        </w:rPr>
        <w:t>ERO</w:t>
      </w:r>
      <w:r w:rsidRPr="003E284C">
        <w:rPr>
          <w:color w:val="auto"/>
          <w:lang w:val="es-ES"/>
        </w:rPr>
        <w:t xml:space="preserve"> se presenta con mayor prevalencia en pacientes diabéticos</w:t>
      </w:r>
      <w:r w:rsidR="004741FC" w:rsidRPr="003E284C">
        <w:rPr>
          <w:color w:val="auto"/>
          <w:lang w:val="es-ES"/>
        </w:rPr>
        <w:t>,</w:t>
      </w:r>
      <w:r w:rsidR="0011521E" w:rsidRPr="003E284C">
        <w:rPr>
          <w:color w:val="auto"/>
          <w:lang w:val="es-ES"/>
        </w:rPr>
        <w:t xml:space="preserve"> </w:t>
      </w:r>
      <w:r w:rsidR="006A3B79" w:rsidRPr="003E284C">
        <w:rPr>
          <w:color w:val="auto"/>
          <w:lang w:val="es-ES"/>
        </w:rPr>
        <w:t xml:space="preserve">en especial </w:t>
      </w:r>
      <w:r w:rsidR="0011521E" w:rsidRPr="003E284C">
        <w:rPr>
          <w:color w:val="auto"/>
          <w:lang w:val="es-ES"/>
        </w:rPr>
        <w:t xml:space="preserve">en </w:t>
      </w:r>
      <w:r w:rsidR="006A3B79" w:rsidRPr="003E284C">
        <w:rPr>
          <w:color w:val="auto"/>
          <w:lang w:val="es-ES"/>
        </w:rPr>
        <w:t xml:space="preserve">aquellos </w:t>
      </w:r>
      <w:r w:rsidR="0011521E" w:rsidRPr="003E284C">
        <w:rPr>
          <w:color w:val="auto"/>
          <w:lang w:val="es-ES"/>
        </w:rPr>
        <w:t>de las comunidades rurales</w:t>
      </w:r>
      <w:r w:rsidRPr="003E284C">
        <w:rPr>
          <w:color w:val="auto"/>
          <w:lang w:val="es-ES"/>
        </w:rPr>
        <w:t>,</w:t>
      </w:r>
      <w:r w:rsidR="00375F3A" w:rsidRPr="003E284C">
        <w:rPr>
          <w:color w:val="auto"/>
          <w:lang w:val="es-ES"/>
        </w:rPr>
        <w:t xml:space="preserve"> ya que el 75 % de nuestra prevalencia de ERO pertenece al poblado de Olinalá,</w:t>
      </w:r>
      <w:r w:rsidRPr="003E284C">
        <w:rPr>
          <w:color w:val="auto"/>
          <w:lang w:val="es-ES"/>
        </w:rPr>
        <w:t xml:space="preserve"> </w:t>
      </w:r>
      <w:r w:rsidR="006A3B79" w:rsidRPr="003E284C">
        <w:rPr>
          <w:color w:val="auto"/>
          <w:lang w:val="es-ES"/>
        </w:rPr>
        <w:t xml:space="preserve">factor que se halló </w:t>
      </w:r>
      <w:r w:rsidRPr="003E284C">
        <w:rPr>
          <w:color w:val="auto"/>
          <w:lang w:val="es-ES"/>
        </w:rPr>
        <w:t>asociad</w:t>
      </w:r>
      <w:r w:rsidR="006A3B79" w:rsidRPr="003E284C">
        <w:rPr>
          <w:color w:val="auto"/>
          <w:lang w:val="es-ES"/>
        </w:rPr>
        <w:t>o con variables</w:t>
      </w:r>
      <w:r w:rsidRPr="003E284C">
        <w:rPr>
          <w:color w:val="auto"/>
          <w:lang w:val="es-ES"/>
        </w:rPr>
        <w:t xml:space="preserve"> como la edad</w:t>
      </w:r>
      <w:r w:rsidR="004F2376" w:rsidRPr="003E284C">
        <w:rPr>
          <w:color w:val="auto"/>
          <w:lang w:val="es-ES"/>
        </w:rPr>
        <w:t xml:space="preserve"> mayor a 60 años</w:t>
      </w:r>
      <w:r w:rsidRPr="003E284C">
        <w:rPr>
          <w:color w:val="auto"/>
          <w:lang w:val="es-ES"/>
        </w:rPr>
        <w:t>, albuminuria, urea y ácido úrico</w:t>
      </w:r>
      <w:r w:rsidR="004F2376" w:rsidRPr="003E284C">
        <w:rPr>
          <w:color w:val="auto"/>
          <w:lang w:val="es-ES"/>
        </w:rPr>
        <w:t xml:space="preserve"> elevados</w:t>
      </w:r>
      <w:r w:rsidRPr="003E284C">
        <w:rPr>
          <w:color w:val="auto"/>
          <w:lang w:val="es-ES"/>
        </w:rPr>
        <w:t>. </w:t>
      </w:r>
    </w:p>
    <w:p w14:paraId="3613E753" w14:textId="0A3CE85E" w:rsidR="00554FB9" w:rsidRPr="003E284C" w:rsidRDefault="006A3B79" w:rsidP="0011521E">
      <w:pPr>
        <w:pStyle w:val="Normal1"/>
        <w:rPr>
          <w:color w:val="auto"/>
          <w:lang w:val="es-ES"/>
        </w:rPr>
      </w:pPr>
      <w:r w:rsidRPr="003E284C">
        <w:rPr>
          <w:color w:val="auto"/>
          <w:lang w:val="es-ES"/>
        </w:rPr>
        <w:t>Poor eso, e</w:t>
      </w:r>
      <w:r w:rsidR="0011521E" w:rsidRPr="003E284C">
        <w:rPr>
          <w:color w:val="auto"/>
          <w:lang w:val="es-ES"/>
        </w:rPr>
        <w:t>s</w:t>
      </w:r>
      <w:r w:rsidR="00667620" w:rsidRPr="003E284C">
        <w:rPr>
          <w:color w:val="auto"/>
          <w:lang w:val="es-ES"/>
        </w:rPr>
        <w:t xml:space="preserve"> </w:t>
      </w:r>
      <w:r w:rsidR="0011521E" w:rsidRPr="003E284C">
        <w:rPr>
          <w:color w:val="auto"/>
          <w:lang w:val="es-ES"/>
        </w:rPr>
        <w:t>necesario</w:t>
      </w:r>
      <w:r w:rsidR="00667620" w:rsidRPr="003E284C">
        <w:rPr>
          <w:color w:val="auto"/>
          <w:lang w:val="es-ES"/>
        </w:rPr>
        <w:t xml:space="preserve"> </w:t>
      </w:r>
      <w:r w:rsidR="0011521E" w:rsidRPr="003E284C">
        <w:rPr>
          <w:color w:val="auto"/>
          <w:lang w:val="es-ES"/>
        </w:rPr>
        <w:t xml:space="preserve">implementar </w:t>
      </w:r>
      <w:r w:rsidR="000D0899" w:rsidRPr="003E284C">
        <w:rPr>
          <w:color w:val="auto"/>
          <w:lang w:val="es-ES"/>
        </w:rPr>
        <w:t>la detección oportuna de la</w:t>
      </w:r>
      <w:r w:rsidR="0011521E" w:rsidRPr="003E284C">
        <w:rPr>
          <w:color w:val="auto"/>
          <w:lang w:val="es-ES"/>
        </w:rPr>
        <w:t xml:space="preserve"> ERO</w:t>
      </w:r>
      <w:r w:rsidRPr="003E284C">
        <w:rPr>
          <w:color w:val="auto"/>
          <w:lang w:val="es-ES"/>
        </w:rPr>
        <w:t xml:space="preserve">, incluso </w:t>
      </w:r>
      <w:r w:rsidR="0011521E" w:rsidRPr="003E284C">
        <w:rPr>
          <w:color w:val="auto"/>
          <w:lang w:val="es-ES"/>
        </w:rPr>
        <w:t xml:space="preserve">en la población </w:t>
      </w:r>
      <w:r w:rsidR="00071222" w:rsidRPr="003E284C">
        <w:rPr>
          <w:color w:val="auto"/>
          <w:lang w:val="es-ES"/>
        </w:rPr>
        <w:t xml:space="preserve">no </w:t>
      </w:r>
      <w:r w:rsidR="00166FF7" w:rsidRPr="003E284C">
        <w:rPr>
          <w:color w:val="auto"/>
          <w:lang w:val="es-ES"/>
        </w:rPr>
        <w:t>diabética</w:t>
      </w:r>
      <w:r w:rsidR="0011521E" w:rsidRPr="003E284C">
        <w:rPr>
          <w:color w:val="auto"/>
          <w:lang w:val="es-ES"/>
        </w:rPr>
        <w:t>,</w:t>
      </w:r>
      <w:r w:rsidR="00995A46" w:rsidRPr="003E284C">
        <w:rPr>
          <w:color w:val="auto"/>
          <w:lang w:val="es-ES"/>
        </w:rPr>
        <w:t xml:space="preserve"> </w:t>
      </w:r>
      <w:r w:rsidR="0011521E" w:rsidRPr="003E284C">
        <w:rPr>
          <w:color w:val="auto"/>
          <w:lang w:val="es-ES"/>
        </w:rPr>
        <w:t>para evitar llegar a la</w:t>
      </w:r>
      <w:r w:rsidR="008F1FA5" w:rsidRPr="003E284C">
        <w:rPr>
          <w:color w:val="auto"/>
          <w:lang w:val="es-ES"/>
        </w:rPr>
        <w:t xml:space="preserve"> ER</w:t>
      </w:r>
      <w:r w:rsidR="0011521E" w:rsidRPr="003E284C">
        <w:rPr>
          <w:color w:val="auto"/>
          <w:lang w:val="es-ES"/>
        </w:rPr>
        <w:t>C</w:t>
      </w:r>
      <w:r w:rsidR="00CC0D10" w:rsidRPr="003E284C">
        <w:rPr>
          <w:color w:val="auto"/>
          <w:lang w:val="es-ES"/>
        </w:rPr>
        <w:t>,</w:t>
      </w:r>
      <w:r w:rsidR="004F2376" w:rsidRPr="003E284C">
        <w:rPr>
          <w:color w:val="auto"/>
          <w:lang w:val="es-ES"/>
        </w:rPr>
        <w:t xml:space="preserve"> </w:t>
      </w:r>
      <w:r w:rsidR="0011521E" w:rsidRPr="003E284C">
        <w:rPr>
          <w:color w:val="auto"/>
          <w:lang w:val="es-ES"/>
        </w:rPr>
        <w:t>con especial atención en los pacientes prediabético</w:t>
      </w:r>
      <w:r w:rsidR="00061B7D" w:rsidRPr="003E284C">
        <w:rPr>
          <w:color w:val="auto"/>
          <w:lang w:val="es-ES"/>
        </w:rPr>
        <w:t>s para los cu</w:t>
      </w:r>
      <w:r w:rsidRPr="003E284C">
        <w:rPr>
          <w:color w:val="auto"/>
          <w:lang w:val="es-ES"/>
        </w:rPr>
        <w:t>a</w:t>
      </w:r>
      <w:r w:rsidR="00061B7D" w:rsidRPr="003E284C">
        <w:rPr>
          <w:color w:val="auto"/>
          <w:lang w:val="es-ES"/>
        </w:rPr>
        <w:t xml:space="preserve">les no existen programas </w:t>
      </w:r>
      <w:r w:rsidRPr="003E284C">
        <w:rPr>
          <w:color w:val="auto"/>
          <w:lang w:val="es-ES"/>
        </w:rPr>
        <w:t>para</w:t>
      </w:r>
      <w:r w:rsidR="00995A46" w:rsidRPr="003E284C">
        <w:rPr>
          <w:color w:val="auto"/>
          <w:lang w:val="es-ES"/>
        </w:rPr>
        <w:t xml:space="preserve"> </w:t>
      </w:r>
      <w:r w:rsidRPr="003E284C">
        <w:rPr>
          <w:color w:val="auto"/>
          <w:lang w:val="es-ES"/>
        </w:rPr>
        <w:t>prevenir</w:t>
      </w:r>
      <w:r w:rsidR="00061B7D" w:rsidRPr="003E284C">
        <w:rPr>
          <w:color w:val="auto"/>
          <w:lang w:val="es-ES"/>
        </w:rPr>
        <w:t xml:space="preserve"> y </w:t>
      </w:r>
      <w:r w:rsidRPr="003E284C">
        <w:rPr>
          <w:color w:val="auto"/>
          <w:lang w:val="es-ES"/>
        </w:rPr>
        <w:t>retrasar</w:t>
      </w:r>
      <w:r w:rsidR="00061B7D" w:rsidRPr="003E284C">
        <w:rPr>
          <w:color w:val="auto"/>
          <w:lang w:val="es-ES"/>
        </w:rPr>
        <w:t xml:space="preserve"> la presentación de la diabetes y sus complicaciones. </w:t>
      </w:r>
    </w:p>
    <w:p w14:paraId="43B61DAA" w14:textId="77777777" w:rsidR="00162AA1" w:rsidRPr="003E284C" w:rsidRDefault="00162AA1" w:rsidP="00554FB9">
      <w:pPr>
        <w:pStyle w:val="Normal1"/>
        <w:jc w:val="center"/>
        <w:rPr>
          <w:b/>
          <w:bCs/>
          <w:color w:val="auto"/>
          <w:sz w:val="28"/>
          <w:szCs w:val="28"/>
          <w:lang w:val="es-ES"/>
        </w:rPr>
      </w:pPr>
    </w:p>
    <w:p w14:paraId="7612A561" w14:textId="46407FDF" w:rsidR="00FD3A92" w:rsidRPr="003E284C" w:rsidRDefault="00554FB9" w:rsidP="0018154D">
      <w:pPr>
        <w:pStyle w:val="Normal1"/>
        <w:jc w:val="center"/>
        <w:rPr>
          <w:b/>
          <w:bCs/>
          <w:color w:val="auto"/>
          <w:sz w:val="28"/>
          <w:szCs w:val="28"/>
          <w:lang w:val="es-ES"/>
        </w:rPr>
      </w:pPr>
      <w:r w:rsidRPr="003E284C">
        <w:rPr>
          <w:b/>
          <w:bCs/>
          <w:color w:val="auto"/>
          <w:sz w:val="28"/>
          <w:szCs w:val="28"/>
          <w:lang w:val="es-ES"/>
        </w:rPr>
        <w:t>Futuras líneas de investigación</w:t>
      </w:r>
    </w:p>
    <w:p w14:paraId="6923E4BD" w14:textId="6679167A" w:rsidR="00061B7D" w:rsidRPr="003E284C" w:rsidRDefault="00FD3A92" w:rsidP="003C32B7">
      <w:pPr>
        <w:pStyle w:val="Normal1"/>
        <w:rPr>
          <w:color w:val="auto"/>
          <w:lang w:val="es-ES"/>
        </w:rPr>
      </w:pPr>
      <w:r w:rsidRPr="003E284C">
        <w:rPr>
          <w:color w:val="auto"/>
          <w:lang w:val="es-ES"/>
        </w:rPr>
        <w:t xml:space="preserve">Sería conveniente conocer el impacto de </w:t>
      </w:r>
      <w:r w:rsidR="003B44B0" w:rsidRPr="003E284C">
        <w:rPr>
          <w:color w:val="auto"/>
          <w:lang w:val="es-ES"/>
        </w:rPr>
        <w:t xml:space="preserve">la efectividad y adherencia al </w:t>
      </w:r>
      <w:r w:rsidR="00B50C7E" w:rsidRPr="003E284C">
        <w:rPr>
          <w:color w:val="auto"/>
          <w:lang w:val="es-ES"/>
        </w:rPr>
        <w:t>tratamiento y</w:t>
      </w:r>
      <w:r w:rsidRPr="003E284C">
        <w:rPr>
          <w:color w:val="auto"/>
          <w:lang w:val="es-ES"/>
        </w:rPr>
        <w:t xml:space="preserve"> el estilo de vida de los </w:t>
      </w:r>
      <w:r w:rsidR="00B50C7E" w:rsidRPr="003E284C">
        <w:rPr>
          <w:color w:val="auto"/>
          <w:lang w:val="es-ES"/>
        </w:rPr>
        <w:t>pacientes diabéticos</w:t>
      </w:r>
      <w:r w:rsidRPr="003E284C">
        <w:rPr>
          <w:color w:val="auto"/>
          <w:lang w:val="es-ES"/>
        </w:rPr>
        <w:t xml:space="preserve"> en la aparición de la enfermedad renal oculta.</w:t>
      </w:r>
      <w:r w:rsidR="00995A46" w:rsidRPr="003E284C">
        <w:rPr>
          <w:color w:val="auto"/>
          <w:lang w:val="es-ES"/>
        </w:rPr>
        <w:t xml:space="preserve"> </w:t>
      </w:r>
      <w:r w:rsidR="006A3B79" w:rsidRPr="003E284C">
        <w:rPr>
          <w:color w:val="auto"/>
          <w:lang w:val="es-ES"/>
        </w:rPr>
        <w:t>Asimismo, resultaría útil desarrollar</w:t>
      </w:r>
      <w:r w:rsidR="00F0200A" w:rsidRPr="003E284C">
        <w:rPr>
          <w:color w:val="auto"/>
          <w:lang w:val="es-ES"/>
        </w:rPr>
        <w:t xml:space="preserve"> investigaciones </w:t>
      </w:r>
      <w:r w:rsidR="006A3B79" w:rsidRPr="003E284C">
        <w:rPr>
          <w:color w:val="auto"/>
          <w:lang w:val="es-ES"/>
        </w:rPr>
        <w:t>para</w:t>
      </w:r>
      <w:r w:rsidR="00995A46" w:rsidRPr="003E284C">
        <w:rPr>
          <w:color w:val="auto"/>
          <w:lang w:val="es-ES"/>
        </w:rPr>
        <w:t xml:space="preserve"> </w:t>
      </w:r>
      <w:r w:rsidR="006A3B79" w:rsidRPr="003E284C">
        <w:rPr>
          <w:color w:val="auto"/>
          <w:lang w:val="es-ES"/>
        </w:rPr>
        <w:t>determinar</w:t>
      </w:r>
      <w:r w:rsidR="00061B7D" w:rsidRPr="003E284C">
        <w:rPr>
          <w:color w:val="auto"/>
          <w:lang w:val="es-ES"/>
        </w:rPr>
        <w:t xml:space="preserve"> l</w:t>
      </w:r>
      <w:r w:rsidR="00BB68BF" w:rsidRPr="003E284C">
        <w:rPr>
          <w:color w:val="auto"/>
          <w:lang w:val="es-ES"/>
        </w:rPr>
        <w:t xml:space="preserve">os factores que influyen </w:t>
      </w:r>
      <w:r w:rsidR="00F0200A" w:rsidRPr="003E284C">
        <w:rPr>
          <w:color w:val="auto"/>
          <w:lang w:val="es-ES"/>
        </w:rPr>
        <w:t>para</w:t>
      </w:r>
      <w:r w:rsidR="00BB68BF" w:rsidRPr="003E284C">
        <w:rPr>
          <w:color w:val="auto"/>
          <w:lang w:val="es-ES"/>
        </w:rPr>
        <w:t xml:space="preserve"> que se presente más la ERO y la diabetes</w:t>
      </w:r>
      <w:r w:rsidR="00061B7D" w:rsidRPr="003E284C">
        <w:rPr>
          <w:color w:val="auto"/>
          <w:lang w:val="es-ES"/>
        </w:rPr>
        <w:t xml:space="preserve"> en pacientes del sexo femenino</w:t>
      </w:r>
      <w:r w:rsidR="00F0200A" w:rsidRPr="003E284C">
        <w:rPr>
          <w:color w:val="auto"/>
          <w:lang w:val="es-ES"/>
        </w:rPr>
        <w:t xml:space="preserve"> </w:t>
      </w:r>
      <w:r w:rsidR="00861AB7" w:rsidRPr="003E284C">
        <w:rPr>
          <w:color w:val="auto"/>
          <w:lang w:val="es-ES"/>
        </w:rPr>
        <w:t>en relación con</w:t>
      </w:r>
      <w:r w:rsidR="00F0200A" w:rsidRPr="003E284C">
        <w:rPr>
          <w:color w:val="auto"/>
          <w:lang w:val="es-ES"/>
        </w:rPr>
        <w:t xml:space="preserve"> los pacientes del sexo masculino.</w:t>
      </w:r>
      <w:r w:rsidR="00061B7D" w:rsidRPr="003E284C">
        <w:rPr>
          <w:color w:val="auto"/>
          <w:lang w:val="es-ES"/>
        </w:rPr>
        <w:t xml:space="preserve"> </w:t>
      </w:r>
    </w:p>
    <w:p w14:paraId="521E8C14" w14:textId="77777777" w:rsidR="001A6CE8" w:rsidRPr="003E284C" w:rsidRDefault="001A6CE8" w:rsidP="00AE6AC6">
      <w:pPr>
        <w:pStyle w:val="Normal1"/>
        <w:jc w:val="center"/>
        <w:rPr>
          <w:color w:val="auto"/>
          <w:lang w:val="es-ES"/>
        </w:rPr>
      </w:pPr>
      <w:bookmarkStart w:id="13" w:name="_Hlk153624582"/>
    </w:p>
    <w:p w14:paraId="0CFF8F1B" w14:textId="4E604087" w:rsidR="00797429" w:rsidRPr="003E284C" w:rsidRDefault="00667620" w:rsidP="00924E6D">
      <w:pPr>
        <w:widowControl w:val="0"/>
        <w:autoSpaceDE w:val="0"/>
        <w:autoSpaceDN w:val="0"/>
        <w:adjustRightInd w:val="0"/>
        <w:spacing w:after="0" w:line="360" w:lineRule="auto"/>
        <w:ind w:left="640" w:hanging="640"/>
        <w:rPr>
          <w:rFonts w:cstheme="minorHAnsi"/>
          <w:b/>
          <w:bCs/>
          <w:sz w:val="32"/>
          <w:szCs w:val="32"/>
          <w:lang w:val="es-ES"/>
        </w:rPr>
      </w:pPr>
      <w:r w:rsidRPr="003E284C">
        <w:rPr>
          <w:rFonts w:cstheme="minorHAnsi"/>
          <w:b/>
          <w:bCs/>
          <w:sz w:val="28"/>
          <w:szCs w:val="28"/>
          <w:lang w:val="es-ES"/>
        </w:rPr>
        <w:t>Referencias</w:t>
      </w:r>
      <w:r w:rsidRPr="003E284C">
        <w:rPr>
          <w:rFonts w:cstheme="minorHAnsi"/>
          <w:b/>
          <w:bCs/>
          <w:sz w:val="32"/>
          <w:szCs w:val="32"/>
          <w:lang w:val="es-ES"/>
        </w:rPr>
        <w:t xml:space="preserve"> </w:t>
      </w:r>
    </w:p>
    <w:p w14:paraId="4B614C06" w14:textId="06123001" w:rsidR="000E3EE2" w:rsidRPr="003E284C" w:rsidRDefault="000E3EE2" w:rsidP="00B94030">
      <w:pPr>
        <w:pStyle w:val="Normal1"/>
        <w:ind w:left="709" w:hanging="709"/>
        <w:rPr>
          <w:noProof/>
          <w:color w:val="auto"/>
        </w:rPr>
      </w:pPr>
      <w:r w:rsidRPr="003E284C">
        <w:rPr>
          <w:noProof/>
          <w:color w:val="auto"/>
        </w:rPr>
        <w:t xml:space="preserve">Álvarez, T. (2020). Concepto de salud renal y nefroenvejecimiento. </w:t>
      </w:r>
      <w:r w:rsidRPr="003E284C">
        <w:rPr>
          <w:i/>
          <w:iCs/>
          <w:noProof/>
          <w:color w:val="auto"/>
        </w:rPr>
        <w:t>Revista Médica Risaralda</w:t>
      </w:r>
      <w:r w:rsidRPr="003E284C">
        <w:rPr>
          <w:noProof/>
          <w:color w:val="auto"/>
        </w:rPr>
        <w:t xml:space="preserve">, </w:t>
      </w:r>
      <w:r w:rsidRPr="003E284C">
        <w:rPr>
          <w:i/>
          <w:iCs/>
          <w:noProof/>
          <w:color w:val="auto"/>
        </w:rPr>
        <w:t>26</w:t>
      </w:r>
      <w:r w:rsidRPr="003E284C">
        <w:rPr>
          <w:noProof/>
          <w:color w:val="auto"/>
        </w:rPr>
        <w:t>(1), 4–6.</w:t>
      </w:r>
      <w:r w:rsidRPr="003E284C">
        <w:rPr>
          <w:color w:val="auto"/>
        </w:rPr>
        <w:t xml:space="preserve"> </w:t>
      </w:r>
      <w:hyperlink r:id="rId14" w:history="1">
        <w:r w:rsidRPr="003E284C">
          <w:rPr>
            <w:rStyle w:val="Hipervnculo"/>
            <w:noProof/>
            <w:color w:val="auto"/>
          </w:rPr>
          <w:t>https://doi.org/10.22517/25395203.24001</w:t>
        </w:r>
      </w:hyperlink>
      <w:r w:rsidRPr="003E284C">
        <w:rPr>
          <w:noProof/>
          <w:color w:val="auto"/>
        </w:rPr>
        <w:t xml:space="preserve"> </w:t>
      </w:r>
    </w:p>
    <w:p w14:paraId="6EAE6190" w14:textId="4E6A334A" w:rsidR="000E3EE2" w:rsidRPr="003E284C" w:rsidRDefault="000E3EE2" w:rsidP="000E3EE2">
      <w:pPr>
        <w:pStyle w:val="Normal1"/>
        <w:ind w:left="709" w:hanging="709"/>
        <w:rPr>
          <w:rStyle w:val="Hipervnculo"/>
          <w:color w:val="auto"/>
          <w:u w:val="none"/>
          <w:shd w:val="clear" w:color="auto" w:fill="FFFFFF"/>
        </w:rPr>
      </w:pPr>
      <w:r w:rsidRPr="003E284C">
        <w:rPr>
          <w:noProof/>
          <w:color w:val="auto"/>
        </w:rPr>
        <w:t xml:space="preserve">Balderas Vargas, N. A., Legorreta Soberanis, J., Paredes Solís, S., Flores Moreno, M., Serrano De los Santos, F. R. </w:t>
      </w:r>
      <w:r w:rsidR="00B94030" w:rsidRPr="003E284C">
        <w:rPr>
          <w:noProof/>
          <w:color w:val="auto"/>
        </w:rPr>
        <w:t>&amp;</w:t>
      </w:r>
      <w:r w:rsidRPr="003E284C">
        <w:rPr>
          <w:noProof/>
          <w:color w:val="auto"/>
        </w:rPr>
        <w:t xml:space="preserve"> Andersson, N. (2019). Insuficiencia renal oculta y factores asociados en pacientes con enfermedades crónicas. </w:t>
      </w:r>
      <w:r w:rsidRPr="003E284C">
        <w:rPr>
          <w:i/>
          <w:iCs/>
          <w:noProof/>
          <w:color w:val="auto"/>
        </w:rPr>
        <w:t>Revista Gaceta Médica de México</w:t>
      </w:r>
      <w:r w:rsidRPr="003E284C">
        <w:rPr>
          <w:noProof/>
          <w:color w:val="auto"/>
        </w:rPr>
        <w:t xml:space="preserve">, </w:t>
      </w:r>
      <w:r w:rsidRPr="003E284C">
        <w:rPr>
          <w:i/>
          <w:iCs/>
          <w:noProof/>
          <w:color w:val="auto"/>
        </w:rPr>
        <w:t>156</w:t>
      </w:r>
      <w:r w:rsidRPr="003E284C">
        <w:rPr>
          <w:noProof/>
          <w:color w:val="auto"/>
        </w:rPr>
        <w:t xml:space="preserve">(1), 11–6. </w:t>
      </w:r>
      <w:hyperlink r:id="rId15" w:history="1">
        <w:r w:rsidRPr="003E284C">
          <w:rPr>
            <w:rStyle w:val="Hipervnculo"/>
            <w:noProof/>
            <w:color w:val="auto"/>
          </w:rPr>
          <w:t>https://doi.org/10.24875/GMM.19005292</w:t>
        </w:r>
      </w:hyperlink>
      <w:r w:rsidRPr="003E284C">
        <w:rPr>
          <w:noProof/>
          <w:color w:val="auto"/>
        </w:rPr>
        <w:t xml:space="preserve"> </w:t>
      </w:r>
    </w:p>
    <w:p w14:paraId="32E1B3EB" w14:textId="3C852E67" w:rsidR="000E3EE2" w:rsidRPr="003E284C" w:rsidRDefault="000E3EE2" w:rsidP="000E3EE2">
      <w:pPr>
        <w:pStyle w:val="Normal1"/>
        <w:ind w:left="709" w:hanging="709"/>
        <w:rPr>
          <w:noProof/>
          <w:color w:val="auto"/>
        </w:rPr>
      </w:pPr>
      <w:r w:rsidRPr="003E284C">
        <w:rPr>
          <w:noProof/>
          <w:color w:val="auto"/>
        </w:rPr>
        <w:t xml:space="preserve">Castaño, I., Slon Roblero, M. </w:t>
      </w:r>
      <w:r w:rsidR="00B94030" w:rsidRPr="003E284C">
        <w:rPr>
          <w:noProof/>
          <w:color w:val="auto"/>
        </w:rPr>
        <w:t>&amp;</w:t>
      </w:r>
      <w:r w:rsidRPr="003E284C">
        <w:rPr>
          <w:noProof/>
          <w:color w:val="auto"/>
        </w:rPr>
        <w:t xml:space="preserve"> García Fernández, N. (2009). Estudios de función renal: función glomerular y tubular. Análisis de la orina. </w:t>
      </w:r>
      <w:r w:rsidRPr="003E284C">
        <w:rPr>
          <w:i/>
          <w:iCs/>
          <w:noProof/>
          <w:color w:val="auto"/>
        </w:rPr>
        <w:t>Revista Nefrolog</w:t>
      </w:r>
      <w:r w:rsidR="00BE0E9C" w:rsidRPr="003E284C">
        <w:rPr>
          <w:i/>
          <w:iCs/>
          <w:noProof/>
          <w:color w:val="auto"/>
        </w:rPr>
        <w:t>í</w:t>
      </w:r>
      <w:r w:rsidRPr="003E284C">
        <w:rPr>
          <w:i/>
          <w:iCs/>
          <w:noProof/>
          <w:color w:val="auto"/>
        </w:rPr>
        <w:t>a al Día</w:t>
      </w:r>
      <w:r w:rsidRPr="003E284C">
        <w:rPr>
          <w:noProof/>
          <w:color w:val="auto"/>
        </w:rPr>
        <w:t xml:space="preserve">, </w:t>
      </w:r>
      <w:r w:rsidRPr="003E284C">
        <w:rPr>
          <w:i/>
          <w:iCs/>
          <w:noProof/>
          <w:color w:val="auto"/>
        </w:rPr>
        <w:t>2</w:t>
      </w:r>
      <w:r w:rsidRPr="003E284C">
        <w:rPr>
          <w:noProof/>
          <w:color w:val="auto"/>
        </w:rPr>
        <w:t xml:space="preserve">, 17–30. </w:t>
      </w:r>
      <w:hyperlink r:id="rId16" w:history="1">
        <w:r w:rsidRPr="003E284C">
          <w:rPr>
            <w:rStyle w:val="Hipervnculo"/>
            <w:noProof/>
            <w:color w:val="auto"/>
          </w:rPr>
          <w:t>https://www.revistanefrologia.com/es-estudios-funcion-renal-funcion-glomerular-articulo-X1888970009000355</w:t>
        </w:r>
      </w:hyperlink>
      <w:r w:rsidRPr="003E284C">
        <w:rPr>
          <w:noProof/>
          <w:color w:val="auto"/>
        </w:rPr>
        <w:t xml:space="preserve"> </w:t>
      </w:r>
    </w:p>
    <w:p w14:paraId="3FA71EB4" w14:textId="77777777" w:rsidR="000E3EE2" w:rsidRPr="003E284C" w:rsidRDefault="000E3EE2" w:rsidP="000E3EE2">
      <w:pPr>
        <w:pStyle w:val="Normal1"/>
        <w:ind w:left="709" w:hanging="709"/>
        <w:rPr>
          <w:noProof/>
          <w:color w:val="auto"/>
          <w:u w:val="single"/>
        </w:rPr>
      </w:pPr>
      <w:r w:rsidRPr="003E284C">
        <w:rPr>
          <w:color w:val="auto"/>
          <w:lang w:val="en-US"/>
        </w:rPr>
        <w:t xml:space="preserve">Centers for Disease Control and Prevention (2021). </w:t>
      </w:r>
      <w:r w:rsidRPr="003E284C">
        <w:rPr>
          <w:i/>
          <w:iCs/>
          <w:color w:val="auto"/>
        </w:rPr>
        <w:t>Enfermedad crónica de los riñones en los Estados Unidos</w:t>
      </w:r>
      <w:r w:rsidRPr="003E284C">
        <w:rPr>
          <w:color w:val="auto"/>
        </w:rPr>
        <w:t xml:space="preserve">. Departamento de Salud y Servicios Humanos de los EE. UU. </w:t>
      </w:r>
      <w:hyperlink r:id="rId17" w:history="1">
        <w:r w:rsidRPr="003E284C">
          <w:rPr>
            <w:rStyle w:val="Hipervnculo"/>
            <w:color w:val="auto"/>
          </w:rPr>
          <w:t>Https://www.cdc.gov/kidneydisease/spanish/ckd-national-facts.html</w:t>
        </w:r>
      </w:hyperlink>
      <w:r w:rsidRPr="003E284C">
        <w:rPr>
          <w:color w:val="auto"/>
        </w:rPr>
        <w:t xml:space="preserve"> </w:t>
      </w:r>
    </w:p>
    <w:p w14:paraId="0951B317" w14:textId="42E210CB" w:rsidR="000E3EE2" w:rsidRPr="003E284C" w:rsidRDefault="000E3EE2" w:rsidP="000E3EE2">
      <w:pPr>
        <w:pStyle w:val="Normal1"/>
        <w:ind w:left="709" w:hanging="709"/>
        <w:rPr>
          <w:noProof/>
          <w:color w:val="auto"/>
        </w:rPr>
      </w:pPr>
      <w:r w:rsidRPr="003E284C">
        <w:rPr>
          <w:noProof/>
          <w:color w:val="auto"/>
        </w:rPr>
        <w:t xml:space="preserve">Enríquez, M. C. </w:t>
      </w:r>
      <w:r w:rsidR="00B94030" w:rsidRPr="003E284C">
        <w:rPr>
          <w:noProof/>
          <w:color w:val="auto"/>
        </w:rPr>
        <w:t>&amp;</w:t>
      </w:r>
      <w:r w:rsidRPr="003E284C">
        <w:rPr>
          <w:noProof/>
          <w:color w:val="auto"/>
        </w:rPr>
        <w:t xml:space="preserve"> Hernández, A. M. (2021). Nefropatía diabética. </w:t>
      </w:r>
      <w:r w:rsidRPr="003E284C">
        <w:rPr>
          <w:i/>
          <w:iCs/>
          <w:noProof/>
          <w:color w:val="auto"/>
        </w:rPr>
        <w:t>Revista Estudiantil de Medicina de la Universidad de Sonora</w:t>
      </w:r>
      <w:r w:rsidRPr="003E284C">
        <w:rPr>
          <w:noProof/>
          <w:color w:val="auto"/>
        </w:rPr>
        <w:t xml:space="preserve">, (6), 77–81. </w:t>
      </w:r>
      <w:hyperlink r:id="rId18" w:history="1">
        <w:r w:rsidRPr="003E284C">
          <w:rPr>
            <w:rStyle w:val="Hipervnculo"/>
            <w:noProof/>
            <w:color w:val="auto"/>
          </w:rPr>
          <w:t>https://doi.org/10.59420/remus.6.2021.16</w:t>
        </w:r>
      </w:hyperlink>
    </w:p>
    <w:p w14:paraId="1E5028B6" w14:textId="5C33A0F6" w:rsidR="000E3EE2" w:rsidRPr="003E284C" w:rsidRDefault="000E3EE2" w:rsidP="000E3EE2">
      <w:pPr>
        <w:pStyle w:val="Normal1"/>
        <w:ind w:left="709" w:hanging="709"/>
        <w:rPr>
          <w:noProof/>
          <w:color w:val="auto"/>
        </w:rPr>
      </w:pPr>
      <w:r w:rsidRPr="003E284C">
        <w:rPr>
          <w:noProof/>
          <w:color w:val="auto"/>
        </w:rPr>
        <w:t xml:space="preserve">Fácila, L., Bertomeu González, V., González Juanatey, J., Mazón, P. </w:t>
      </w:r>
      <w:r w:rsidR="00B94030" w:rsidRPr="003E284C">
        <w:rPr>
          <w:noProof/>
          <w:color w:val="auto"/>
        </w:rPr>
        <w:t>&amp;</w:t>
      </w:r>
      <w:r w:rsidRPr="003E284C">
        <w:rPr>
          <w:noProof/>
          <w:color w:val="auto"/>
        </w:rPr>
        <w:t xml:space="preserve"> Morillas, P. (2009). Importancia de la detección de la enfermedad renal oculta en pacientes hipertensos. </w:t>
      </w:r>
      <w:r w:rsidRPr="003E284C">
        <w:rPr>
          <w:i/>
          <w:iCs/>
          <w:noProof/>
          <w:color w:val="auto"/>
        </w:rPr>
        <w:t>Revista Española Cardiol</w:t>
      </w:r>
      <w:r w:rsidRPr="003E284C">
        <w:rPr>
          <w:noProof/>
          <w:color w:val="auto"/>
        </w:rPr>
        <w:t xml:space="preserve">, </w:t>
      </w:r>
      <w:r w:rsidRPr="003E284C">
        <w:rPr>
          <w:i/>
          <w:iCs/>
          <w:noProof/>
          <w:color w:val="auto"/>
        </w:rPr>
        <w:t>62</w:t>
      </w:r>
      <w:r w:rsidRPr="003E284C">
        <w:rPr>
          <w:noProof/>
          <w:color w:val="auto"/>
        </w:rPr>
        <w:t>(3),282–7.</w:t>
      </w:r>
      <w:r w:rsidRPr="003E284C">
        <w:rPr>
          <w:color w:val="auto"/>
        </w:rPr>
        <w:t xml:space="preserve"> </w:t>
      </w:r>
      <w:hyperlink r:id="rId19" w:history="1">
        <w:r w:rsidRPr="003E284C">
          <w:rPr>
            <w:rStyle w:val="Hipervnculo"/>
            <w:noProof/>
            <w:color w:val="auto"/>
          </w:rPr>
          <w:t>https://doi.org/10.1016/S0300-8932(09)70371-9</w:t>
        </w:r>
      </w:hyperlink>
      <w:r w:rsidRPr="003E284C">
        <w:rPr>
          <w:noProof/>
          <w:color w:val="auto"/>
        </w:rPr>
        <w:t xml:space="preserve"> </w:t>
      </w:r>
    </w:p>
    <w:p w14:paraId="0436A02B" w14:textId="51AF472D" w:rsidR="000E3EE2" w:rsidRPr="003E284C" w:rsidRDefault="000E3EE2" w:rsidP="000E3EE2">
      <w:pPr>
        <w:pStyle w:val="Normal1"/>
        <w:ind w:left="709" w:hanging="709"/>
        <w:rPr>
          <w:noProof/>
          <w:color w:val="auto"/>
        </w:rPr>
      </w:pPr>
      <w:r w:rsidRPr="003E284C">
        <w:rPr>
          <w:noProof/>
          <w:color w:val="auto"/>
        </w:rPr>
        <w:t>Galiano, G, Lastre Diéguez,</w:t>
      </w:r>
      <w:r w:rsidR="00BE0E9C" w:rsidRPr="003E284C">
        <w:rPr>
          <w:noProof/>
          <w:color w:val="auto"/>
        </w:rPr>
        <w:t xml:space="preserve"> Y.</w:t>
      </w:r>
      <w:r w:rsidRPr="003E284C">
        <w:rPr>
          <w:noProof/>
          <w:color w:val="auto"/>
        </w:rPr>
        <w:t xml:space="preserve"> Hernández Álvarez, R. </w:t>
      </w:r>
      <w:r w:rsidR="00B94030" w:rsidRPr="003E284C">
        <w:rPr>
          <w:noProof/>
          <w:color w:val="auto"/>
        </w:rPr>
        <w:t>&amp;</w:t>
      </w:r>
      <w:r w:rsidRPr="003E284C">
        <w:rPr>
          <w:noProof/>
          <w:color w:val="auto"/>
        </w:rPr>
        <w:t xml:space="preserve"> García Brings, L. (2019). Prevalencia de la enfermedad renal oculta en adultos mayores hipertensos en la atención primaria de salud. </w:t>
      </w:r>
      <w:r w:rsidRPr="003E284C">
        <w:rPr>
          <w:i/>
          <w:iCs/>
          <w:noProof/>
          <w:color w:val="auto"/>
        </w:rPr>
        <w:t>Revista Finlay</w:t>
      </w:r>
      <w:r w:rsidRPr="003E284C">
        <w:rPr>
          <w:noProof/>
          <w:color w:val="auto"/>
        </w:rPr>
        <w:t xml:space="preserve">, </w:t>
      </w:r>
      <w:r w:rsidRPr="003E284C">
        <w:rPr>
          <w:i/>
          <w:iCs/>
          <w:noProof/>
          <w:color w:val="auto"/>
        </w:rPr>
        <w:t>9</w:t>
      </w:r>
      <w:r w:rsidRPr="003E284C">
        <w:rPr>
          <w:noProof/>
          <w:color w:val="auto"/>
        </w:rPr>
        <w:t xml:space="preserve">(2),118–26. </w:t>
      </w:r>
      <w:hyperlink r:id="rId20" w:history="1">
        <w:r w:rsidRPr="003E284C">
          <w:rPr>
            <w:rStyle w:val="Hipervnculo"/>
            <w:noProof/>
            <w:color w:val="auto"/>
          </w:rPr>
          <w:t>http://www.revfinlay.sld.cu/index.php/finlay/article/view/658</w:t>
        </w:r>
      </w:hyperlink>
    </w:p>
    <w:p w14:paraId="3EAB4120" w14:textId="10B90449" w:rsidR="000E3EE2" w:rsidRPr="003E284C" w:rsidRDefault="000E3EE2" w:rsidP="000E3EE2">
      <w:pPr>
        <w:pStyle w:val="Normal1"/>
        <w:ind w:left="709" w:hanging="709"/>
        <w:rPr>
          <w:noProof/>
          <w:color w:val="auto"/>
        </w:rPr>
      </w:pPr>
      <w:r w:rsidRPr="003E284C">
        <w:rPr>
          <w:noProof/>
          <w:color w:val="auto"/>
        </w:rPr>
        <w:lastRenderedPageBreak/>
        <w:t xml:space="preserve">García Maset, R., Bover, J., Segura de la Morena, J., Goicoechea Diezhandino, M., Cebollada del Hoyo, J., Escalada San Martín, J., Fácila Rubio, L., Gamarra Ortiz, J., García Donaire, J., García Matarín, L., Grácia García, S., Gutiérrez Pérez, M., Hernández Moreno, J., Mazón Ramos, P., Montañes Bermudez, R., Muñoz Torres, M., Pablos Velasco, P., Pérez Maraver, M., Suárez Fernández, C., Tranche Iparraguirre, S. </w:t>
      </w:r>
      <w:r w:rsidR="00B94030" w:rsidRPr="003E284C">
        <w:rPr>
          <w:noProof/>
          <w:color w:val="auto"/>
        </w:rPr>
        <w:t>&amp;</w:t>
      </w:r>
      <w:r w:rsidRPr="003E284C">
        <w:rPr>
          <w:noProof/>
          <w:color w:val="auto"/>
        </w:rPr>
        <w:t xml:space="preserve"> Górriz, J. (2014). Documento de consenso para la detección y manejo de la enfermedad renal crónica. </w:t>
      </w:r>
      <w:r w:rsidRPr="003E284C">
        <w:rPr>
          <w:i/>
          <w:iCs/>
          <w:noProof/>
          <w:color w:val="auto"/>
        </w:rPr>
        <w:t>Revista de la Sociedad Española de Nefrología</w:t>
      </w:r>
      <w:r w:rsidRPr="003E284C">
        <w:rPr>
          <w:noProof/>
          <w:color w:val="auto"/>
        </w:rPr>
        <w:t xml:space="preserve">, </w:t>
      </w:r>
      <w:r w:rsidRPr="003E284C">
        <w:rPr>
          <w:i/>
          <w:iCs/>
          <w:noProof/>
          <w:color w:val="auto"/>
        </w:rPr>
        <w:t>61</w:t>
      </w:r>
      <w:r w:rsidRPr="003E284C">
        <w:rPr>
          <w:noProof/>
          <w:color w:val="auto"/>
        </w:rPr>
        <w:t xml:space="preserve">(9), 25–43. </w:t>
      </w:r>
      <w:hyperlink r:id="rId21" w:history="1">
        <w:r w:rsidRPr="003E284C">
          <w:rPr>
            <w:rStyle w:val="Hipervnculo"/>
            <w:noProof/>
            <w:color w:val="auto"/>
          </w:rPr>
          <w:t>https://doi.org/10.1016/j.nefro.2021.07.010</w:t>
        </w:r>
      </w:hyperlink>
    </w:p>
    <w:p w14:paraId="4AEE489C" w14:textId="1F447DF4" w:rsidR="000E3EE2" w:rsidRPr="003E284C" w:rsidRDefault="000E3EE2" w:rsidP="000E3EE2">
      <w:pPr>
        <w:pStyle w:val="Normal1"/>
        <w:ind w:left="709" w:hanging="709"/>
        <w:rPr>
          <w:noProof/>
          <w:color w:val="auto"/>
        </w:rPr>
      </w:pPr>
      <w:r w:rsidRPr="003E284C">
        <w:rPr>
          <w:noProof/>
          <w:color w:val="auto"/>
        </w:rPr>
        <w:t xml:space="preserve">Goicoechea, M. (2021). Ácido úrico y enfermedad renal crónica. </w:t>
      </w:r>
      <w:r w:rsidR="00BE0E9C" w:rsidRPr="003E284C">
        <w:rPr>
          <w:color w:val="auto"/>
          <w:shd w:val="clear" w:color="auto" w:fill="FFFFFF"/>
        </w:rPr>
        <w:t xml:space="preserve">En V. Lorenzo </w:t>
      </w:r>
      <w:r w:rsidR="00B94030" w:rsidRPr="003E284C">
        <w:rPr>
          <w:color w:val="auto"/>
          <w:shd w:val="clear" w:color="auto" w:fill="FFFFFF"/>
        </w:rPr>
        <w:t>&amp;</w:t>
      </w:r>
      <w:r w:rsidR="00BE0E9C" w:rsidRPr="003E284C">
        <w:rPr>
          <w:color w:val="auto"/>
          <w:shd w:val="clear" w:color="auto" w:fill="FFFFFF"/>
        </w:rPr>
        <w:t xml:space="preserve"> J. López Gómez (eds.). </w:t>
      </w:r>
      <w:r w:rsidR="00BE0E9C" w:rsidRPr="003E284C">
        <w:rPr>
          <w:i/>
          <w:iCs/>
          <w:color w:val="auto"/>
          <w:shd w:val="clear" w:color="auto" w:fill="FFFFFF"/>
        </w:rPr>
        <w:t>Nefrología al día</w:t>
      </w:r>
      <w:r w:rsidR="00BE0E9C" w:rsidRPr="003E284C">
        <w:rPr>
          <w:color w:val="auto"/>
          <w:shd w:val="clear" w:color="auto" w:fill="FFFFFF"/>
        </w:rPr>
        <w:t xml:space="preserve">. </w:t>
      </w:r>
      <w:hyperlink r:id="rId22" w:history="1">
        <w:r w:rsidRPr="003E284C">
          <w:rPr>
            <w:rStyle w:val="Hipervnculo"/>
            <w:noProof/>
            <w:color w:val="auto"/>
          </w:rPr>
          <w:t>https://nefrologiaaldia.org/es-articulo-acido-urico-enfermedad-renal-cronica-200</w:t>
        </w:r>
      </w:hyperlink>
    </w:p>
    <w:p w14:paraId="3264564C" w14:textId="77777777" w:rsidR="000E3EE2" w:rsidRPr="003E284C" w:rsidRDefault="000E3EE2" w:rsidP="000E3EE2">
      <w:pPr>
        <w:pStyle w:val="Normal1"/>
        <w:ind w:left="709" w:hanging="709"/>
        <w:rPr>
          <w:noProof/>
          <w:color w:val="auto"/>
        </w:rPr>
      </w:pPr>
      <w:r w:rsidRPr="003E284C">
        <w:rPr>
          <w:noProof/>
          <w:color w:val="auto"/>
        </w:rPr>
        <w:t xml:space="preserve">Gorostidi, M., Sánchez Martínez, M., Ruilope, L., Graciani, A., Cruz, J., Santamaría, R., Pino, M., Castillon Guallar, P., Alvaro, F., Artalejo Rodriguez, F. and Banegas, J. </w:t>
      </w:r>
      <w:r w:rsidRPr="003E284C">
        <w:rPr>
          <w:noProof/>
          <w:color w:val="auto"/>
          <w:lang w:val="es-ES"/>
        </w:rPr>
        <w:t xml:space="preserve">(2018). </w:t>
      </w:r>
      <w:r w:rsidRPr="003E284C">
        <w:rPr>
          <w:noProof/>
          <w:color w:val="auto"/>
          <w:lang w:val="en-US"/>
        </w:rPr>
        <w:t>Chronic kidney disease in Spain: Prevalence and impact of accumulation of cardiovascular risk factors</w:t>
      </w:r>
      <w:r w:rsidRPr="003E284C">
        <w:rPr>
          <w:i/>
          <w:iCs/>
          <w:noProof/>
          <w:color w:val="auto"/>
          <w:lang w:val="en-US"/>
        </w:rPr>
        <w:t xml:space="preserve">. </w:t>
      </w:r>
      <w:r w:rsidRPr="003E284C">
        <w:rPr>
          <w:i/>
          <w:iCs/>
          <w:noProof/>
          <w:color w:val="auto"/>
        </w:rPr>
        <w:t>Revista Nefrología al Día</w:t>
      </w:r>
      <w:r w:rsidRPr="003E284C">
        <w:rPr>
          <w:noProof/>
          <w:color w:val="auto"/>
        </w:rPr>
        <w:t xml:space="preserve">, </w:t>
      </w:r>
      <w:r w:rsidRPr="003E284C">
        <w:rPr>
          <w:i/>
          <w:iCs/>
          <w:noProof/>
          <w:color w:val="auto"/>
        </w:rPr>
        <w:t>38</w:t>
      </w:r>
      <w:r w:rsidRPr="003E284C">
        <w:rPr>
          <w:noProof/>
          <w:color w:val="auto"/>
        </w:rPr>
        <w:t xml:space="preserve">(6), 606–15. </w:t>
      </w:r>
      <w:hyperlink r:id="rId23" w:history="1">
        <w:r w:rsidRPr="003E284C">
          <w:rPr>
            <w:rStyle w:val="Hipervnculo"/>
            <w:noProof/>
            <w:color w:val="auto"/>
          </w:rPr>
          <w:t>https://revistanefrologia.com/en-chronic-kidney-disease-in-spain-articulo-S201325141830141X</w:t>
        </w:r>
      </w:hyperlink>
      <w:r w:rsidRPr="003E284C">
        <w:rPr>
          <w:noProof/>
          <w:color w:val="auto"/>
        </w:rPr>
        <w:t xml:space="preserve"> </w:t>
      </w:r>
    </w:p>
    <w:p w14:paraId="4E4F8257" w14:textId="757114BB" w:rsidR="000E3EE2" w:rsidRPr="003E284C" w:rsidRDefault="000E3EE2" w:rsidP="000E3EE2">
      <w:pPr>
        <w:pStyle w:val="Normal1"/>
        <w:ind w:left="709" w:hanging="709"/>
        <w:rPr>
          <w:noProof/>
          <w:color w:val="auto"/>
        </w:rPr>
      </w:pPr>
      <w:r w:rsidRPr="003E284C">
        <w:rPr>
          <w:noProof/>
          <w:color w:val="auto"/>
        </w:rPr>
        <w:t xml:space="preserve">Instituto Nacional de Estadística y Geografía </w:t>
      </w:r>
      <w:r w:rsidR="00B94030" w:rsidRPr="003E284C">
        <w:rPr>
          <w:rStyle w:val="normalCar"/>
          <w:rFonts w:eastAsiaTheme="minorHAnsi"/>
          <w:color w:val="auto"/>
        </w:rPr>
        <w:t>[INEGI].</w:t>
      </w:r>
      <w:r w:rsidRPr="003E284C">
        <w:rPr>
          <w:noProof/>
          <w:color w:val="auto"/>
        </w:rPr>
        <w:t xml:space="preserve"> (</w:t>
      </w:r>
      <w:r w:rsidR="00344FD0" w:rsidRPr="003E284C">
        <w:rPr>
          <w:noProof/>
          <w:color w:val="auto"/>
        </w:rPr>
        <w:t>31</w:t>
      </w:r>
      <w:r w:rsidRPr="003E284C">
        <w:rPr>
          <w:noProof/>
          <w:color w:val="auto"/>
        </w:rPr>
        <w:t xml:space="preserve"> de </w:t>
      </w:r>
      <w:r w:rsidR="00344FD0" w:rsidRPr="003E284C">
        <w:rPr>
          <w:noProof/>
          <w:color w:val="auto"/>
        </w:rPr>
        <w:t>octubre</w:t>
      </w:r>
      <w:r w:rsidRPr="003E284C">
        <w:rPr>
          <w:noProof/>
          <w:color w:val="auto"/>
        </w:rPr>
        <w:t xml:space="preserve"> de 202</w:t>
      </w:r>
      <w:r w:rsidR="00344FD0" w:rsidRPr="003E284C">
        <w:rPr>
          <w:noProof/>
          <w:color w:val="auto"/>
        </w:rPr>
        <w:t>3</w:t>
      </w:r>
      <w:r w:rsidRPr="003E284C">
        <w:rPr>
          <w:noProof/>
          <w:color w:val="auto"/>
        </w:rPr>
        <w:t xml:space="preserve">). </w:t>
      </w:r>
      <w:r w:rsidR="00344FD0" w:rsidRPr="003E284C">
        <w:rPr>
          <w:noProof/>
          <w:color w:val="auto"/>
        </w:rPr>
        <w:t xml:space="preserve">Estadisticas de muertes registradas (EMR) 2022. </w:t>
      </w:r>
      <w:r w:rsidR="00344FD0" w:rsidRPr="003E284C">
        <w:rPr>
          <w:i/>
          <w:iCs/>
          <w:noProof/>
          <w:color w:val="auto"/>
        </w:rPr>
        <w:t>Comunicado de prensa Núm. 644/23.</w:t>
      </w:r>
      <w:r w:rsidR="00344FD0" w:rsidRPr="003E284C">
        <w:rPr>
          <w:noProof/>
          <w:color w:val="auto"/>
        </w:rPr>
        <w:t xml:space="preserve"> </w:t>
      </w:r>
      <w:hyperlink r:id="rId24" w:history="1">
        <w:r w:rsidR="00344FD0" w:rsidRPr="003E284C">
          <w:rPr>
            <w:rStyle w:val="Hipervnculo"/>
            <w:noProof/>
            <w:color w:val="auto"/>
          </w:rPr>
          <w:t>https://www.inegi.org.mx/contenidos/saladeprensa/boletines/2023/EDR/EDR2022-Dft.pdf</w:t>
        </w:r>
      </w:hyperlink>
    </w:p>
    <w:p w14:paraId="5B48308D" w14:textId="5B6C76E3" w:rsidR="000E3EE2" w:rsidRPr="003E284C" w:rsidRDefault="000E3EE2" w:rsidP="000E3EE2">
      <w:pPr>
        <w:pStyle w:val="Normal1"/>
        <w:ind w:left="709" w:hanging="709"/>
        <w:rPr>
          <w:rStyle w:val="Hipervnculo"/>
          <w:noProof/>
          <w:color w:val="auto"/>
        </w:rPr>
      </w:pPr>
      <w:r w:rsidRPr="003E284C">
        <w:rPr>
          <w:noProof/>
          <w:color w:val="auto"/>
        </w:rPr>
        <w:t xml:space="preserve">Instituto Nacional de Estadistica y Geografía </w:t>
      </w:r>
      <w:r w:rsidR="00B94030" w:rsidRPr="003E284C">
        <w:rPr>
          <w:rStyle w:val="normalCar"/>
          <w:rFonts w:eastAsiaTheme="minorHAnsi"/>
          <w:color w:val="auto"/>
        </w:rPr>
        <w:t>[INEGI].</w:t>
      </w:r>
      <w:r w:rsidR="00B94030" w:rsidRPr="003E284C">
        <w:rPr>
          <w:noProof/>
          <w:color w:val="auto"/>
        </w:rPr>
        <w:t xml:space="preserve"> </w:t>
      </w:r>
      <w:r w:rsidRPr="003E284C">
        <w:rPr>
          <w:noProof/>
          <w:color w:val="auto"/>
        </w:rPr>
        <w:t>(2021</w:t>
      </w:r>
      <w:r w:rsidR="007278B1" w:rsidRPr="003E284C">
        <w:rPr>
          <w:noProof/>
          <w:color w:val="auto"/>
        </w:rPr>
        <w:t>a</w:t>
      </w:r>
      <w:r w:rsidRPr="003E284C">
        <w:rPr>
          <w:noProof/>
          <w:color w:val="auto"/>
        </w:rPr>
        <w:t xml:space="preserve">). </w:t>
      </w:r>
      <w:r w:rsidR="0075299C" w:rsidRPr="003E284C">
        <w:rPr>
          <w:noProof/>
          <w:color w:val="auto"/>
        </w:rPr>
        <w:t xml:space="preserve">Estadistica de defunciones registradas 2020. </w:t>
      </w:r>
      <w:r w:rsidR="0075299C" w:rsidRPr="003E284C">
        <w:rPr>
          <w:i/>
          <w:iCs/>
          <w:noProof/>
          <w:color w:val="auto"/>
        </w:rPr>
        <w:t xml:space="preserve">Nota tecnica. </w:t>
      </w:r>
      <w:bookmarkStart w:id="14" w:name="_Hlk157764111"/>
      <w:r w:rsidR="0075299C" w:rsidRPr="003E284C">
        <w:rPr>
          <w:noProof/>
          <w:color w:val="auto"/>
        </w:rPr>
        <w:fldChar w:fldCharType="begin"/>
      </w:r>
      <w:r w:rsidR="0075299C" w:rsidRPr="003E284C">
        <w:rPr>
          <w:noProof/>
          <w:color w:val="auto"/>
        </w:rPr>
        <w:instrText xml:space="preserve"> HYPERLINK "https://www.inegi.org.mx/contenidos/programas/mortalidad/doc/defunciones_registradas_2020_nota_tecnica.pdf" </w:instrText>
      </w:r>
      <w:r w:rsidR="0075299C" w:rsidRPr="003E284C">
        <w:rPr>
          <w:noProof/>
          <w:color w:val="auto"/>
        </w:rPr>
      </w:r>
      <w:r w:rsidR="0075299C" w:rsidRPr="003E284C">
        <w:rPr>
          <w:noProof/>
          <w:color w:val="auto"/>
        </w:rPr>
        <w:fldChar w:fldCharType="separate"/>
      </w:r>
      <w:r w:rsidR="0075299C" w:rsidRPr="003E284C">
        <w:rPr>
          <w:rStyle w:val="Hipervnculo"/>
          <w:noProof/>
          <w:color w:val="auto"/>
        </w:rPr>
        <w:t>https://www.inegi.org.mx/contenidos/programas/mortalidad/doc/defunciones_registradas_2020_nota_tecnica.pdf</w:t>
      </w:r>
      <w:r w:rsidR="0075299C" w:rsidRPr="003E284C">
        <w:rPr>
          <w:noProof/>
          <w:color w:val="auto"/>
        </w:rPr>
        <w:fldChar w:fldCharType="end"/>
      </w:r>
      <w:r w:rsidR="0075299C" w:rsidRPr="003E284C">
        <w:rPr>
          <w:noProof/>
          <w:color w:val="auto"/>
        </w:rPr>
        <w:t xml:space="preserve"> </w:t>
      </w:r>
      <w:bookmarkEnd w:id="14"/>
    </w:p>
    <w:p w14:paraId="7B7B6F1B" w14:textId="74F33772" w:rsidR="000E3EE2" w:rsidRPr="003E284C" w:rsidRDefault="000E3EE2" w:rsidP="000E3EE2">
      <w:pPr>
        <w:spacing w:line="360" w:lineRule="auto"/>
        <w:ind w:left="709" w:hanging="709"/>
        <w:jc w:val="both"/>
        <w:rPr>
          <w:rStyle w:val="Hipervnculo"/>
          <w:rFonts w:ascii="Times New Roman" w:hAnsi="Times New Roman" w:cs="Times New Roman"/>
          <w:color w:val="auto"/>
          <w:sz w:val="24"/>
          <w:szCs w:val="24"/>
        </w:rPr>
      </w:pPr>
      <w:r w:rsidRPr="003E284C">
        <w:rPr>
          <w:rStyle w:val="normalCar"/>
          <w:rFonts w:eastAsiaTheme="minorHAnsi"/>
          <w:color w:val="auto"/>
        </w:rPr>
        <w:t xml:space="preserve">Instituto Nacional de Estadística y Geografía </w:t>
      </w:r>
      <w:r w:rsidR="00B94030" w:rsidRPr="003E284C">
        <w:rPr>
          <w:rStyle w:val="normalCar"/>
          <w:rFonts w:eastAsiaTheme="minorHAnsi"/>
          <w:color w:val="auto"/>
        </w:rPr>
        <w:t xml:space="preserve">[INEGI]. </w:t>
      </w:r>
      <w:r w:rsidRPr="003E284C">
        <w:rPr>
          <w:rStyle w:val="normalCar"/>
          <w:rFonts w:eastAsiaTheme="minorHAnsi"/>
          <w:color w:val="auto"/>
        </w:rPr>
        <w:t>(</w:t>
      </w:r>
      <w:r w:rsidR="007278B1" w:rsidRPr="003E284C">
        <w:rPr>
          <w:rStyle w:val="normalCar"/>
          <w:rFonts w:eastAsiaTheme="minorHAnsi"/>
          <w:color w:val="auto"/>
        </w:rPr>
        <w:t xml:space="preserve">12 de noviembre de </w:t>
      </w:r>
      <w:r w:rsidRPr="003E284C">
        <w:rPr>
          <w:rStyle w:val="normalCar"/>
          <w:rFonts w:eastAsiaTheme="minorHAnsi"/>
          <w:color w:val="auto"/>
        </w:rPr>
        <w:t>2021</w:t>
      </w:r>
      <w:r w:rsidR="007278B1" w:rsidRPr="003E284C">
        <w:rPr>
          <w:rStyle w:val="normalCar"/>
          <w:rFonts w:eastAsiaTheme="minorHAnsi"/>
          <w:color w:val="auto"/>
        </w:rPr>
        <w:t>b</w:t>
      </w:r>
      <w:r w:rsidRPr="003E284C">
        <w:rPr>
          <w:rStyle w:val="normalCar"/>
          <w:rFonts w:eastAsiaTheme="minorHAnsi"/>
          <w:color w:val="auto"/>
        </w:rPr>
        <w:t xml:space="preserve">). Estadísticas a propósito del día mundial de la diabetes. </w:t>
      </w:r>
      <w:r w:rsidRPr="003E284C">
        <w:rPr>
          <w:rFonts w:ascii="Times New Roman" w:hAnsi="Times New Roman" w:cs="Times New Roman"/>
          <w:i/>
          <w:iCs/>
          <w:noProof/>
          <w:sz w:val="24"/>
          <w:szCs w:val="24"/>
        </w:rPr>
        <w:t>Comunicado de prensa No 645/21</w:t>
      </w:r>
      <w:r w:rsidRPr="003E284C">
        <w:rPr>
          <w:rFonts w:ascii="Times New Roman" w:hAnsi="Times New Roman" w:cs="Times New Roman"/>
          <w:noProof/>
          <w:sz w:val="24"/>
          <w:szCs w:val="24"/>
        </w:rPr>
        <w:t xml:space="preserve">, 1-5. </w:t>
      </w:r>
      <w:bookmarkStart w:id="15" w:name="_Hlk157764253"/>
      <w:r w:rsidRPr="003E284C">
        <w:fldChar w:fldCharType="begin"/>
      </w:r>
      <w:r w:rsidRPr="003E284C">
        <w:instrText>HYPERLINK "https://www.inegi.org.mx/contenidos/saladeprensa/aproposito/2021/EAP_Diabetes2021.pdf"</w:instrText>
      </w:r>
      <w:r w:rsidRPr="003E284C">
        <w:fldChar w:fldCharType="separate"/>
      </w:r>
      <w:r w:rsidRPr="003E284C">
        <w:rPr>
          <w:rStyle w:val="Hipervnculo"/>
          <w:rFonts w:ascii="Times New Roman" w:hAnsi="Times New Roman" w:cs="Times New Roman"/>
          <w:color w:val="auto"/>
          <w:sz w:val="24"/>
          <w:szCs w:val="24"/>
        </w:rPr>
        <w:t xml:space="preserve">EAP_Diabetes2021.pdf </w:t>
      </w:r>
      <w:r w:rsidRPr="003E284C">
        <w:rPr>
          <w:rStyle w:val="Hipervnculo"/>
          <w:rFonts w:ascii="Times New Roman" w:hAnsi="Times New Roman" w:cs="Times New Roman"/>
          <w:color w:val="auto"/>
          <w:sz w:val="24"/>
          <w:szCs w:val="24"/>
        </w:rPr>
        <w:fldChar w:fldCharType="end"/>
      </w:r>
      <w:bookmarkEnd w:id="15"/>
    </w:p>
    <w:p w14:paraId="3C8561AB" w14:textId="77777777" w:rsidR="009B2CDE" w:rsidRPr="003E284C" w:rsidRDefault="007278B1" w:rsidP="009B2CDE">
      <w:pPr>
        <w:spacing w:line="360" w:lineRule="auto"/>
        <w:ind w:left="709" w:hanging="709"/>
        <w:jc w:val="both"/>
        <w:rPr>
          <w:rFonts w:ascii="Times New Roman" w:hAnsi="Times New Roman" w:cs="Times New Roman"/>
          <w:i/>
          <w:iCs/>
          <w:sz w:val="24"/>
          <w:szCs w:val="24"/>
        </w:rPr>
      </w:pPr>
      <w:r w:rsidRPr="003E284C">
        <w:rPr>
          <w:rStyle w:val="normalCar"/>
          <w:rFonts w:eastAsiaTheme="minorHAnsi"/>
          <w:color w:val="auto"/>
        </w:rPr>
        <w:t xml:space="preserve">Instituto Nacional de Estadística y Geografía [INEGI]. (25 de enero de 2021c). </w:t>
      </w:r>
      <w:r w:rsidR="00282FDB" w:rsidRPr="003E284C">
        <w:rPr>
          <w:rFonts w:ascii="Times New Roman" w:hAnsi="Times New Roman" w:cs="Times New Roman"/>
          <w:sz w:val="24"/>
          <w:szCs w:val="24"/>
        </w:rPr>
        <w:t xml:space="preserve">En México somos 126,014,024 Habitantes: Censo De Población Y Vivienda 2020. </w:t>
      </w:r>
      <w:r w:rsidR="00282FDB" w:rsidRPr="003E284C">
        <w:rPr>
          <w:rFonts w:ascii="Times New Roman" w:hAnsi="Times New Roman" w:cs="Times New Roman"/>
          <w:i/>
          <w:iCs/>
          <w:sz w:val="24"/>
          <w:szCs w:val="24"/>
        </w:rPr>
        <w:t>Comunicado de prensa 24/21,</w:t>
      </w:r>
      <w:r w:rsidR="009B2CDE" w:rsidRPr="003E284C">
        <w:rPr>
          <w:rFonts w:ascii="Times New Roman" w:hAnsi="Times New Roman" w:cs="Times New Roman"/>
          <w:i/>
          <w:iCs/>
          <w:sz w:val="24"/>
          <w:szCs w:val="24"/>
        </w:rPr>
        <w:t xml:space="preserve"> 1-3.</w:t>
      </w:r>
    </w:p>
    <w:bookmarkStart w:id="16" w:name="_Hlk157764616"/>
    <w:p w14:paraId="25DDDA6E" w14:textId="7B773A8A" w:rsidR="007278B1" w:rsidRPr="003E284C" w:rsidRDefault="009B2CDE" w:rsidP="009B2CDE">
      <w:pPr>
        <w:spacing w:line="360" w:lineRule="auto"/>
        <w:ind w:left="709" w:hanging="709"/>
        <w:jc w:val="both"/>
        <w:rPr>
          <w:rFonts w:ascii="Times New Roman" w:hAnsi="Times New Roman" w:cs="Times New Roman"/>
          <w:i/>
          <w:iCs/>
          <w:sz w:val="24"/>
          <w:szCs w:val="24"/>
        </w:rPr>
      </w:pPr>
      <w:r w:rsidRPr="003E284C">
        <w:rPr>
          <w:rFonts w:ascii="Times New Roman" w:hAnsi="Times New Roman" w:cs="Times New Roman"/>
          <w:noProof/>
          <w:sz w:val="24"/>
          <w:szCs w:val="24"/>
        </w:rPr>
        <w:fldChar w:fldCharType="begin"/>
      </w:r>
      <w:r w:rsidRPr="003E284C">
        <w:rPr>
          <w:rFonts w:ascii="Times New Roman" w:hAnsi="Times New Roman" w:cs="Times New Roman"/>
          <w:noProof/>
          <w:sz w:val="24"/>
          <w:szCs w:val="24"/>
        </w:rPr>
        <w:instrText xml:space="preserve"> HYPERLINK "https://www.inegi.org.mx/contenidos/saladeprensa/boletines/2021/EstSociodemo/ResultCenso2020_Nal.pdf" </w:instrText>
      </w:r>
      <w:r w:rsidRPr="003E284C">
        <w:rPr>
          <w:rFonts w:ascii="Times New Roman" w:hAnsi="Times New Roman" w:cs="Times New Roman"/>
          <w:noProof/>
          <w:sz w:val="24"/>
          <w:szCs w:val="24"/>
        </w:rPr>
      </w:r>
      <w:r w:rsidRPr="003E284C">
        <w:rPr>
          <w:rFonts w:ascii="Times New Roman" w:hAnsi="Times New Roman" w:cs="Times New Roman"/>
          <w:noProof/>
          <w:sz w:val="24"/>
          <w:szCs w:val="24"/>
        </w:rPr>
        <w:fldChar w:fldCharType="separate"/>
      </w:r>
      <w:r w:rsidRPr="003E284C">
        <w:rPr>
          <w:rStyle w:val="Hipervnculo"/>
          <w:rFonts w:ascii="Times New Roman" w:hAnsi="Times New Roman" w:cs="Times New Roman"/>
          <w:noProof/>
          <w:color w:val="auto"/>
          <w:sz w:val="24"/>
          <w:szCs w:val="24"/>
        </w:rPr>
        <w:t>https://www.inegi.org.mx/contenidos/saladeprensa/boletines/2021/EstSociodemo/ResultCenso2020_Nal.pdf</w:t>
      </w:r>
      <w:r w:rsidRPr="003E284C">
        <w:rPr>
          <w:rFonts w:ascii="Times New Roman" w:hAnsi="Times New Roman" w:cs="Times New Roman"/>
          <w:noProof/>
          <w:sz w:val="24"/>
          <w:szCs w:val="24"/>
        </w:rPr>
        <w:fldChar w:fldCharType="end"/>
      </w:r>
      <w:r w:rsidR="007278B1" w:rsidRPr="003E284C">
        <w:rPr>
          <w:rFonts w:ascii="Times New Roman" w:hAnsi="Times New Roman" w:cs="Times New Roman"/>
          <w:noProof/>
          <w:sz w:val="24"/>
          <w:szCs w:val="24"/>
        </w:rPr>
        <w:t xml:space="preserve"> </w:t>
      </w:r>
    </w:p>
    <w:bookmarkEnd w:id="16"/>
    <w:p w14:paraId="49624F80" w14:textId="2CF6F631" w:rsidR="000E3EE2" w:rsidRPr="003E284C" w:rsidRDefault="000E3EE2" w:rsidP="000E3EE2">
      <w:pPr>
        <w:pStyle w:val="Normal1"/>
        <w:ind w:left="709" w:hanging="709"/>
        <w:rPr>
          <w:color w:val="auto"/>
          <w:lang w:val="es-ES"/>
        </w:rPr>
      </w:pPr>
      <w:r w:rsidRPr="003E284C">
        <w:rPr>
          <w:noProof/>
          <w:color w:val="auto"/>
          <w:lang w:val="es-ES"/>
        </w:rPr>
        <w:lastRenderedPageBreak/>
        <w:t xml:space="preserve">Kunitoshi, I., Yoshiharu, I., Taku, I., Chiho, I., Kozen, K.and </w:t>
      </w:r>
      <w:r w:rsidR="00B94030" w:rsidRPr="003E284C">
        <w:rPr>
          <w:noProof/>
          <w:color w:val="auto"/>
          <w:lang w:val="es-ES"/>
        </w:rPr>
        <w:t>&amp;</w:t>
      </w:r>
      <w:r w:rsidRPr="003E284C">
        <w:rPr>
          <w:noProof/>
          <w:color w:val="auto"/>
          <w:lang w:val="es-ES"/>
        </w:rPr>
        <w:t xml:space="preserve"> Shuichi, T. (2004). </w:t>
      </w:r>
      <w:r w:rsidRPr="003E284C">
        <w:rPr>
          <w:noProof/>
          <w:color w:val="auto"/>
          <w:lang w:val="en-GB"/>
        </w:rPr>
        <w:t xml:space="preserve">Significance of hyperuricemia as a risk factor for developing ESRD in a screened cohort. </w:t>
      </w:r>
      <w:r w:rsidRPr="003E284C">
        <w:rPr>
          <w:i/>
          <w:iCs/>
          <w:color w:val="auto"/>
          <w:lang w:val="es-ES"/>
        </w:rPr>
        <w:t xml:space="preserve">American </w:t>
      </w:r>
      <w:proofErr w:type="spellStart"/>
      <w:r w:rsidRPr="003E284C">
        <w:rPr>
          <w:i/>
          <w:iCs/>
          <w:color w:val="auto"/>
          <w:lang w:val="es-ES"/>
        </w:rPr>
        <w:t>Journal</w:t>
      </w:r>
      <w:proofErr w:type="spellEnd"/>
      <w:r w:rsidRPr="003E284C">
        <w:rPr>
          <w:i/>
          <w:iCs/>
          <w:color w:val="auto"/>
          <w:lang w:val="es-ES"/>
        </w:rPr>
        <w:t xml:space="preserve"> </w:t>
      </w:r>
      <w:proofErr w:type="spellStart"/>
      <w:r w:rsidRPr="003E284C">
        <w:rPr>
          <w:i/>
          <w:iCs/>
          <w:color w:val="auto"/>
          <w:lang w:val="es-ES"/>
        </w:rPr>
        <w:t>of</w:t>
      </w:r>
      <w:proofErr w:type="spellEnd"/>
      <w:r w:rsidRPr="003E284C">
        <w:rPr>
          <w:i/>
          <w:iCs/>
          <w:color w:val="auto"/>
          <w:lang w:val="es-ES"/>
        </w:rPr>
        <w:t xml:space="preserve"> </w:t>
      </w:r>
      <w:proofErr w:type="spellStart"/>
      <w:r w:rsidRPr="003E284C">
        <w:rPr>
          <w:i/>
          <w:iCs/>
          <w:color w:val="auto"/>
          <w:lang w:val="es-ES"/>
        </w:rPr>
        <w:t>Kidney</w:t>
      </w:r>
      <w:proofErr w:type="spellEnd"/>
      <w:r w:rsidRPr="003E284C">
        <w:rPr>
          <w:i/>
          <w:iCs/>
          <w:color w:val="auto"/>
          <w:lang w:val="es-ES"/>
        </w:rPr>
        <w:t xml:space="preserve"> </w:t>
      </w:r>
      <w:proofErr w:type="spellStart"/>
      <w:r w:rsidRPr="003E284C">
        <w:rPr>
          <w:i/>
          <w:iCs/>
          <w:color w:val="auto"/>
          <w:lang w:val="es-ES"/>
        </w:rPr>
        <w:t>Dis</w:t>
      </w:r>
      <w:proofErr w:type="spellEnd"/>
      <w:r w:rsidRPr="003E284C">
        <w:rPr>
          <w:color w:val="auto"/>
          <w:lang w:val="es-ES"/>
        </w:rPr>
        <w:t xml:space="preserve">., </w:t>
      </w:r>
      <w:r w:rsidRPr="003E284C">
        <w:rPr>
          <w:i/>
          <w:iCs/>
          <w:color w:val="auto"/>
          <w:lang w:val="es-ES"/>
        </w:rPr>
        <w:t>44</w:t>
      </w:r>
      <w:r w:rsidRPr="003E284C">
        <w:rPr>
          <w:color w:val="auto"/>
          <w:lang w:val="es-ES"/>
        </w:rPr>
        <w:t xml:space="preserve">(4), 642-50. </w:t>
      </w:r>
    </w:p>
    <w:p w14:paraId="5B90C288" w14:textId="1CD8F1A8" w:rsidR="000E3EE2" w:rsidRPr="003E284C" w:rsidRDefault="000E3EE2" w:rsidP="000E3EE2">
      <w:pPr>
        <w:pStyle w:val="Normal1"/>
        <w:ind w:left="709" w:hanging="709"/>
        <w:rPr>
          <w:noProof/>
          <w:color w:val="auto"/>
        </w:rPr>
      </w:pPr>
      <w:r w:rsidRPr="003E284C">
        <w:rPr>
          <w:noProof/>
          <w:color w:val="auto"/>
          <w:lang w:val="es-ES"/>
        </w:rPr>
        <w:t xml:space="preserve">Labrador Gómez, P., Mengotti, T., Jiménez, M., Macías, M., Vicente, F., Labrador, J. </w:t>
      </w:r>
      <w:r w:rsidR="00B94030" w:rsidRPr="003E284C">
        <w:rPr>
          <w:noProof/>
          <w:color w:val="auto"/>
          <w:lang w:val="es-ES"/>
        </w:rPr>
        <w:t>&amp;</w:t>
      </w:r>
      <w:r w:rsidRPr="003E284C">
        <w:rPr>
          <w:noProof/>
          <w:color w:val="auto"/>
          <w:lang w:val="es-ES"/>
        </w:rPr>
        <w:t xml:space="preserve"> Martín Oncina, J. (2007a). </w:t>
      </w:r>
      <w:r w:rsidRPr="003E284C">
        <w:rPr>
          <w:noProof/>
          <w:color w:val="auto"/>
        </w:rPr>
        <w:t>Insuficiencia renal oculta en atención primaria. ¿Un problema exclusivo de mujeres?</w:t>
      </w:r>
      <w:r w:rsidRPr="003E284C">
        <w:rPr>
          <w:i/>
          <w:iCs/>
          <w:noProof/>
          <w:color w:val="auto"/>
        </w:rPr>
        <w:t xml:space="preserve"> Revista Nefrología</w:t>
      </w:r>
      <w:r w:rsidRPr="003E284C">
        <w:rPr>
          <w:noProof/>
          <w:color w:val="auto"/>
        </w:rPr>
        <w:t xml:space="preserve">, </w:t>
      </w:r>
      <w:r w:rsidRPr="003E284C">
        <w:rPr>
          <w:i/>
          <w:iCs/>
          <w:noProof/>
          <w:color w:val="auto"/>
        </w:rPr>
        <w:t>27</w:t>
      </w:r>
      <w:r w:rsidRPr="003E284C">
        <w:rPr>
          <w:noProof/>
          <w:color w:val="auto"/>
        </w:rPr>
        <w:t>(6), 716–20.</w:t>
      </w:r>
      <w:r w:rsidRPr="003E284C">
        <w:rPr>
          <w:color w:val="auto"/>
        </w:rPr>
        <w:t xml:space="preserve"> </w:t>
      </w:r>
      <w:hyperlink r:id="rId25" w:history="1">
        <w:r w:rsidRPr="003E284C">
          <w:rPr>
            <w:rStyle w:val="Hipervnculo"/>
            <w:noProof/>
            <w:color w:val="auto"/>
          </w:rPr>
          <w:t>https://www.revistanefrologia.com/es-insuficiencia-renal-oculta-atencion-primaria--articulo-X0211699507022086</w:t>
        </w:r>
      </w:hyperlink>
      <w:r w:rsidRPr="003E284C">
        <w:rPr>
          <w:noProof/>
          <w:color w:val="auto"/>
        </w:rPr>
        <w:t xml:space="preserve"> </w:t>
      </w:r>
    </w:p>
    <w:p w14:paraId="5B83BDDC" w14:textId="39532425" w:rsidR="000E3EE2" w:rsidRPr="003E284C" w:rsidRDefault="000E3EE2" w:rsidP="000E3EE2">
      <w:pPr>
        <w:pStyle w:val="Normal1"/>
        <w:ind w:left="709" w:hanging="709"/>
        <w:rPr>
          <w:color w:val="auto"/>
        </w:rPr>
      </w:pPr>
      <w:r w:rsidRPr="003E284C">
        <w:rPr>
          <w:noProof/>
          <w:color w:val="auto"/>
        </w:rPr>
        <w:t xml:space="preserve">Labrador Gomez, P., González Sanchidrián, S., Polanco, S., Davin, E., Fuentes, J. </w:t>
      </w:r>
      <w:r w:rsidR="00B94030" w:rsidRPr="003E284C">
        <w:rPr>
          <w:noProof/>
          <w:color w:val="auto"/>
        </w:rPr>
        <w:t>&amp;</w:t>
      </w:r>
      <w:r w:rsidRPr="003E284C">
        <w:rPr>
          <w:noProof/>
          <w:color w:val="auto"/>
        </w:rPr>
        <w:t xml:space="preserve"> Gómez Martino, J. (2018b). Detección y clasificación de la enfermedad renal crónica en atención primaria y la importancia de la albuminuria. </w:t>
      </w:r>
      <w:r w:rsidRPr="003E284C">
        <w:rPr>
          <w:i/>
          <w:iCs/>
          <w:noProof/>
          <w:color w:val="auto"/>
        </w:rPr>
        <w:t>Revista SEMERGEN</w:t>
      </w:r>
      <w:r w:rsidRPr="003E284C">
        <w:rPr>
          <w:noProof/>
          <w:color w:val="auto"/>
        </w:rPr>
        <w:t xml:space="preserve">, </w:t>
      </w:r>
      <w:r w:rsidRPr="003E284C">
        <w:rPr>
          <w:i/>
          <w:iCs/>
          <w:noProof/>
          <w:color w:val="auto"/>
        </w:rPr>
        <w:t>44</w:t>
      </w:r>
      <w:r w:rsidRPr="003E284C">
        <w:rPr>
          <w:noProof/>
          <w:color w:val="auto"/>
        </w:rPr>
        <w:t>(2), 82–9.</w:t>
      </w:r>
      <w:r w:rsidRPr="003E284C">
        <w:rPr>
          <w:color w:val="auto"/>
        </w:rPr>
        <w:t xml:space="preserve"> </w:t>
      </w:r>
      <w:hyperlink r:id="rId26" w:history="1">
        <w:r w:rsidRPr="003E284C">
          <w:rPr>
            <w:rStyle w:val="Hipervnculo"/>
            <w:color w:val="auto"/>
          </w:rPr>
          <w:t>https://doi.org/10.1016/j.semerg.2016.11.009</w:t>
        </w:r>
      </w:hyperlink>
    </w:p>
    <w:p w14:paraId="681794AF" w14:textId="6B57B40F" w:rsidR="000E3EE2" w:rsidRPr="003E284C" w:rsidRDefault="000E3EE2" w:rsidP="000E3EE2">
      <w:pPr>
        <w:pStyle w:val="Normal1"/>
        <w:ind w:left="709" w:hanging="709"/>
        <w:rPr>
          <w:noProof/>
          <w:color w:val="auto"/>
        </w:rPr>
      </w:pPr>
      <w:r w:rsidRPr="003E284C">
        <w:rPr>
          <w:noProof/>
          <w:color w:val="auto"/>
        </w:rPr>
        <w:t xml:space="preserve">Lastre, Galino Guerra, G., Sánchez Naranjo, H. </w:t>
      </w:r>
      <w:r w:rsidR="00B94030" w:rsidRPr="003E284C">
        <w:rPr>
          <w:noProof/>
          <w:color w:val="auto"/>
        </w:rPr>
        <w:t>&amp;</w:t>
      </w:r>
      <w:r w:rsidRPr="003E284C">
        <w:rPr>
          <w:noProof/>
          <w:color w:val="auto"/>
        </w:rPr>
        <w:t xml:space="preserve"> Mariño Serrano, R. (2019). Prevalencia de la enfermedad renal oculta en adultos mayores con diabetes mellitus tipo 2. </w:t>
      </w:r>
      <w:r w:rsidRPr="003E284C">
        <w:rPr>
          <w:i/>
          <w:iCs/>
          <w:noProof/>
          <w:color w:val="auto"/>
        </w:rPr>
        <w:t>Revista Médica Electrón</w:t>
      </w:r>
      <w:r w:rsidRPr="003E284C">
        <w:rPr>
          <w:noProof/>
          <w:color w:val="auto"/>
        </w:rPr>
        <w:t xml:space="preserve">, </w:t>
      </w:r>
      <w:r w:rsidRPr="003E284C">
        <w:rPr>
          <w:i/>
          <w:iCs/>
          <w:noProof/>
          <w:color w:val="auto"/>
        </w:rPr>
        <w:t>41</w:t>
      </w:r>
      <w:r w:rsidRPr="003E284C">
        <w:rPr>
          <w:noProof/>
          <w:color w:val="auto"/>
        </w:rPr>
        <w:t xml:space="preserve">(4), 850–61. </w:t>
      </w:r>
      <w:hyperlink r:id="rId27" w:history="1">
        <w:r w:rsidRPr="003E284C">
          <w:rPr>
            <w:rStyle w:val="Hipervnculo"/>
            <w:noProof/>
            <w:color w:val="auto"/>
          </w:rPr>
          <w:t>http://www.revmedicaelectronica.sld.cu/index.php/rme/article/view/3223/4310</w:t>
        </w:r>
      </w:hyperlink>
    </w:p>
    <w:p w14:paraId="6BAFEFC3" w14:textId="57169400" w:rsidR="000E3EE2" w:rsidRPr="003E284C" w:rsidRDefault="000E3EE2" w:rsidP="000E3EE2">
      <w:pPr>
        <w:pStyle w:val="Normal1"/>
        <w:ind w:left="709" w:hanging="709"/>
        <w:rPr>
          <w:noProof/>
          <w:color w:val="auto"/>
        </w:rPr>
      </w:pPr>
      <w:r w:rsidRPr="003E284C">
        <w:rPr>
          <w:color w:val="auto"/>
        </w:rPr>
        <w:t>Leyva, R, Vazques Aguilar, L</w:t>
      </w:r>
      <w:r w:rsidR="00B94030" w:rsidRPr="003E284C">
        <w:rPr>
          <w:color w:val="auto"/>
        </w:rPr>
        <w:t>,</w:t>
      </w:r>
      <w:r w:rsidRPr="003E284C">
        <w:rPr>
          <w:color w:val="auto"/>
        </w:rPr>
        <w:t xml:space="preserve"> </w:t>
      </w:r>
      <w:r w:rsidR="00B94030" w:rsidRPr="003E284C">
        <w:rPr>
          <w:color w:val="auto"/>
        </w:rPr>
        <w:t>&amp;</w:t>
      </w:r>
      <w:r w:rsidRPr="003E284C">
        <w:rPr>
          <w:color w:val="auto"/>
        </w:rPr>
        <w:t xml:space="preserve"> Alvarado García, H. (2013). Insuficiencia renal oculta en diabéticos tipo 2 de una unidad médica de atención primaria. </w:t>
      </w:r>
      <w:r w:rsidRPr="003E284C">
        <w:rPr>
          <w:i/>
          <w:iCs/>
          <w:color w:val="auto"/>
        </w:rPr>
        <w:t>Revista Atención Primaria</w:t>
      </w:r>
      <w:r w:rsidRPr="003E284C">
        <w:rPr>
          <w:color w:val="auto"/>
        </w:rPr>
        <w:t xml:space="preserve">, </w:t>
      </w:r>
      <w:r w:rsidRPr="003E284C">
        <w:rPr>
          <w:i/>
          <w:iCs/>
          <w:color w:val="auto"/>
        </w:rPr>
        <w:t>45</w:t>
      </w:r>
      <w:r w:rsidRPr="003E284C">
        <w:rPr>
          <w:color w:val="auto"/>
        </w:rPr>
        <w:t xml:space="preserve">(78), 176–7. </w:t>
      </w:r>
      <w:hyperlink r:id="rId28" w:history="1">
        <w:r w:rsidRPr="003E284C">
          <w:rPr>
            <w:rStyle w:val="Hipervnculo"/>
            <w:color w:val="auto"/>
          </w:rPr>
          <w:t>https://doi.org/10.1016/j.aprim.2012.11.003</w:t>
        </w:r>
      </w:hyperlink>
      <w:r w:rsidRPr="003E284C">
        <w:rPr>
          <w:color w:val="auto"/>
        </w:rPr>
        <w:t xml:space="preserve"> </w:t>
      </w:r>
    </w:p>
    <w:p w14:paraId="578E0526" w14:textId="4ED5753C" w:rsidR="000E3EE2" w:rsidRPr="003E284C" w:rsidRDefault="000E3EE2" w:rsidP="000E3EE2">
      <w:pPr>
        <w:pStyle w:val="Normal1"/>
        <w:ind w:left="709" w:hanging="709"/>
        <w:rPr>
          <w:rStyle w:val="Hipervnculo"/>
          <w:noProof/>
          <w:color w:val="auto"/>
        </w:rPr>
      </w:pPr>
      <w:r w:rsidRPr="003E284C">
        <w:rPr>
          <w:noProof/>
          <w:color w:val="auto"/>
        </w:rPr>
        <w:t xml:space="preserve">López Romero, J., Ramos Cárdenas, E., Vega Calderón, F., Fariñas Peláez, R. </w:t>
      </w:r>
      <w:r w:rsidR="00B94030" w:rsidRPr="003E284C">
        <w:rPr>
          <w:noProof/>
          <w:color w:val="auto"/>
        </w:rPr>
        <w:t>&amp;</w:t>
      </w:r>
      <w:r w:rsidRPr="003E284C">
        <w:rPr>
          <w:noProof/>
          <w:color w:val="auto"/>
        </w:rPr>
        <w:t xml:space="preserve"> Viera Perez, I. (2020). Enfermedad renal crónica oculta en pacientes con síndrome coronario agudo. </w:t>
      </w:r>
      <w:r w:rsidRPr="003E284C">
        <w:rPr>
          <w:i/>
          <w:iCs/>
          <w:noProof/>
          <w:color w:val="auto"/>
        </w:rPr>
        <w:t>Medicentro Electronica,</w:t>
      </w:r>
      <w:r w:rsidRPr="003E284C">
        <w:rPr>
          <w:noProof/>
          <w:color w:val="auto"/>
        </w:rPr>
        <w:t xml:space="preserve"> </w:t>
      </w:r>
      <w:r w:rsidRPr="003E284C">
        <w:rPr>
          <w:i/>
          <w:iCs/>
          <w:noProof/>
          <w:color w:val="auto"/>
        </w:rPr>
        <w:t>24</w:t>
      </w:r>
      <w:r w:rsidRPr="003E284C">
        <w:rPr>
          <w:noProof/>
          <w:color w:val="auto"/>
        </w:rPr>
        <w:t xml:space="preserve">(1), 85–105. </w:t>
      </w:r>
      <w:hyperlink r:id="rId29" w:history="1">
        <w:r w:rsidRPr="003E284C">
          <w:rPr>
            <w:rStyle w:val="Hipervnculo"/>
            <w:noProof/>
            <w:color w:val="auto"/>
          </w:rPr>
          <w:t>http://scielo.sld.cu/scielo.php?script=sci_arttext&amp;pid=S1029-30432020000100085</w:t>
        </w:r>
      </w:hyperlink>
    </w:p>
    <w:p w14:paraId="7E685FA3" w14:textId="5D3DE1C5" w:rsidR="000E3EE2" w:rsidRPr="003E284C" w:rsidRDefault="000E3EE2" w:rsidP="000E3EE2">
      <w:pPr>
        <w:pStyle w:val="Normal1"/>
        <w:ind w:left="709" w:hanging="709"/>
        <w:rPr>
          <w:noProof/>
          <w:color w:val="auto"/>
        </w:rPr>
      </w:pPr>
      <w:r w:rsidRPr="003E284C">
        <w:rPr>
          <w:rStyle w:val="Hipervnculo"/>
          <w:noProof/>
          <w:color w:val="auto"/>
          <w:u w:val="none"/>
        </w:rPr>
        <w:t>Mares Guti</w:t>
      </w:r>
      <w:r w:rsidRPr="003E284C">
        <w:rPr>
          <w:rStyle w:val="Hipervnculo"/>
          <w:rFonts w:eastAsia="Arial"/>
          <w:noProof/>
          <w:color w:val="auto"/>
          <w:u w:val="none"/>
        </w:rPr>
        <w:t>é</w:t>
      </w:r>
      <w:r w:rsidRPr="003E284C">
        <w:rPr>
          <w:rStyle w:val="Hipervnculo"/>
          <w:noProof/>
          <w:color w:val="auto"/>
          <w:u w:val="none"/>
        </w:rPr>
        <w:t>rrez, Gallardo Hernandez, A</w:t>
      </w:r>
      <w:r w:rsidRPr="003E284C">
        <w:rPr>
          <w:rStyle w:val="Hipervnculo"/>
          <w:rFonts w:eastAsia="Arial"/>
          <w:noProof/>
          <w:color w:val="auto"/>
          <w:u w:val="none"/>
        </w:rPr>
        <w:t>.</w:t>
      </w:r>
      <w:r w:rsidRPr="003E284C">
        <w:rPr>
          <w:rStyle w:val="Hipervnculo"/>
          <w:noProof/>
          <w:color w:val="auto"/>
          <w:u w:val="none"/>
        </w:rPr>
        <w:t>, Lazcano Ponce, E</w:t>
      </w:r>
      <w:r w:rsidR="00B94030" w:rsidRPr="003E284C">
        <w:rPr>
          <w:rStyle w:val="Hipervnculo"/>
          <w:rFonts w:eastAsia="Arial"/>
          <w:noProof/>
          <w:color w:val="auto"/>
          <w:u w:val="none"/>
        </w:rPr>
        <w:t>,</w:t>
      </w:r>
      <w:r w:rsidRPr="003E284C">
        <w:rPr>
          <w:rStyle w:val="Hipervnculo"/>
          <w:noProof/>
          <w:color w:val="auto"/>
          <w:u w:val="none"/>
        </w:rPr>
        <w:t xml:space="preserve"> </w:t>
      </w:r>
      <w:r w:rsidR="00B94030" w:rsidRPr="003E284C">
        <w:rPr>
          <w:rStyle w:val="Hipervnculo"/>
          <w:rFonts w:eastAsia="Arial"/>
          <w:noProof/>
          <w:color w:val="auto"/>
          <w:u w:val="none"/>
        </w:rPr>
        <w:t>&amp;</w:t>
      </w:r>
      <w:r w:rsidRPr="003E284C">
        <w:rPr>
          <w:rStyle w:val="Hipervnculo"/>
          <w:noProof/>
          <w:color w:val="auto"/>
          <w:u w:val="none"/>
        </w:rPr>
        <w:t xml:space="preserve"> Martínez González</w:t>
      </w:r>
      <w:r w:rsidRPr="003E284C">
        <w:rPr>
          <w:rStyle w:val="Hipervnculo"/>
          <w:rFonts w:eastAsia="Arial"/>
          <w:noProof/>
          <w:color w:val="auto"/>
          <w:u w:val="none"/>
        </w:rPr>
        <w:t>,</w:t>
      </w:r>
      <w:r w:rsidRPr="003E284C">
        <w:rPr>
          <w:rStyle w:val="Hipervnculo"/>
          <w:noProof/>
          <w:color w:val="auto"/>
          <w:u w:val="none"/>
        </w:rPr>
        <w:t xml:space="preserve"> A. (</w:t>
      </w:r>
      <w:r w:rsidRPr="003E284C">
        <w:rPr>
          <w:rStyle w:val="Hipervnculo"/>
          <w:rFonts w:eastAsia="Arial"/>
          <w:noProof/>
          <w:color w:val="auto"/>
          <w:u w:val="none"/>
        </w:rPr>
        <w:t>2</w:t>
      </w:r>
      <w:r w:rsidRPr="003E284C">
        <w:rPr>
          <w:rStyle w:val="Hipervnculo"/>
          <w:noProof/>
          <w:color w:val="auto"/>
          <w:u w:val="none"/>
        </w:rPr>
        <w:t>023). Descontrol Glúcemico: desafío de salud pública en prepandemia y pandemia</w:t>
      </w:r>
      <w:r w:rsidRPr="003E284C">
        <w:rPr>
          <w:rStyle w:val="Hipervnculo"/>
          <w:rFonts w:eastAsia="Arial"/>
          <w:noProof/>
          <w:color w:val="auto"/>
          <w:u w:val="none"/>
        </w:rPr>
        <w:t>.</w:t>
      </w:r>
      <w:r w:rsidRPr="003E284C">
        <w:rPr>
          <w:rStyle w:val="Hipervnculo"/>
          <w:noProof/>
          <w:color w:val="auto"/>
          <w:u w:val="none"/>
        </w:rPr>
        <w:t xml:space="preserve"> </w:t>
      </w:r>
      <w:r w:rsidRPr="003E284C">
        <w:rPr>
          <w:rStyle w:val="Hipervnculo"/>
          <w:i/>
          <w:iCs/>
          <w:noProof/>
          <w:color w:val="auto"/>
          <w:u w:val="none"/>
        </w:rPr>
        <w:t>Sa</w:t>
      </w:r>
      <w:r w:rsidRPr="003E284C">
        <w:rPr>
          <w:rStyle w:val="Hipervnculo"/>
          <w:rFonts w:eastAsia="Arial"/>
          <w:i/>
          <w:iCs/>
          <w:noProof/>
          <w:color w:val="auto"/>
          <w:u w:val="none"/>
        </w:rPr>
        <w:t>l</w:t>
      </w:r>
      <w:r w:rsidRPr="003E284C">
        <w:rPr>
          <w:rStyle w:val="Hipervnculo"/>
          <w:i/>
          <w:iCs/>
          <w:noProof/>
          <w:color w:val="auto"/>
          <w:u w:val="none"/>
        </w:rPr>
        <w:t>ud Pública Mex</w:t>
      </w:r>
      <w:r w:rsidRPr="003E284C">
        <w:rPr>
          <w:rStyle w:val="Hipervnculo"/>
          <w:noProof/>
          <w:color w:val="auto"/>
          <w:u w:val="none"/>
        </w:rPr>
        <w:t xml:space="preserve">, </w:t>
      </w:r>
      <w:r w:rsidRPr="003E284C">
        <w:rPr>
          <w:rStyle w:val="Hipervnculo"/>
          <w:i/>
          <w:iCs/>
          <w:noProof/>
          <w:color w:val="auto"/>
          <w:u w:val="none"/>
        </w:rPr>
        <w:t>65</w:t>
      </w:r>
      <w:r w:rsidRPr="003E284C">
        <w:rPr>
          <w:rStyle w:val="Hipervnculo"/>
          <w:noProof/>
          <w:color w:val="auto"/>
          <w:u w:val="none"/>
        </w:rPr>
        <w:t>(3), 227</w:t>
      </w:r>
      <w:r w:rsidRPr="003E284C">
        <w:rPr>
          <w:rStyle w:val="Hipervnculo"/>
          <w:rFonts w:eastAsia="Arial"/>
          <w:noProof/>
          <w:color w:val="auto"/>
          <w:u w:val="none"/>
        </w:rPr>
        <w:t>-</w:t>
      </w:r>
      <w:r w:rsidRPr="003E284C">
        <w:rPr>
          <w:rStyle w:val="Hipervnculo"/>
          <w:noProof/>
          <w:color w:val="auto"/>
          <w:u w:val="none"/>
        </w:rPr>
        <w:t xml:space="preserve">235. </w:t>
      </w:r>
      <w:hyperlink r:id="rId30" w:history="1">
        <w:r w:rsidRPr="003E284C">
          <w:rPr>
            <w:rStyle w:val="Hipervnculo"/>
            <w:noProof/>
            <w:color w:val="auto"/>
            <w:u w:val="none"/>
          </w:rPr>
          <w:t>h</w:t>
        </w:r>
        <w:r w:rsidRPr="003E284C">
          <w:rPr>
            <w:rStyle w:val="Hipervnculo"/>
            <w:color w:val="auto"/>
            <w:u w:val="none"/>
            <w:shd w:val="clear" w:color="auto" w:fill="FFFFFF"/>
          </w:rPr>
          <w:t>ttps://doi.org/10.21149/14425</w:t>
        </w:r>
      </w:hyperlink>
      <w:r w:rsidRPr="003E284C">
        <w:rPr>
          <w:color w:val="auto"/>
          <w:shd w:val="clear" w:color="auto" w:fill="FFFFFF"/>
        </w:rPr>
        <w:t xml:space="preserve"> </w:t>
      </w:r>
    </w:p>
    <w:p w14:paraId="3546A734" w14:textId="09363D79" w:rsidR="000E3EE2" w:rsidRPr="003E284C" w:rsidRDefault="000E3EE2" w:rsidP="000E3EE2">
      <w:pPr>
        <w:pStyle w:val="Normal1"/>
        <w:ind w:left="709" w:hanging="709"/>
        <w:rPr>
          <w:noProof/>
          <w:color w:val="auto"/>
        </w:rPr>
      </w:pPr>
      <w:r w:rsidRPr="003E284C">
        <w:rPr>
          <w:noProof/>
          <w:color w:val="auto"/>
        </w:rPr>
        <w:t xml:space="preserve">Otero, A., Gayoso, P. </w:t>
      </w:r>
      <w:r w:rsidR="00B94030" w:rsidRPr="003E284C">
        <w:rPr>
          <w:noProof/>
          <w:color w:val="auto"/>
        </w:rPr>
        <w:t>&amp;</w:t>
      </w:r>
      <w:r w:rsidRPr="003E284C">
        <w:rPr>
          <w:noProof/>
          <w:color w:val="auto"/>
        </w:rPr>
        <w:t xml:space="preserve"> García, F. (2010). </w:t>
      </w:r>
      <w:r w:rsidRPr="003E284C">
        <w:rPr>
          <w:noProof/>
          <w:color w:val="auto"/>
          <w:lang w:val="en-US"/>
        </w:rPr>
        <w:t xml:space="preserve">Prevalence of chronic renal disease in Spain: Results of the EPIRCE study. </w:t>
      </w:r>
      <w:r w:rsidRPr="003E284C">
        <w:rPr>
          <w:i/>
          <w:iCs/>
          <w:noProof/>
          <w:color w:val="auto"/>
        </w:rPr>
        <w:t>Revista Nefrologia al Día</w:t>
      </w:r>
      <w:r w:rsidRPr="003E284C">
        <w:rPr>
          <w:noProof/>
          <w:color w:val="auto"/>
        </w:rPr>
        <w:t xml:space="preserve">, </w:t>
      </w:r>
      <w:r w:rsidRPr="003E284C">
        <w:rPr>
          <w:i/>
          <w:iCs/>
          <w:noProof/>
          <w:color w:val="auto"/>
        </w:rPr>
        <w:t>30</w:t>
      </w:r>
      <w:r w:rsidRPr="003E284C">
        <w:rPr>
          <w:noProof/>
          <w:color w:val="auto"/>
        </w:rPr>
        <w:t xml:space="preserve">(1),78–86. </w:t>
      </w:r>
    </w:p>
    <w:p w14:paraId="48C9CB7E" w14:textId="3D6ACCE1" w:rsidR="00766DB5" w:rsidRPr="003E284C" w:rsidRDefault="00766DB5" w:rsidP="000E3EE2">
      <w:pPr>
        <w:pStyle w:val="Normal1"/>
        <w:ind w:left="709" w:hanging="709"/>
        <w:rPr>
          <w:noProof/>
          <w:color w:val="auto"/>
        </w:rPr>
      </w:pPr>
      <w:r w:rsidRPr="003E284C">
        <w:rPr>
          <w:noProof/>
          <w:color w:val="auto"/>
        </w:rPr>
        <w:t>Reglamento de la Ley General de la Salud en materia de investigacion. (2014).</w:t>
      </w:r>
    </w:p>
    <w:p w14:paraId="72893AAC" w14:textId="45577FAC" w:rsidR="000E3EE2" w:rsidRPr="003E284C" w:rsidRDefault="000E3EE2" w:rsidP="000E3EE2">
      <w:pPr>
        <w:pStyle w:val="Normal1"/>
        <w:ind w:left="709" w:hanging="709"/>
        <w:rPr>
          <w:noProof/>
          <w:color w:val="auto"/>
          <w:lang w:val="en-GB"/>
        </w:rPr>
      </w:pPr>
      <w:r w:rsidRPr="003E284C">
        <w:rPr>
          <w:noProof/>
          <w:color w:val="auto"/>
        </w:rPr>
        <w:t xml:space="preserve">Ríos, V., Pacheco Tena, C., Nevárez Rascón, A. </w:t>
      </w:r>
      <w:r w:rsidR="00B94030" w:rsidRPr="003E284C">
        <w:rPr>
          <w:noProof/>
          <w:color w:val="auto"/>
        </w:rPr>
        <w:t>&amp;</w:t>
      </w:r>
      <w:r w:rsidRPr="003E284C">
        <w:rPr>
          <w:noProof/>
          <w:color w:val="auto"/>
        </w:rPr>
        <w:t xml:space="preserve"> Nevárez Rascón, M. (2020). </w:t>
      </w:r>
      <w:r w:rsidRPr="003E284C">
        <w:rPr>
          <w:noProof/>
          <w:color w:val="auto"/>
          <w:lang w:val="en-GB"/>
        </w:rPr>
        <w:t xml:space="preserve">Hyperuricemia syndrome : an integrated physiopathological perspective. </w:t>
      </w:r>
      <w:r w:rsidRPr="003E284C">
        <w:rPr>
          <w:i/>
          <w:iCs/>
          <w:noProof/>
          <w:color w:val="auto"/>
          <w:lang w:val="en-GB"/>
        </w:rPr>
        <w:t>MedPub Journals</w:t>
      </w:r>
      <w:r w:rsidRPr="003E284C">
        <w:rPr>
          <w:noProof/>
          <w:color w:val="auto"/>
          <w:lang w:val="en-GB"/>
        </w:rPr>
        <w:t xml:space="preserve">, </w:t>
      </w:r>
      <w:r w:rsidRPr="003E284C">
        <w:rPr>
          <w:i/>
          <w:iCs/>
          <w:noProof/>
          <w:color w:val="auto"/>
          <w:lang w:val="en-GB"/>
        </w:rPr>
        <w:t>16</w:t>
      </w:r>
      <w:r w:rsidRPr="003E284C">
        <w:rPr>
          <w:noProof/>
          <w:color w:val="auto"/>
          <w:lang w:val="en-GB"/>
        </w:rPr>
        <w:t>(2), 1-8.</w:t>
      </w:r>
      <w:r w:rsidRPr="003E284C">
        <w:rPr>
          <w:color w:val="auto"/>
          <w:lang w:val="en-GB"/>
        </w:rPr>
        <w:t xml:space="preserve"> </w:t>
      </w:r>
      <w:hyperlink r:id="rId31" w:history="1">
        <w:r w:rsidRPr="003E284C">
          <w:rPr>
            <w:rStyle w:val="Hipervnculo"/>
            <w:color w:val="auto"/>
            <w:lang w:val="en-GB"/>
          </w:rPr>
          <w:t>https://dialnet.unirioja.es/servlet/articulo?codigo=7467871</w:t>
        </w:r>
      </w:hyperlink>
      <w:r w:rsidRPr="003E284C">
        <w:rPr>
          <w:color w:val="auto"/>
          <w:lang w:val="en-GB"/>
        </w:rPr>
        <w:t xml:space="preserve"> </w:t>
      </w:r>
    </w:p>
    <w:p w14:paraId="159CCEF3" w14:textId="3D1A1AD8" w:rsidR="000E3EE2" w:rsidRPr="003E284C" w:rsidRDefault="000E3EE2" w:rsidP="000E3EE2">
      <w:pPr>
        <w:pStyle w:val="Normal1"/>
        <w:ind w:left="709" w:hanging="709"/>
        <w:rPr>
          <w:rStyle w:val="Hipervnculo"/>
          <w:noProof/>
          <w:color w:val="auto"/>
        </w:rPr>
      </w:pPr>
      <w:r w:rsidRPr="003E284C">
        <w:rPr>
          <w:noProof/>
          <w:color w:val="auto"/>
        </w:rPr>
        <w:t xml:space="preserve">Sánchez Cedillo, A., Cruz Santiago, J., Mariño Rojas, F., Hernández Estrada, S. </w:t>
      </w:r>
      <w:r w:rsidR="00B94030" w:rsidRPr="003E284C">
        <w:rPr>
          <w:noProof/>
          <w:color w:val="auto"/>
        </w:rPr>
        <w:t>&amp;</w:t>
      </w:r>
      <w:r w:rsidRPr="003E284C">
        <w:rPr>
          <w:noProof/>
          <w:color w:val="auto"/>
        </w:rPr>
        <w:t xml:space="preserve"> García Ramírez, C. (2020). Carga de la enfermedad: insuficiencia renal, diálisis-hemodiálisis </w:t>
      </w:r>
      <w:r w:rsidRPr="003E284C">
        <w:rPr>
          <w:noProof/>
          <w:color w:val="auto"/>
        </w:rPr>
        <w:lastRenderedPageBreak/>
        <w:t xml:space="preserve">y trasplante renal en México. Costo de la enfermedad. </w:t>
      </w:r>
      <w:r w:rsidRPr="003E284C">
        <w:rPr>
          <w:i/>
          <w:iCs/>
          <w:noProof/>
          <w:color w:val="auto"/>
        </w:rPr>
        <w:t>Revista Mexicana de Trasplantes</w:t>
      </w:r>
      <w:r w:rsidRPr="003E284C">
        <w:rPr>
          <w:noProof/>
          <w:color w:val="auto"/>
        </w:rPr>
        <w:t xml:space="preserve">, </w:t>
      </w:r>
      <w:r w:rsidRPr="003E284C">
        <w:rPr>
          <w:i/>
          <w:iCs/>
          <w:noProof/>
          <w:color w:val="auto"/>
        </w:rPr>
        <w:t>9</w:t>
      </w:r>
      <w:r w:rsidRPr="003E284C">
        <w:rPr>
          <w:noProof/>
          <w:color w:val="auto"/>
        </w:rPr>
        <w:t xml:space="preserve">(1),15–25. </w:t>
      </w:r>
      <w:hyperlink r:id="rId32" w:history="1">
        <w:r w:rsidRPr="003E284C">
          <w:rPr>
            <w:rStyle w:val="Hipervnculo"/>
            <w:noProof/>
            <w:color w:val="auto"/>
          </w:rPr>
          <w:t>https://doi.org/10.35366/94025</w:t>
        </w:r>
      </w:hyperlink>
    </w:p>
    <w:p w14:paraId="3BBBFA7F" w14:textId="571BB823" w:rsidR="000E3EE2" w:rsidRPr="003E284C" w:rsidRDefault="000E3EE2" w:rsidP="000E3EE2">
      <w:pPr>
        <w:pStyle w:val="Normal1"/>
        <w:ind w:left="709" w:hanging="709"/>
        <w:rPr>
          <w:noProof/>
          <w:color w:val="auto"/>
        </w:rPr>
      </w:pPr>
      <w:r w:rsidRPr="003E284C">
        <w:rPr>
          <w:noProof/>
          <w:color w:val="auto"/>
        </w:rPr>
        <w:t xml:space="preserve">Tomita, M., Mizuno, S. Yamanaka, H., Hosoda, Y., Sakuma, K., Matuoka, Y., Odaka, M., Yamaguchi, M., Yosida, H., Morisawa, H. </w:t>
      </w:r>
      <w:r w:rsidR="00B94030" w:rsidRPr="003E284C">
        <w:rPr>
          <w:noProof/>
          <w:color w:val="auto"/>
        </w:rPr>
        <w:t>&amp;</w:t>
      </w:r>
      <w:r w:rsidRPr="003E284C">
        <w:rPr>
          <w:noProof/>
          <w:color w:val="auto"/>
        </w:rPr>
        <w:t xml:space="preserve"> Murayama, T. (2000). </w:t>
      </w:r>
      <w:r w:rsidRPr="003E284C">
        <w:rPr>
          <w:noProof/>
          <w:color w:val="auto"/>
          <w:lang w:val="en-US"/>
        </w:rPr>
        <w:t xml:space="preserve">Does hiperuricemia affect mortality? A prospective cohort study of Japanese male workers. </w:t>
      </w:r>
      <w:r w:rsidRPr="003E284C">
        <w:rPr>
          <w:i/>
          <w:iCs/>
          <w:noProof/>
          <w:color w:val="auto"/>
        </w:rPr>
        <w:t>J Epidemiol</w:t>
      </w:r>
      <w:r w:rsidRPr="003E284C">
        <w:rPr>
          <w:noProof/>
          <w:color w:val="auto"/>
        </w:rPr>
        <w:t xml:space="preserve">, </w:t>
      </w:r>
      <w:r w:rsidRPr="003E284C">
        <w:rPr>
          <w:i/>
          <w:iCs/>
          <w:noProof/>
          <w:color w:val="auto"/>
        </w:rPr>
        <w:t>10</w:t>
      </w:r>
      <w:r w:rsidRPr="003E284C">
        <w:rPr>
          <w:noProof/>
          <w:color w:val="auto"/>
        </w:rPr>
        <w:t xml:space="preserve">, 403-409 </w:t>
      </w:r>
    </w:p>
    <w:p w14:paraId="3585B926" w14:textId="42F773BC" w:rsidR="000E3EE2" w:rsidRPr="003E284C" w:rsidRDefault="00000000" w:rsidP="000E3EE2">
      <w:pPr>
        <w:pStyle w:val="Normal1"/>
        <w:ind w:left="709" w:hanging="709"/>
        <w:rPr>
          <w:rStyle w:val="Hipervnculo"/>
          <w:rFonts w:eastAsia="Arial"/>
          <w:color w:val="auto"/>
        </w:rPr>
      </w:pPr>
      <w:hyperlink r:id="rId33" w:tgtFrame="_blank" w:history="1">
        <w:r w:rsidR="000E3EE2" w:rsidRPr="003E284C">
          <w:rPr>
            <w:rStyle w:val="Hipervnculo"/>
            <w:color w:val="auto"/>
            <w:u w:val="none"/>
          </w:rPr>
          <w:t>Vergara</w:t>
        </w:r>
      </w:hyperlink>
      <w:r w:rsidR="000E3EE2" w:rsidRPr="003E284C">
        <w:rPr>
          <w:rStyle w:val="Hipervnculo"/>
          <w:rFonts w:eastAsia="Arial"/>
          <w:color w:val="auto"/>
          <w:u w:val="none"/>
        </w:rPr>
        <w:t>,</w:t>
      </w:r>
      <w:r w:rsidR="000E3EE2" w:rsidRPr="003E284C">
        <w:rPr>
          <w:color w:val="auto"/>
        </w:rPr>
        <w:t xml:space="preserve"> A., </w:t>
      </w:r>
      <w:hyperlink r:id="rId34" w:tgtFrame="_blank" w:history="1">
        <w:r w:rsidR="000E3EE2" w:rsidRPr="003E284C">
          <w:rPr>
            <w:rStyle w:val="Hipervnculo"/>
            <w:color w:val="auto"/>
            <w:u w:val="none"/>
          </w:rPr>
          <w:t>Martínez Castelao</w:t>
        </w:r>
      </w:hyperlink>
      <w:r w:rsidR="000E3EE2" w:rsidRPr="003E284C">
        <w:rPr>
          <w:rStyle w:val="Hipervnculo"/>
          <w:rFonts w:eastAsia="Arial"/>
          <w:color w:val="auto"/>
          <w:u w:val="none"/>
        </w:rPr>
        <w:t>,</w:t>
      </w:r>
      <w:r w:rsidR="000E3EE2" w:rsidRPr="003E284C">
        <w:rPr>
          <w:color w:val="auto"/>
        </w:rPr>
        <w:t xml:space="preserve"> A.,</w:t>
      </w:r>
      <w:hyperlink r:id="rId35" w:tgtFrame="_blank" w:history="1">
        <w:r w:rsidR="000E3EE2" w:rsidRPr="003E284C">
          <w:rPr>
            <w:rStyle w:val="Hipervnculo"/>
            <w:color w:val="auto"/>
            <w:u w:val="none"/>
          </w:rPr>
          <w:t xml:space="preserve"> Gorriz Teruel</w:t>
        </w:r>
      </w:hyperlink>
      <w:r w:rsidR="000E3EE2" w:rsidRPr="003E284C">
        <w:rPr>
          <w:rStyle w:val="Hipervnculo"/>
          <w:rFonts w:eastAsia="Arial"/>
          <w:color w:val="auto"/>
          <w:u w:val="none"/>
        </w:rPr>
        <w:t>,</w:t>
      </w:r>
      <w:r w:rsidR="000E3EE2" w:rsidRPr="003E284C">
        <w:rPr>
          <w:color w:val="auto"/>
        </w:rPr>
        <w:t xml:space="preserve"> J. L., </w:t>
      </w:r>
      <w:hyperlink r:id="rId36" w:tgtFrame="_blank" w:history="1">
        <w:r w:rsidR="000E3EE2" w:rsidRPr="003E284C">
          <w:rPr>
            <w:rStyle w:val="Hipervnculo"/>
            <w:color w:val="auto"/>
            <w:u w:val="none"/>
          </w:rPr>
          <w:t xml:space="preserve"> Álvaro Moreno</w:t>
        </w:r>
      </w:hyperlink>
      <w:r w:rsidR="000E3EE2" w:rsidRPr="003E284C">
        <w:rPr>
          <w:rStyle w:val="Hipervnculo"/>
          <w:rFonts w:eastAsia="Arial"/>
          <w:color w:val="auto"/>
          <w:u w:val="none"/>
        </w:rPr>
        <w:t>,</w:t>
      </w:r>
      <w:r w:rsidR="000E3EE2" w:rsidRPr="003E284C">
        <w:rPr>
          <w:color w:val="auto"/>
        </w:rPr>
        <w:t xml:space="preserve"> F., </w:t>
      </w:r>
      <w:hyperlink r:id="rId37" w:tgtFrame="_blank" w:history="1">
        <w:r w:rsidR="000E3EE2" w:rsidRPr="003E284C">
          <w:rPr>
            <w:rStyle w:val="Hipervnculo"/>
            <w:color w:val="auto"/>
            <w:u w:val="none"/>
          </w:rPr>
          <w:t>Navarro González</w:t>
        </w:r>
      </w:hyperlink>
      <w:r w:rsidR="000E3EE2" w:rsidRPr="003E284C">
        <w:rPr>
          <w:rStyle w:val="Hipervnculo"/>
          <w:rFonts w:eastAsia="Arial"/>
          <w:color w:val="auto"/>
          <w:u w:val="none"/>
        </w:rPr>
        <w:t>,</w:t>
      </w:r>
      <w:r w:rsidR="000E3EE2" w:rsidRPr="003E284C">
        <w:rPr>
          <w:color w:val="auto"/>
        </w:rPr>
        <w:t xml:space="preserve"> J. </w:t>
      </w:r>
      <w:r w:rsidR="00B94030" w:rsidRPr="003E284C">
        <w:rPr>
          <w:color w:val="auto"/>
        </w:rPr>
        <w:t>&amp;</w:t>
      </w:r>
      <w:hyperlink r:id="rId38" w:tgtFrame="_blank" w:history="1">
        <w:r w:rsidR="000E3EE2" w:rsidRPr="003E284C">
          <w:rPr>
            <w:rStyle w:val="Hipervnculo"/>
            <w:color w:val="auto"/>
            <w:u w:val="none"/>
          </w:rPr>
          <w:t xml:space="preserve"> Soler Romeo</w:t>
        </w:r>
      </w:hyperlink>
      <w:r w:rsidR="000E3EE2" w:rsidRPr="003E284C">
        <w:rPr>
          <w:rStyle w:val="Hipervnculo"/>
          <w:rFonts w:eastAsia="Arial"/>
          <w:color w:val="auto"/>
          <w:u w:val="none"/>
        </w:rPr>
        <w:t>,</w:t>
      </w:r>
      <w:r w:rsidR="000E3EE2" w:rsidRPr="003E284C">
        <w:rPr>
          <w:color w:val="auto"/>
        </w:rPr>
        <w:t xml:space="preserve"> M. (2020). </w:t>
      </w:r>
      <w:r w:rsidR="000E3EE2" w:rsidRPr="003E284C">
        <w:rPr>
          <w:noProof/>
          <w:color w:val="auto"/>
        </w:rPr>
        <w:t xml:space="preserve">Enfermedad diabética renal: albuminuria y progresión. </w:t>
      </w:r>
      <w:r w:rsidR="000E3EE2" w:rsidRPr="003E284C">
        <w:rPr>
          <w:i/>
          <w:iCs/>
          <w:noProof/>
          <w:color w:val="auto"/>
        </w:rPr>
        <w:t>Revista Nefrología al Día</w:t>
      </w:r>
      <w:r w:rsidR="000E3EE2" w:rsidRPr="003E284C">
        <w:rPr>
          <w:noProof/>
          <w:color w:val="auto"/>
        </w:rPr>
        <w:t xml:space="preserve">, 1-4. </w:t>
      </w:r>
    </w:p>
    <w:p w14:paraId="661CA691" w14:textId="77777777" w:rsidR="000E3EE2" w:rsidRPr="003E284C" w:rsidRDefault="000E3EE2" w:rsidP="000E3EE2">
      <w:pPr>
        <w:pStyle w:val="Normal1"/>
        <w:ind w:left="709" w:hanging="709"/>
        <w:rPr>
          <w:noProof/>
          <w:color w:val="auto"/>
        </w:rPr>
      </w:pPr>
    </w:p>
    <w:bookmarkEnd w:id="13"/>
    <w:p w14:paraId="14A6EBBB" w14:textId="77777777" w:rsidR="000E3EE2" w:rsidRDefault="000E3EE2" w:rsidP="002A7BBB">
      <w:pPr>
        <w:widowControl w:val="0"/>
        <w:autoSpaceDE w:val="0"/>
        <w:autoSpaceDN w:val="0"/>
        <w:adjustRightInd w:val="0"/>
        <w:spacing w:line="360" w:lineRule="auto"/>
        <w:ind w:left="640" w:hanging="640"/>
        <w:jc w:val="center"/>
        <w:rPr>
          <w:rStyle w:val="Hipervnculo"/>
          <w:rFonts w:ascii="Times New Roman" w:hAnsi="Times New Roman" w:cs="Times New Roman"/>
          <w:b/>
          <w:bCs/>
          <w:color w:val="auto"/>
          <w:sz w:val="32"/>
          <w:szCs w:val="32"/>
          <w:u w:val="none"/>
          <w:lang w:val="es-ES"/>
        </w:rPr>
      </w:pPr>
    </w:p>
    <w:p w14:paraId="10A7F0B1" w14:textId="77777777" w:rsidR="003A700C" w:rsidRDefault="003A700C" w:rsidP="002A7BBB">
      <w:pPr>
        <w:widowControl w:val="0"/>
        <w:autoSpaceDE w:val="0"/>
        <w:autoSpaceDN w:val="0"/>
        <w:adjustRightInd w:val="0"/>
        <w:spacing w:line="360" w:lineRule="auto"/>
        <w:ind w:left="640" w:hanging="640"/>
        <w:jc w:val="center"/>
        <w:rPr>
          <w:rStyle w:val="Hipervnculo"/>
          <w:rFonts w:ascii="Times New Roman" w:hAnsi="Times New Roman" w:cs="Times New Roman"/>
          <w:b/>
          <w:bCs/>
          <w:color w:val="auto"/>
          <w:sz w:val="32"/>
          <w:szCs w:val="32"/>
          <w:u w:val="none"/>
          <w:lang w:val="es-ES"/>
        </w:rPr>
      </w:pPr>
    </w:p>
    <w:p w14:paraId="6A229204" w14:textId="77777777" w:rsidR="003A700C" w:rsidRDefault="003A700C" w:rsidP="002A7BBB">
      <w:pPr>
        <w:widowControl w:val="0"/>
        <w:autoSpaceDE w:val="0"/>
        <w:autoSpaceDN w:val="0"/>
        <w:adjustRightInd w:val="0"/>
        <w:spacing w:line="360" w:lineRule="auto"/>
        <w:ind w:left="640" w:hanging="640"/>
        <w:jc w:val="center"/>
        <w:rPr>
          <w:rStyle w:val="Hipervnculo"/>
          <w:rFonts w:ascii="Times New Roman" w:hAnsi="Times New Roman" w:cs="Times New Roman"/>
          <w:b/>
          <w:bCs/>
          <w:color w:val="auto"/>
          <w:sz w:val="32"/>
          <w:szCs w:val="32"/>
          <w:u w:val="none"/>
          <w:lang w:val="es-ES"/>
        </w:rPr>
      </w:pPr>
    </w:p>
    <w:p w14:paraId="39E6D64B" w14:textId="77777777" w:rsidR="003A700C" w:rsidRDefault="003A700C" w:rsidP="002A7BBB">
      <w:pPr>
        <w:widowControl w:val="0"/>
        <w:autoSpaceDE w:val="0"/>
        <w:autoSpaceDN w:val="0"/>
        <w:adjustRightInd w:val="0"/>
        <w:spacing w:line="360" w:lineRule="auto"/>
        <w:ind w:left="640" w:hanging="640"/>
        <w:jc w:val="center"/>
        <w:rPr>
          <w:rStyle w:val="Hipervnculo"/>
          <w:rFonts w:ascii="Times New Roman" w:hAnsi="Times New Roman" w:cs="Times New Roman"/>
          <w:b/>
          <w:bCs/>
          <w:color w:val="auto"/>
          <w:sz w:val="32"/>
          <w:szCs w:val="32"/>
          <w:u w:val="none"/>
          <w:lang w:val="es-ES"/>
        </w:rPr>
      </w:pPr>
    </w:p>
    <w:p w14:paraId="12CCBACA" w14:textId="77777777" w:rsidR="003A700C" w:rsidRDefault="003A700C" w:rsidP="002A7BBB">
      <w:pPr>
        <w:widowControl w:val="0"/>
        <w:autoSpaceDE w:val="0"/>
        <w:autoSpaceDN w:val="0"/>
        <w:adjustRightInd w:val="0"/>
        <w:spacing w:line="360" w:lineRule="auto"/>
        <w:ind w:left="640" w:hanging="640"/>
        <w:jc w:val="center"/>
        <w:rPr>
          <w:rStyle w:val="Hipervnculo"/>
          <w:rFonts w:ascii="Times New Roman" w:hAnsi="Times New Roman" w:cs="Times New Roman"/>
          <w:b/>
          <w:bCs/>
          <w:color w:val="auto"/>
          <w:sz w:val="32"/>
          <w:szCs w:val="32"/>
          <w:u w:val="none"/>
          <w:lang w:val="es-ES"/>
        </w:rPr>
      </w:pPr>
    </w:p>
    <w:p w14:paraId="0750FB1E" w14:textId="77777777" w:rsidR="003A700C" w:rsidRDefault="003A700C" w:rsidP="002A7BBB">
      <w:pPr>
        <w:widowControl w:val="0"/>
        <w:autoSpaceDE w:val="0"/>
        <w:autoSpaceDN w:val="0"/>
        <w:adjustRightInd w:val="0"/>
        <w:spacing w:line="360" w:lineRule="auto"/>
        <w:ind w:left="640" w:hanging="640"/>
        <w:jc w:val="center"/>
        <w:rPr>
          <w:rStyle w:val="Hipervnculo"/>
          <w:rFonts w:ascii="Times New Roman" w:hAnsi="Times New Roman" w:cs="Times New Roman"/>
          <w:b/>
          <w:bCs/>
          <w:color w:val="auto"/>
          <w:sz w:val="32"/>
          <w:szCs w:val="32"/>
          <w:u w:val="none"/>
          <w:lang w:val="es-ES"/>
        </w:rPr>
      </w:pPr>
    </w:p>
    <w:p w14:paraId="49F83991" w14:textId="77777777" w:rsidR="003A700C" w:rsidRDefault="003A700C" w:rsidP="002A7BBB">
      <w:pPr>
        <w:widowControl w:val="0"/>
        <w:autoSpaceDE w:val="0"/>
        <w:autoSpaceDN w:val="0"/>
        <w:adjustRightInd w:val="0"/>
        <w:spacing w:line="360" w:lineRule="auto"/>
        <w:ind w:left="640" w:hanging="640"/>
        <w:jc w:val="center"/>
        <w:rPr>
          <w:rStyle w:val="Hipervnculo"/>
          <w:rFonts w:ascii="Times New Roman" w:hAnsi="Times New Roman" w:cs="Times New Roman"/>
          <w:b/>
          <w:bCs/>
          <w:color w:val="auto"/>
          <w:sz w:val="32"/>
          <w:szCs w:val="32"/>
          <w:u w:val="none"/>
          <w:lang w:val="es-ES"/>
        </w:rPr>
      </w:pPr>
    </w:p>
    <w:p w14:paraId="739CB5E7" w14:textId="77777777" w:rsidR="003A700C" w:rsidRDefault="003A700C" w:rsidP="002A7BBB">
      <w:pPr>
        <w:widowControl w:val="0"/>
        <w:autoSpaceDE w:val="0"/>
        <w:autoSpaceDN w:val="0"/>
        <w:adjustRightInd w:val="0"/>
        <w:spacing w:line="360" w:lineRule="auto"/>
        <w:ind w:left="640" w:hanging="640"/>
        <w:jc w:val="center"/>
        <w:rPr>
          <w:rStyle w:val="Hipervnculo"/>
          <w:rFonts w:ascii="Times New Roman" w:hAnsi="Times New Roman" w:cs="Times New Roman"/>
          <w:b/>
          <w:bCs/>
          <w:color w:val="auto"/>
          <w:sz w:val="32"/>
          <w:szCs w:val="32"/>
          <w:u w:val="none"/>
          <w:lang w:val="es-ES"/>
        </w:rPr>
      </w:pPr>
    </w:p>
    <w:p w14:paraId="0B9A66C2" w14:textId="77777777" w:rsidR="003A700C" w:rsidRDefault="003A700C" w:rsidP="002A7BBB">
      <w:pPr>
        <w:widowControl w:val="0"/>
        <w:autoSpaceDE w:val="0"/>
        <w:autoSpaceDN w:val="0"/>
        <w:adjustRightInd w:val="0"/>
        <w:spacing w:line="360" w:lineRule="auto"/>
        <w:ind w:left="640" w:hanging="640"/>
        <w:jc w:val="center"/>
        <w:rPr>
          <w:rStyle w:val="Hipervnculo"/>
          <w:rFonts w:ascii="Times New Roman" w:hAnsi="Times New Roman" w:cs="Times New Roman"/>
          <w:b/>
          <w:bCs/>
          <w:color w:val="auto"/>
          <w:sz w:val="32"/>
          <w:szCs w:val="32"/>
          <w:u w:val="none"/>
          <w:lang w:val="es-ES"/>
        </w:rPr>
      </w:pPr>
    </w:p>
    <w:p w14:paraId="621552F0" w14:textId="77777777" w:rsidR="003A700C" w:rsidRDefault="003A700C" w:rsidP="002A7BBB">
      <w:pPr>
        <w:widowControl w:val="0"/>
        <w:autoSpaceDE w:val="0"/>
        <w:autoSpaceDN w:val="0"/>
        <w:adjustRightInd w:val="0"/>
        <w:spacing w:line="360" w:lineRule="auto"/>
        <w:ind w:left="640" w:hanging="640"/>
        <w:jc w:val="center"/>
        <w:rPr>
          <w:rStyle w:val="Hipervnculo"/>
          <w:rFonts w:ascii="Times New Roman" w:hAnsi="Times New Roman" w:cs="Times New Roman"/>
          <w:b/>
          <w:bCs/>
          <w:color w:val="auto"/>
          <w:sz w:val="32"/>
          <w:szCs w:val="32"/>
          <w:u w:val="none"/>
          <w:lang w:val="es-ES"/>
        </w:rPr>
      </w:pPr>
    </w:p>
    <w:p w14:paraId="2B6A3272" w14:textId="77777777" w:rsidR="003A700C" w:rsidRDefault="003A700C" w:rsidP="002A7BBB">
      <w:pPr>
        <w:widowControl w:val="0"/>
        <w:autoSpaceDE w:val="0"/>
        <w:autoSpaceDN w:val="0"/>
        <w:adjustRightInd w:val="0"/>
        <w:spacing w:line="360" w:lineRule="auto"/>
        <w:ind w:left="640" w:hanging="640"/>
        <w:jc w:val="center"/>
        <w:rPr>
          <w:rStyle w:val="Hipervnculo"/>
          <w:rFonts w:ascii="Times New Roman" w:hAnsi="Times New Roman" w:cs="Times New Roman"/>
          <w:b/>
          <w:bCs/>
          <w:color w:val="auto"/>
          <w:sz w:val="32"/>
          <w:szCs w:val="32"/>
          <w:u w:val="none"/>
          <w:lang w:val="es-ES"/>
        </w:rPr>
      </w:pPr>
    </w:p>
    <w:p w14:paraId="304E94B6" w14:textId="77777777" w:rsidR="003A700C" w:rsidRDefault="003A700C" w:rsidP="002A7BBB">
      <w:pPr>
        <w:widowControl w:val="0"/>
        <w:autoSpaceDE w:val="0"/>
        <w:autoSpaceDN w:val="0"/>
        <w:adjustRightInd w:val="0"/>
        <w:spacing w:line="360" w:lineRule="auto"/>
        <w:ind w:left="640" w:hanging="640"/>
        <w:jc w:val="center"/>
        <w:rPr>
          <w:rStyle w:val="Hipervnculo"/>
          <w:rFonts w:ascii="Times New Roman" w:hAnsi="Times New Roman" w:cs="Times New Roman"/>
          <w:b/>
          <w:bCs/>
          <w:color w:val="auto"/>
          <w:sz w:val="32"/>
          <w:szCs w:val="32"/>
          <w:u w:val="none"/>
          <w:lang w:val="es-ES"/>
        </w:rPr>
      </w:pPr>
    </w:p>
    <w:p w14:paraId="4835B81E" w14:textId="77777777" w:rsidR="003A700C" w:rsidRDefault="003A700C" w:rsidP="002A7BBB">
      <w:pPr>
        <w:widowControl w:val="0"/>
        <w:autoSpaceDE w:val="0"/>
        <w:autoSpaceDN w:val="0"/>
        <w:adjustRightInd w:val="0"/>
        <w:spacing w:line="360" w:lineRule="auto"/>
        <w:ind w:left="640" w:hanging="640"/>
        <w:jc w:val="center"/>
        <w:rPr>
          <w:rStyle w:val="Hipervnculo"/>
          <w:rFonts w:ascii="Times New Roman" w:hAnsi="Times New Roman" w:cs="Times New Roman"/>
          <w:b/>
          <w:bCs/>
          <w:color w:val="auto"/>
          <w:sz w:val="32"/>
          <w:szCs w:val="32"/>
          <w:u w:val="none"/>
          <w:lang w:val="es-ES"/>
        </w:rPr>
      </w:pPr>
    </w:p>
    <w:p w14:paraId="2837E110" w14:textId="77777777" w:rsidR="003A700C" w:rsidRDefault="003A700C" w:rsidP="002A7BBB">
      <w:pPr>
        <w:widowControl w:val="0"/>
        <w:autoSpaceDE w:val="0"/>
        <w:autoSpaceDN w:val="0"/>
        <w:adjustRightInd w:val="0"/>
        <w:spacing w:line="360" w:lineRule="auto"/>
        <w:ind w:left="640" w:hanging="640"/>
        <w:jc w:val="center"/>
        <w:rPr>
          <w:rStyle w:val="Hipervnculo"/>
          <w:rFonts w:ascii="Times New Roman" w:hAnsi="Times New Roman" w:cs="Times New Roman"/>
          <w:b/>
          <w:bCs/>
          <w:color w:val="auto"/>
          <w:sz w:val="32"/>
          <w:szCs w:val="32"/>
          <w:u w:val="none"/>
          <w:lang w:val="es-E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A700C" w:rsidRPr="003A700C" w14:paraId="0598D16B" w14:textId="77777777" w:rsidTr="003A700C">
        <w:trPr>
          <w:jc w:val="center"/>
        </w:trPr>
        <w:tc>
          <w:tcPr>
            <w:tcW w:w="3045" w:type="dxa"/>
            <w:shd w:val="clear" w:color="auto" w:fill="auto"/>
            <w:tcMar>
              <w:top w:w="100" w:type="dxa"/>
              <w:left w:w="100" w:type="dxa"/>
              <w:bottom w:w="100" w:type="dxa"/>
              <w:right w:w="100" w:type="dxa"/>
            </w:tcMar>
          </w:tcPr>
          <w:p w14:paraId="4585AA03" w14:textId="77777777" w:rsidR="003A700C" w:rsidRPr="003A700C" w:rsidRDefault="003A700C" w:rsidP="00590DFA">
            <w:pPr>
              <w:pStyle w:val="Ttulo3"/>
              <w:widowControl w:val="0"/>
              <w:spacing w:before="0" w:line="240" w:lineRule="auto"/>
              <w:rPr>
                <w:rFonts w:ascii="Times New Roman" w:hAnsi="Times New Roman" w:cs="Times New Roman"/>
                <w:color w:val="auto"/>
              </w:rPr>
            </w:pPr>
            <w:r w:rsidRPr="003A700C">
              <w:rPr>
                <w:rFonts w:ascii="Times New Roman" w:hAnsi="Times New Roman" w:cs="Times New Roman"/>
                <w:color w:val="auto"/>
              </w:rPr>
              <w:lastRenderedPageBreak/>
              <w:t>Rol de Contribución</w:t>
            </w:r>
          </w:p>
        </w:tc>
        <w:tc>
          <w:tcPr>
            <w:tcW w:w="6315" w:type="dxa"/>
            <w:shd w:val="clear" w:color="auto" w:fill="auto"/>
            <w:tcMar>
              <w:top w:w="100" w:type="dxa"/>
              <w:left w:w="100" w:type="dxa"/>
              <w:bottom w:w="100" w:type="dxa"/>
              <w:right w:w="100" w:type="dxa"/>
            </w:tcMar>
          </w:tcPr>
          <w:p w14:paraId="33D821E3" w14:textId="77777777" w:rsidR="003A700C" w:rsidRPr="003A700C" w:rsidRDefault="003A700C" w:rsidP="00590DFA">
            <w:pPr>
              <w:pStyle w:val="Ttulo3"/>
              <w:widowControl w:val="0"/>
              <w:spacing w:before="0" w:line="240" w:lineRule="auto"/>
              <w:rPr>
                <w:rFonts w:ascii="Times New Roman" w:hAnsi="Times New Roman" w:cs="Times New Roman"/>
                <w:color w:val="auto"/>
              </w:rPr>
            </w:pPr>
            <w:bookmarkStart w:id="17" w:name="_btsjgdfgjwkr" w:colFirst="0" w:colLast="0"/>
            <w:bookmarkEnd w:id="17"/>
            <w:r w:rsidRPr="003A700C">
              <w:rPr>
                <w:rFonts w:ascii="Times New Roman" w:hAnsi="Times New Roman" w:cs="Times New Roman"/>
                <w:color w:val="auto"/>
              </w:rPr>
              <w:t>Autor (es)</w:t>
            </w:r>
          </w:p>
        </w:tc>
      </w:tr>
      <w:tr w:rsidR="003A700C" w:rsidRPr="003A700C" w14:paraId="136F195D" w14:textId="77777777" w:rsidTr="003A700C">
        <w:trPr>
          <w:jc w:val="center"/>
        </w:trPr>
        <w:tc>
          <w:tcPr>
            <w:tcW w:w="3045" w:type="dxa"/>
            <w:shd w:val="clear" w:color="auto" w:fill="auto"/>
            <w:tcMar>
              <w:top w:w="100" w:type="dxa"/>
              <w:left w:w="100" w:type="dxa"/>
              <w:bottom w:w="100" w:type="dxa"/>
              <w:right w:w="100" w:type="dxa"/>
            </w:tcMar>
          </w:tcPr>
          <w:p w14:paraId="52A6A214" w14:textId="77777777" w:rsidR="003A700C" w:rsidRPr="003A700C" w:rsidRDefault="003A700C" w:rsidP="003A700C">
            <w:pPr>
              <w:widowControl w:val="0"/>
              <w:spacing w:after="0" w:line="240" w:lineRule="auto"/>
              <w:rPr>
                <w:rFonts w:ascii="Times New Roman" w:hAnsi="Times New Roman" w:cs="Times New Roman"/>
                <w:sz w:val="24"/>
                <w:szCs w:val="24"/>
              </w:rPr>
            </w:pPr>
            <w:r w:rsidRPr="003A700C">
              <w:rPr>
                <w:rFonts w:ascii="Times New Roman" w:hAnsi="Times New Roman" w:cs="Times New Roman"/>
                <w:sz w:val="24"/>
                <w:szCs w:val="24"/>
              </w:rPr>
              <w:t>Conceptualización</w:t>
            </w:r>
          </w:p>
        </w:tc>
        <w:tc>
          <w:tcPr>
            <w:tcW w:w="6315" w:type="dxa"/>
            <w:shd w:val="clear" w:color="auto" w:fill="auto"/>
            <w:tcMar>
              <w:top w:w="100" w:type="dxa"/>
              <w:left w:w="100" w:type="dxa"/>
              <w:bottom w:w="100" w:type="dxa"/>
              <w:right w:w="100" w:type="dxa"/>
            </w:tcMar>
          </w:tcPr>
          <w:p w14:paraId="5DA4B98C" w14:textId="77777777" w:rsidR="003A700C" w:rsidRPr="003A700C" w:rsidRDefault="003A700C" w:rsidP="003A700C">
            <w:pPr>
              <w:widowControl w:val="0"/>
              <w:spacing w:after="0" w:line="240" w:lineRule="auto"/>
              <w:rPr>
                <w:rFonts w:ascii="Times New Roman" w:hAnsi="Times New Roman" w:cs="Times New Roman"/>
                <w:sz w:val="24"/>
                <w:szCs w:val="24"/>
              </w:rPr>
            </w:pPr>
            <w:r w:rsidRPr="003A700C">
              <w:rPr>
                <w:rFonts w:ascii="Times New Roman" w:hAnsi="Times New Roman" w:cs="Times New Roman"/>
                <w:sz w:val="24"/>
                <w:szCs w:val="24"/>
              </w:rPr>
              <w:t xml:space="preserve">Rebeca Sotelo Aldama (principal), Rafaela Villanueva Ramos (igual), Sandra Quintana Ponce (igual), Rocío Guadalupe Hernández Nava (que apoya) y Nicolas Rogelio Eric </w:t>
            </w:r>
            <w:proofErr w:type="spellStart"/>
            <w:r w:rsidRPr="003A700C">
              <w:rPr>
                <w:rFonts w:ascii="Times New Roman" w:hAnsi="Times New Roman" w:cs="Times New Roman"/>
                <w:sz w:val="24"/>
                <w:szCs w:val="24"/>
              </w:rPr>
              <w:t>Barlandas</w:t>
            </w:r>
            <w:proofErr w:type="spellEnd"/>
            <w:r w:rsidRPr="003A700C">
              <w:rPr>
                <w:rFonts w:ascii="Times New Roman" w:hAnsi="Times New Roman" w:cs="Times New Roman"/>
                <w:sz w:val="24"/>
                <w:szCs w:val="24"/>
              </w:rPr>
              <w:t xml:space="preserve"> Rendón (que apoya).</w:t>
            </w:r>
          </w:p>
        </w:tc>
      </w:tr>
      <w:tr w:rsidR="003A700C" w:rsidRPr="003A700C" w14:paraId="0AC2BE7A" w14:textId="77777777" w:rsidTr="003A700C">
        <w:trPr>
          <w:jc w:val="center"/>
        </w:trPr>
        <w:tc>
          <w:tcPr>
            <w:tcW w:w="3045" w:type="dxa"/>
            <w:shd w:val="clear" w:color="auto" w:fill="auto"/>
            <w:tcMar>
              <w:top w:w="100" w:type="dxa"/>
              <w:left w:w="100" w:type="dxa"/>
              <w:bottom w:w="100" w:type="dxa"/>
              <w:right w:w="100" w:type="dxa"/>
            </w:tcMar>
          </w:tcPr>
          <w:p w14:paraId="282CAEAC" w14:textId="77777777" w:rsidR="003A700C" w:rsidRPr="003A700C" w:rsidRDefault="003A700C" w:rsidP="003A700C">
            <w:pPr>
              <w:widowControl w:val="0"/>
              <w:spacing w:after="0" w:line="240" w:lineRule="auto"/>
              <w:rPr>
                <w:rFonts w:ascii="Times New Roman" w:hAnsi="Times New Roman" w:cs="Times New Roman"/>
                <w:sz w:val="24"/>
                <w:szCs w:val="24"/>
              </w:rPr>
            </w:pPr>
            <w:r w:rsidRPr="003A700C">
              <w:rPr>
                <w:rFonts w:ascii="Times New Roman" w:hAnsi="Times New Roman" w:cs="Times New Roman"/>
                <w:sz w:val="24"/>
                <w:szCs w:val="24"/>
              </w:rPr>
              <w:t>Metodología</w:t>
            </w:r>
          </w:p>
        </w:tc>
        <w:tc>
          <w:tcPr>
            <w:tcW w:w="6315" w:type="dxa"/>
            <w:shd w:val="clear" w:color="auto" w:fill="auto"/>
            <w:tcMar>
              <w:top w:w="100" w:type="dxa"/>
              <w:left w:w="100" w:type="dxa"/>
              <w:bottom w:w="100" w:type="dxa"/>
              <w:right w:w="100" w:type="dxa"/>
            </w:tcMar>
          </w:tcPr>
          <w:p w14:paraId="5535C490" w14:textId="77777777" w:rsidR="003A700C" w:rsidRPr="003A700C" w:rsidRDefault="003A700C" w:rsidP="003A700C">
            <w:pPr>
              <w:widowControl w:val="0"/>
              <w:spacing w:after="0" w:line="240" w:lineRule="auto"/>
              <w:rPr>
                <w:rFonts w:ascii="Times New Roman" w:hAnsi="Times New Roman" w:cs="Times New Roman"/>
                <w:sz w:val="24"/>
                <w:szCs w:val="24"/>
              </w:rPr>
            </w:pPr>
            <w:r w:rsidRPr="003A700C">
              <w:rPr>
                <w:rFonts w:ascii="Times New Roman" w:hAnsi="Times New Roman" w:cs="Times New Roman"/>
                <w:sz w:val="24"/>
                <w:szCs w:val="24"/>
              </w:rPr>
              <w:t xml:space="preserve">Sandra Quintana Ponce (principal), Rocío </w:t>
            </w:r>
            <w:proofErr w:type="spellStart"/>
            <w:r w:rsidRPr="003A700C">
              <w:rPr>
                <w:rFonts w:ascii="Times New Roman" w:hAnsi="Times New Roman" w:cs="Times New Roman"/>
                <w:sz w:val="24"/>
                <w:szCs w:val="24"/>
              </w:rPr>
              <w:t>Guadalpe</w:t>
            </w:r>
            <w:proofErr w:type="spellEnd"/>
            <w:r w:rsidRPr="003A700C">
              <w:rPr>
                <w:rFonts w:ascii="Times New Roman" w:hAnsi="Times New Roman" w:cs="Times New Roman"/>
                <w:sz w:val="24"/>
                <w:szCs w:val="24"/>
              </w:rPr>
              <w:t xml:space="preserve"> Hernández Nava (que apoya) y Nicolas Rogelio Eric </w:t>
            </w:r>
            <w:proofErr w:type="spellStart"/>
            <w:r w:rsidRPr="003A700C">
              <w:rPr>
                <w:rFonts w:ascii="Times New Roman" w:hAnsi="Times New Roman" w:cs="Times New Roman"/>
                <w:sz w:val="24"/>
                <w:szCs w:val="24"/>
              </w:rPr>
              <w:t>Barlandas</w:t>
            </w:r>
            <w:proofErr w:type="spellEnd"/>
            <w:r w:rsidRPr="003A700C">
              <w:rPr>
                <w:rFonts w:ascii="Times New Roman" w:hAnsi="Times New Roman" w:cs="Times New Roman"/>
                <w:sz w:val="24"/>
                <w:szCs w:val="24"/>
              </w:rPr>
              <w:t xml:space="preserve"> Rendón (que apoya), Rebeca Sotelo Aldama (que apoya), Rafaela Villanueva Ramos (que apoya).</w:t>
            </w:r>
          </w:p>
        </w:tc>
      </w:tr>
      <w:tr w:rsidR="003A700C" w:rsidRPr="003A700C" w14:paraId="737C4B14" w14:textId="77777777" w:rsidTr="003A700C">
        <w:trPr>
          <w:jc w:val="center"/>
        </w:trPr>
        <w:tc>
          <w:tcPr>
            <w:tcW w:w="3045" w:type="dxa"/>
            <w:shd w:val="clear" w:color="auto" w:fill="auto"/>
            <w:tcMar>
              <w:top w:w="100" w:type="dxa"/>
              <w:left w:w="100" w:type="dxa"/>
              <w:bottom w:w="100" w:type="dxa"/>
              <w:right w:w="100" w:type="dxa"/>
            </w:tcMar>
          </w:tcPr>
          <w:p w14:paraId="6C1212F4" w14:textId="77777777" w:rsidR="003A700C" w:rsidRPr="003A700C" w:rsidRDefault="003A700C" w:rsidP="003A700C">
            <w:pPr>
              <w:widowControl w:val="0"/>
              <w:spacing w:after="0" w:line="240" w:lineRule="auto"/>
              <w:rPr>
                <w:rFonts w:ascii="Times New Roman" w:hAnsi="Times New Roman" w:cs="Times New Roman"/>
                <w:sz w:val="24"/>
                <w:szCs w:val="24"/>
              </w:rPr>
            </w:pPr>
            <w:r w:rsidRPr="003A700C">
              <w:rPr>
                <w:rFonts w:ascii="Times New Roman" w:hAnsi="Times New Roman" w:cs="Times New Roman"/>
                <w:sz w:val="24"/>
                <w:szCs w:val="24"/>
              </w:rPr>
              <w:t>Software</w:t>
            </w:r>
          </w:p>
        </w:tc>
        <w:tc>
          <w:tcPr>
            <w:tcW w:w="6315" w:type="dxa"/>
            <w:shd w:val="clear" w:color="auto" w:fill="auto"/>
            <w:tcMar>
              <w:top w:w="100" w:type="dxa"/>
              <w:left w:w="100" w:type="dxa"/>
              <w:bottom w:w="100" w:type="dxa"/>
              <w:right w:w="100" w:type="dxa"/>
            </w:tcMar>
          </w:tcPr>
          <w:p w14:paraId="0C6E032B" w14:textId="77777777" w:rsidR="003A700C" w:rsidRPr="003A700C" w:rsidRDefault="003A700C" w:rsidP="003A700C">
            <w:pPr>
              <w:widowControl w:val="0"/>
              <w:spacing w:after="0" w:line="240" w:lineRule="auto"/>
              <w:rPr>
                <w:rFonts w:ascii="Times New Roman" w:hAnsi="Times New Roman" w:cs="Times New Roman"/>
                <w:sz w:val="24"/>
                <w:szCs w:val="24"/>
              </w:rPr>
            </w:pPr>
            <w:r w:rsidRPr="003A700C">
              <w:rPr>
                <w:rFonts w:ascii="Times New Roman" w:hAnsi="Times New Roman" w:cs="Times New Roman"/>
                <w:sz w:val="24"/>
                <w:szCs w:val="24"/>
              </w:rPr>
              <w:t xml:space="preserve">Nicolas Rogelio Eric </w:t>
            </w:r>
            <w:proofErr w:type="spellStart"/>
            <w:r w:rsidRPr="003A700C">
              <w:rPr>
                <w:rFonts w:ascii="Times New Roman" w:hAnsi="Times New Roman" w:cs="Times New Roman"/>
                <w:sz w:val="24"/>
                <w:szCs w:val="24"/>
              </w:rPr>
              <w:t>Barlandas</w:t>
            </w:r>
            <w:proofErr w:type="spellEnd"/>
            <w:r w:rsidRPr="003A700C">
              <w:rPr>
                <w:rFonts w:ascii="Times New Roman" w:hAnsi="Times New Roman" w:cs="Times New Roman"/>
                <w:sz w:val="24"/>
                <w:szCs w:val="24"/>
              </w:rPr>
              <w:t xml:space="preserve"> Rendón (principal), Rebeca Sotelo Aldama (que apoya), y Rafaela Villanueva Ramos (que apoya).</w:t>
            </w:r>
          </w:p>
        </w:tc>
      </w:tr>
      <w:tr w:rsidR="003A700C" w:rsidRPr="003A700C" w14:paraId="6ECD5862" w14:textId="77777777" w:rsidTr="003A700C">
        <w:trPr>
          <w:jc w:val="center"/>
        </w:trPr>
        <w:tc>
          <w:tcPr>
            <w:tcW w:w="3045" w:type="dxa"/>
            <w:shd w:val="clear" w:color="auto" w:fill="auto"/>
            <w:tcMar>
              <w:top w:w="100" w:type="dxa"/>
              <w:left w:w="100" w:type="dxa"/>
              <w:bottom w:w="100" w:type="dxa"/>
              <w:right w:w="100" w:type="dxa"/>
            </w:tcMar>
          </w:tcPr>
          <w:p w14:paraId="025942E5" w14:textId="77777777" w:rsidR="003A700C" w:rsidRPr="003A700C" w:rsidRDefault="003A700C" w:rsidP="003A700C">
            <w:pPr>
              <w:widowControl w:val="0"/>
              <w:spacing w:after="0" w:line="240" w:lineRule="auto"/>
              <w:rPr>
                <w:rFonts w:ascii="Times New Roman" w:hAnsi="Times New Roman" w:cs="Times New Roman"/>
                <w:sz w:val="24"/>
                <w:szCs w:val="24"/>
              </w:rPr>
            </w:pPr>
            <w:r w:rsidRPr="003A700C">
              <w:rPr>
                <w:rFonts w:ascii="Times New Roman" w:hAnsi="Times New Roman" w:cs="Times New Roman"/>
                <w:sz w:val="24"/>
                <w:szCs w:val="24"/>
              </w:rPr>
              <w:t>Validación</w:t>
            </w:r>
          </w:p>
        </w:tc>
        <w:tc>
          <w:tcPr>
            <w:tcW w:w="6315" w:type="dxa"/>
            <w:shd w:val="clear" w:color="auto" w:fill="auto"/>
            <w:tcMar>
              <w:top w:w="100" w:type="dxa"/>
              <w:left w:w="100" w:type="dxa"/>
              <w:bottom w:w="100" w:type="dxa"/>
              <w:right w:w="100" w:type="dxa"/>
            </w:tcMar>
          </w:tcPr>
          <w:p w14:paraId="3567EBC9" w14:textId="77777777" w:rsidR="003A700C" w:rsidRPr="003A700C" w:rsidRDefault="003A700C" w:rsidP="003A700C">
            <w:pPr>
              <w:widowControl w:val="0"/>
              <w:spacing w:after="0" w:line="240" w:lineRule="auto"/>
              <w:rPr>
                <w:rFonts w:ascii="Times New Roman" w:hAnsi="Times New Roman" w:cs="Times New Roman"/>
                <w:sz w:val="24"/>
                <w:szCs w:val="24"/>
              </w:rPr>
            </w:pPr>
            <w:r w:rsidRPr="003A700C">
              <w:rPr>
                <w:rFonts w:ascii="Times New Roman" w:hAnsi="Times New Roman" w:cs="Times New Roman"/>
                <w:sz w:val="24"/>
                <w:szCs w:val="24"/>
              </w:rPr>
              <w:t>Sandra Quintana Ponce (principal) y Rocío Guadalupe Hernández Nava (que apoya).</w:t>
            </w:r>
          </w:p>
        </w:tc>
      </w:tr>
      <w:tr w:rsidR="003A700C" w:rsidRPr="003A700C" w14:paraId="7CAF00BF" w14:textId="77777777" w:rsidTr="003A700C">
        <w:trPr>
          <w:jc w:val="center"/>
        </w:trPr>
        <w:tc>
          <w:tcPr>
            <w:tcW w:w="3045" w:type="dxa"/>
            <w:shd w:val="clear" w:color="auto" w:fill="auto"/>
            <w:tcMar>
              <w:top w:w="100" w:type="dxa"/>
              <w:left w:w="100" w:type="dxa"/>
              <w:bottom w:w="100" w:type="dxa"/>
              <w:right w:w="100" w:type="dxa"/>
            </w:tcMar>
          </w:tcPr>
          <w:p w14:paraId="56C49AB1" w14:textId="77777777" w:rsidR="003A700C" w:rsidRPr="003A700C" w:rsidRDefault="003A700C" w:rsidP="003A700C">
            <w:pPr>
              <w:widowControl w:val="0"/>
              <w:spacing w:after="0" w:line="240" w:lineRule="auto"/>
              <w:rPr>
                <w:rFonts w:ascii="Times New Roman" w:hAnsi="Times New Roman" w:cs="Times New Roman"/>
                <w:sz w:val="24"/>
                <w:szCs w:val="24"/>
              </w:rPr>
            </w:pPr>
            <w:r w:rsidRPr="003A700C">
              <w:rPr>
                <w:rFonts w:ascii="Times New Roman" w:hAnsi="Times New Roman" w:cs="Times New Roman"/>
                <w:sz w:val="24"/>
                <w:szCs w:val="24"/>
              </w:rPr>
              <w:t>Análisis Formal</w:t>
            </w:r>
          </w:p>
        </w:tc>
        <w:tc>
          <w:tcPr>
            <w:tcW w:w="6315" w:type="dxa"/>
            <w:shd w:val="clear" w:color="auto" w:fill="auto"/>
            <w:tcMar>
              <w:top w:w="100" w:type="dxa"/>
              <w:left w:w="100" w:type="dxa"/>
              <w:bottom w:w="100" w:type="dxa"/>
              <w:right w:w="100" w:type="dxa"/>
            </w:tcMar>
          </w:tcPr>
          <w:p w14:paraId="4F6F5224" w14:textId="77777777" w:rsidR="003A700C" w:rsidRPr="003A700C" w:rsidRDefault="003A700C" w:rsidP="003A700C">
            <w:pPr>
              <w:widowControl w:val="0"/>
              <w:spacing w:after="0" w:line="240" w:lineRule="auto"/>
              <w:rPr>
                <w:rFonts w:ascii="Times New Roman" w:hAnsi="Times New Roman" w:cs="Times New Roman"/>
                <w:sz w:val="24"/>
                <w:szCs w:val="24"/>
              </w:rPr>
            </w:pPr>
            <w:r w:rsidRPr="003A700C">
              <w:rPr>
                <w:rFonts w:ascii="Times New Roman" w:hAnsi="Times New Roman" w:cs="Times New Roman"/>
                <w:sz w:val="24"/>
                <w:szCs w:val="24"/>
              </w:rPr>
              <w:t xml:space="preserve">Rebeca Sotelo Aldama (principal), Rafaela Villanueva Ramos (igual), y Nicolas Rogelio Eric </w:t>
            </w:r>
            <w:proofErr w:type="spellStart"/>
            <w:r w:rsidRPr="003A700C">
              <w:rPr>
                <w:rFonts w:ascii="Times New Roman" w:hAnsi="Times New Roman" w:cs="Times New Roman"/>
                <w:sz w:val="24"/>
                <w:szCs w:val="24"/>
              </w:rPr>
              <w:t>Barlandas</w:t>
            </w:r>
            <w:proofErr w:type="spellEnd"/>
            <w:r w:rsidRPr="003A700C">
              <w:rPr>
                <w:rFonts w:ascii="Times New Roman" w:hAnsi="Times New Roman" w:cs="Times New Roman"/>
                <w:sz w:val="24"/>
                <w:szCs w:val="24"/>
              </w:rPr>
              <w:t xml:space="preserve"> Rendón (igual).</w:t>
            </w:r>
          </w:p>
        </w:tc>
      </w:tr>
      <w:tr w:rsidR="003A700C" w:rsidRPr="003A700C" w14:paraId="7AC5B9F5" w14:textId="77777777" w:rsidTr="003A700C">
        <w:trPr>
          <w:jc w:val="center"/>
        </w:trPr>
        <w:tc>
          <w:tcPr>
            <w:tcW w:w="3045" w:type="dxa"/>
            <w:shd w:val="clear" w:color="auto" w:fill="auto"/>
            <w:tcMar>
              <w:top w:w="100" w:type="dxa"/>
              <w:left w:w="100" w:type="dxa"/>
              <w:bottom w:w="100" w:type="dxa"/>
              <w:right w:w="100" w:type="dxa"/>
            </w:tcMar>
          </w:tcPr>
          <w:p w14:paraId="60BC9F23" w14:textId="77777777" w:rsidR="003A700C" w:rsidRPr="003A700C" w:rsidRDefault="003A700C" w:rsidP="003A700C">
            <w:pPr>
              <w:widowControl w:val="0"/>
              <w:spacing w:after="0" w:line="240" w:lineRule="auto"/>
              <w:rPr>
                <w:rFonts w:ascii="Times New Roman" w:hAnsi="Times New Roman" w:cs="Times New Roman"/>
                <w:sz w:val="24"/>
                <w:szCs w:val="24"/>
              </w:rPr>
            </w:pPr>
            <w:r w:rsidRPr="003A700C">
              <w:rPr>
                <w:rFonts w:ascii="Times New Roman" w:hAnsi="Times New Roman" w:cs="Times New Roman"/>
                <w:sz w:val="24"/>
                <w:szCs w:val="24"/>
              </w:rPr>
              <w:t>Investigación</w:t>
            </w:r>
          </w:p>
        </w:tc>
        <w:tc>
          <w:tcPr>
            <w:tcW w:w="6315" w:type="dxa"/>
            <w:shd w:val="clear" w:color="auto" w:fill="auto"/>
            <w:tcMar>
              <w:top w:w="100" w:type="dxa"/>
              <w:left w:w="100" w:type="dxa"/>
              <w:bottom w:w="100" w:type="dxa"/>
              <w:right w:w="100" w:type="dxa"/>
            </w:tcMar>
          </w:tcPr>
          <w:p w14:paraId="3F31F661" w14:textId="77777777" w:rsidR="003A700C" w:rsidRPr="003A700C" w:rsidRDefault="003A700C" w:rsidP="003A700C">
            <w:pPr>
              <w:widowControl w:val="0"/>
              <w:spacing w:after="0" w:line="240" w:lineRule="auto"/>
              <w:rPr>
                <w:rFonts w:ascii="Times New Roman" w:hAnsi="Times New Roman" w:cs="Times New Roman"/>
                <w:sz w:val="24"/>
                <w:szCs w:val="24"/>
              </w:rPr>
            </w:pPr>
            <w:r w:rsidRPr="003A700C">
              <w:rPr>
                <w:rFonts w:ascii="Times New Roman" w:hAnsi="Times New Roman" w:cs="Times New Roman"/>
                <w:sz w:val="24"/>
                <w:szCs w:val="24"/>
              </w:rPr>
              <w:t>Rebeca Sotelo Aldama (principal) y Rafaela Villanueva Ramos (igual).</w:t>
            </w:r>
          </w:p>
        </w:tc>
      </w:tr>
      <w:tr w:rsidR="003A700C" w:rsidRPr="003A700C" w14:paraId="150EBD9A" w14:textId="77777777" w:rsidTr="003A700C">
        <w:trPr>
          <w:jc w:val="center"/>
        </w:trPr>
        <w:tc>
          <w:tcPr>
            <w:tcW w:w="3045" w:type="dxa"/>
            <w:shd w:val="clear" w:color="auto" w:fill="auto"/>
            <w:tcMar>
              <w:top w:w="100" w:type="dxa"/>
              <w:left w:w="100" w:type="dxa"/>
              <w:bottom w:w="100" w:type="dxa"/>
              <w:right w:w="100" w:type="dxa"/>
            </w:tcMar>
          </w:tcPr>
          <w:p w14:paraId="0E7BDA3A" w14:textId="77777777" w:rsidR="003A700C" w:rsidRPr="003A700C" w:rsidRDefault="003A700C" w:rsidP="003A700C">
            <w:pPr>
              <w:widowControl w:val="0"/>
              <w:spacing w:after="0" w:line="240" w:lineRule="auto"/>
              <w:rPr>
                <w:rFonts w:ascii="Times New Roman" w:hAnsi="Times New Roman" w:cs="Times New Roman"/>
                <w:sz w:val="24"/>
                <w:szCs w:val="24"/>
              </w:rPr>
            </w:pPr>
            <w:r w:rsidRPr="003A700C">
              <w:rPr>
                <w:rFonts w:ascii="Times New Roman" w:hAnsi="Times New Roman" w:cs="Times New Roman"/>
                <w:sz w:val="24"/>
                <w:szCs w:val="24"/>
              </w:rPr>
              <w:t>Recursos</w:t>
            </w:r>
          </w:p>
        </w:tc>
        <w:tc>
          <w:tcPr>
            <w:tcW w:w="6315" w:type="dxa"/>
            <w:shd w:val="clear" w:color="auto" w:fill="auto"/>
            <w:tcMar>
              <w:top w:w="100" w:type="dxa"/>
              <w:left w:w="100" w:type="dxa"/>
              <w:bottom w:w="100" w:type="dxa"/>
              <w:right w:w="100" w:type="dxa"/>
            </w:tcMar>
          </w:tcPr>
          <w:p w14:paraId="406F9E0A" w14:textId="77777777" w:rsidR="003A700C" w:rsidRPr="003A700C" w:rsidRDefault="003A700C" w:rsidP="003A700C">
            <w:pPr>
              <w:widowControl w:val="0"/>
              <w:spacing w:after="0" w:line="240" w:lineRule="auto"/>
              <w:rPr>
                <w:rFonts w:ascii="Times New Roman" w:hAnsi="Times New Roman" w:cs="Times New Roman"/>
                <w:sz w:val="24"/>
                <w:szCs w:val="24"/>
              </w:rPr>
            </w:pPr>
            <w:r w:rsidRPr="003A700C">
              <w:rPr>
                <w:rFonts w:ascii="Times New Roman" w:hAnsi="Times New Roman" w:cs="Times New Roman"/>
                <w:sz w:val="24"/>
                <w:szCs w:val="24"/>
              </w:rPr>
              <w:t xml:space="preserve">Sandra Quintana Ponce (principal), Rocío Guadalupe Hernández Nava (que apoya) y Nicolas Rogelio Eric </w:t>
            </w:r>
            <w:proofErr w:type="spellStart"/>
            <w:r w:rsidRPr="003A700C">
              <w:rPr>
                <w:rFonts w:ascii="Times New Roman" w:hAnsi="Times New Roman" w:cs="Times New Roman"/>
                <w:sz w:val="24"/>
                <w:szCs w:val="24"/>
              </w:rPr>
              <w:t>Barlandas</w:t>
            </w:r>
            <w:proofErr w:type="spellEnd"/>
            <w:r w:rsidRPr="003A700C">
              <w:rPr>
                <w:rFonts w:ascii="Times New Roman" w:hAnsi="Times New Roman" w:cs="Times New Roman"/>
                <w:sz w:val="24"/>
                <w:szCs w:val="24"/>
              </w:rPr>
              <w:t xml:space="preserve"> Rendón (igual).</w:t>
            </w:r>
          </w:p>
        </w:tc>
      </w:tr>
      <w:tr w:rsidR="003A700C" w:rsidRPr="003A700C" w14:paraId="6F54ABE4" w14:textId="77777777" w:rsidTr="003A700C">
        <w:trPr>
          <w:jc w:val="center"/>
        </w:trPr>
        <w:tc>
          <w:tcPr>
            <w:tcW w:w="3045" w:type="dxa"/>
            <w:shd w:val="clear" w:color="auto" w:fill="auto"/>
            <w:tcMar>
              <w:top w:w="100" w:type="dxa"/>
              <w:left w:w="100" w:type="dxa"/>
              <w:bottom w:w="100" w:type="dxa"/>
              <w:right w:w="100" w:type="dxa"/>
            </w:tcMar>
          </w:tcPr>
          <w:p w14:paraId="718C79DC" w14:textId="77777777" w:rsidR="003A700C" w:rsidRPr="003A700C" w:rsidRDefault="003A700C" w:rsidP="003A700C">
            <w:pPr>
              <w:widowControl w:val="0"/>
              <w:spacing w:after="0" w:line="240" w:lineRule="auto"/>
              <w:rPr>
                <w:rFonts w:ascii="Times New Roman" w:hAnsi="Times New Roman" w:cs="Times New Roman"/>
                <w:sz w:val="24"/>
                <w:szCs w:val="24"/>
              </w:rPr>
            </w:pPr>
            <w:r w:rsidRPr="003A700C">
              <w:rPr>
                <w:rFonts w:ascii="Times New Roman" w:hAnsi="Times New Roman" w:cs="Times New Roman"/>
                <w:sz w:val="24"/>
                <w:szCs w:val="24"/>
              </w:rPr>
              <w:t>Curación de datos</w:t>
            </w:r>
          </w:p>
        </w:tc>
        <w:tc>
          <w:tcPr>
            <w:tcW w:w="6315" w:type="dxa"/>
            <w:shd w:val="clear" w:color="auto" w:fill="auto"/>
            <w:tcMar>
              <w:top w:w="100" w:type="dxa"/>
              <w:left w:w="100" w:type="dxa"/>
              <w:bottom w:w="100" w:type="dxa"/>
              <w:right w:w="100" w:type="dxa"/>
            </w:tcMar>
          </w:tcPr>
          <w:p w14:paraId="352BE09D" w14:textId="77777777" w:rsidR="003A700C" w:rsidRPr="003A700C" w:rsidRDefault="003A700C" w:rsidP="003A700C">
            <w:pPr>
              <w:widowControl w:val="0"/>
              <w:spacing w:after="0" w:line="240" w:lineRule="auto"/>
              <w:rPr>
                <w:rFonts w:ascii="Times New Roman" w:hAnsi="Times New Roman" w:cs="Times New Roman"/>
                <w:sz w:val="24"/>
                <w:szCs w:val="24"/>
              </w:rPr>
            </w:pPr>
            <w:r w:rsidRPr="003A700C">
              <w:rPr>
                <w:rFonts w:ascii="Times New Roman" w:hAnsi="Times New Roman" w:cs="Times New Roman"/>
                <w:sz w:val="24"/>
                <w:szCs w:val="24"/>
              </w:rPr>
              <w:t xml:space="preserve">Sandra Quintana Ponce (principal), Rocío Guadalupe Hernández Nava (que apoya) y Nicolas Rogelio Eric </w:t>
            </w:r>
            <w:proofErr w:type="spellStart"/>
            <w:r w:rsidRPr="003A700C">
              <w:rPr>
                <w:rFonts w:ascii="Times New Roman" w:hAnsi="Times New Roman" w:cs="Times New Roman"/>
                <w:sz w:val="24"/>
                <w:szCs w:val="24"/>
              </w:rPr>
              <w:t>Barlandas</w:t>
            </w:r>
            <w:proofErr w:type="spellEnd"/>
            <w:r w:rsidRPr="003A700C">
              <w:rPr>
                <w:rFonts w:ascii="Times New Roman" w:hAnsi="Times New Roman" w:cs="Times New Roman"/>
                <w:sz w:val="24"/>
                <w:szCs w:val="24"/>
              </w:rPr>
              <w:t xml:space="preserve"> Rendón (que apoya).</w:t>
            </w:r>
          </w:p>
        </w:tc>
      </w:tr>
      <w:tr w:rsidR="003A700C" w:rsidRPr="003A700C" w14:paraId="16B206F2" w14:textId="77777777" w:rsidTr="003A700C">
        <w:trPr>
          <w:jc w:val="center"/>
        </w:trPr>
        <w:tc>
          <w:tcPr>
            <w:tcW w:w="3045" w:type="dxa"/>
            <w:shd w:val="clear" w:color="auto" w:fill="auto"/>
            <w:tcMar>
              <w:top w:w="100" w:type="dxa"/>
              <w:left w:w="100" w:type="dxa"/>
              <w:bottom w:w="100" w:type="dxa"/>
              <w:right w:w="100" w:type="dxa"/>
            </w:tcMar>
          </w:tcPr>
          <w:p w14:paraId="1E534743" w14:textId="77777777" w:rsidR="003A700C" w:rsidRPr="003A700C" w:rsidRDefault="003A700C" w:rsidP="003A700C">
            <w:pPr>
              <w:widowControl w:val="0"/>
              <w:spacing w:after="0" w:line="240" w:lineRule="auto"/>
              <w:rPr>
                <w:rFonts w:ascii="Times New Roman" w:hAnsi="Times New Roman" w:cs="Times New Roman"/>
                <w:sz w:val="24"/>
                <w:szCs w:val="24"/>
              </w:rPr>
            </w:pPr>
            <w:r w:rsidRPr="003A700C">
              <w:rPr>
                <w:rFonts w:ascii="Times New Roman" w:hAnsi="Times New Roman" w:cs="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7BE18B82" w14:textId="77777777" w:rsidR="003A700C" w:rsidRPr="003A700C" w:rsidRDefault="003A700C" w:rsidP="003A700C">
            <w:pPr>
              <w:widowControl w:val="0"/>
              <w:spacing w:after="0" w:line="240" w:lineRule="auto"/>
              <w:rPr>
                <w:rFonts w:ascii="Times New Roman" w:hAnsi="Times New Roman" w:cs="Times New Roman"/>
                <w:sz w:val="24"/>
                <w:szCs w:val="24"/>
              </w:rPr>
            </w:pPr>
            <w:r w:rsidRPr="003A700C">
              <w:rPr>
                <w:rFonts w:ascii="Times New Roman" w:hAnsi="Times New Roman" w:cs="Times New Roman"/>
                <w:sz w:val="24"/>
                <w:szCs w:val="24"/>
              </w:rPr>
              <w:t xml:space="preserve">Rebeca Sotelo Aldama, Rafaela Villanueva Ramos y Sandra Quintana Ponce (todos principales). </w:t>
            </w:r>
          </w:p>
        </w:tc>
      </w:tr>
      <w:tr w:rsidR="003A700C" w:rsidRPr="003A700C" w14:paraId="674C3564" w14:textId="77777777" w:rsidTr="003A700C">
        <w:trPr>
          <w:jc w:val="center"/>
        </w:trPr>
        <w:tc>
          <w:tcPr>
            <w:tcW w:w="3045" w:type="dxa"/>
            <w:shd w:val="clear" w:color="auto" w:fill="auto"/>
            <w:tcMar>
              <w:top w:w="100" w:type="dxa"/>
              <w:left w:w="100" w:type="dxa"/>
              <w:bottom w:w="100" w:type="dxa"/>
              <w:right w:w="100" w:type="dxa"/>
            </w:tcMar>
          </w:tcPr>
          <w:p w14:paraId="46C12A2F" w14:textId="77777777" w:rsidR="003A700C" w:rsidRPr="003A700C" w:rsidRDefault="003A700C" w:rsidP="003A700C">
            <w:pPr>
              <w:widowControl w:val="0"/>
              <w:spacing w:after="0" w:line="240" w:lineRule="auto"/>
              <w:rPr>
                <w:rFonts w:ascii="Times New Roman" w:hAnsi="Times New Roman" w:cs="Times New Roman"/>
                <w:sz w:val="24"/>
                <w:szCs w:val="24"/>
              </w:rPr>
            </w:pPr>
            <w:r w:rsidRPr="003A700C">
              <w:rPr>
                <w:rFonts w:ascii="Times New Roman" w:hAnsi="Times New Roman" w:cs="Times New Roman"/>
                <w:sz w:val="24"/>
                <w:szCs w:val="24"/>
              </w:rPr>
              <w:t>Escritura - Revisión y edición</w:t>
            </w:r>
          </w:p>
        </w:tc>
        <w:tc>
          <w:tcPr>
            <w:tcW w:w="6315" w:type="dxa"/>
            <w:shd w:val="clear" w:color="auto" w:fill="auto"/>
            <w:tcMar>
              <w:top w:w="100" w:type="dxa"/>
              <w:left w:w="100" w:type="dxa"/>
              <w:bottom w:w="100" w:type="dxa"/>
              <w:right w:w="100" w:type="dxa"/>
            </w:tcMar>
          </w:tcPr>
          <w:p w14:paraId="7B7C36B8" w14:textId="77777777" w:rsidR="003A700C" w:rsidRPr="003A700C" w:rsidRDefault="003A700C" w:rsidP="003A700C">
            <w:pPr>
              <w:widowControl w:val="0"/>
              <w:spacing w:after="0" w:line="240" w:lineRule="auto"/>
              <w:rPr>
                <w:rFonts w:ascii="Times New Roman" w:hAnsi="Times New Roman" w:cs="Times New Roman"/>
                <w:sz w:val="24"/>
                <w:szCs w:val="24"/>
              </w:rPr>
            </w:pPr>
            <w:r w:rsidRPr="003A700C">
              <w:rPr>
                <w:rFonts w:ascii="Times New Roman" w:hAnsi="Times New Roman" w:cs="Times New Roman"/>
                <w:sz w:val="24"/>
                <w:szCs w:val="24"/>
              </w:rPr>
              <w:t xml:space="preserve">Rebeca Sotelo Aldama, Rafaela Villanueva Ramos (principal), Sandra Quintana Ponce (igual), Rocío Guadalupe Hernández Nava (que apoya) y Nicolas Rogelio Eric </w:t>
            </w:r>
            <w:proofErr w:type="spellStart"/>
            <w:r w:rsidRPr="003A700C">
              <w:rPr>
                <w:rFonts w:ascii="Times New Roman" w:hAnsi="Times New Roman" w:cs="Times New Roman"/>
                <w:sz w:val="24"/>
                <w:szCs w:val="24"/>
              </w:rPr>
              <w:t>Barlandas</w:t>
            </w:r>
            <w:proofErr w:type="spellEnd"/>
            <w:r w:rsidRPr="003A700C">
              <w:rPr>
                <w:rFonts w:ascii="Times New Roman" w:hAnsi="Times New Roman" w:cs="Times New Roman"/>
                <w:sz w:val="24"/>
                <w:szCs w:val="24"/>
              </w:rPr>
              <w:t xml:space="preserve"> Rendón (que apoya).</w:t>
            </w:r>
          </w:p>
        </w:tc>
      </w:tr>
      <w:tr w:rsidR="003A700C" w:rsidRPr="003A700C" w14:paraId="0B70267D" w14:textId="77777777" w:rsidTr="003A700C">
        <w:trPr>
          <w:jc w:val="center"/>
        </w:trPr>
        <w:tc>
          <w:tcPr>
            <w:tcW w:w="3045" w:type="dxa"/>
            <w:shd w:val="clear" w:color="auto" w:fill="auto"/>
            <w:tcMar>
              <w:top w:w="100" w:type="dxa"/>
              <w:left w:w="100" w:type="dxa"/>
              <w:bottom w:w="100" w:type="dxa"/>
              <w:right w:w="100" w:type="dxa"/>
            </w:tcMar>
          </w:tcPr>
          <w:p w14:paraId="71A9239A" w14:textId="77777777" w:rsidR="003A700C" w:rsidRPr="003A700C" w:rsidRDefault="003A700C" w:rsidP="003A700C">
            <w:pPr>
              <w:widowControl w:val="0"/>
              <w:spacing w:after="0" w:line="240" w:lineRule="auto"/>
              <w:rPr>
                <w:rFonts w:ascii="Times New Roman" w:hAnsi="Times New Roman" w:cs="Times New Roman"/>
                <w:sz w:val="24"/>
                <w:szCs w:val="24"/>
              </w:rPr>
            </w:pPr>
            <w:r w:rsidRPr="003A700C">
              <w:rPr>
                <w:rFonts w:ascii="Times New Roman" w:hAnsi="Times New Roman" w:cs="Times New Roman"/>
                <w:sz w:val="24"/>
                <w:szCs w:val="24"/>
              </w:rPr>
              <w:t>Visualización</w:t>
            </w:r>
          </w:p>
        </w:tc>
        <w:tc>
          <w:tcPr>
            <w:tcW w:w="6315" w:type="dxa"/>
            <w:shd w:val="clear" w:color="auto" w:fill="auto"/>
            <w:tcMar>
              <w:top w:w="100" w:type="dxa"/>
              <w:left w:w="100" w:type="dxa"/>
              <w:bottom w:w="100" w:type="dxa"/>
              <w:right w:w="100" w:type="dxa"/>
            </w:tcMar>
          </w:tcPr>
          <w:p w14:paraId="00C7C8D4" w14:textId="77777777" w:rsidR="003A700C" w:rsidRPr="003A700C" w:rsidRDefault="003A700C" w:rsidP="003A700C">
            <w:pPr>
              <w:widowControl w:val="0"/>
              <w:spacing w:after="0" w:line="240" w:lineRule="auto"/>
              <w:rPr>
                <w:rFonts w:ascii="Times New Roman" w:hAnsi="Times New Roman" w:cs="Times New Roman"/>
                <w:sz w:val="24"/>
                <w:szCs w:val="24"/>
              </w:rPr>
            </w:pPr>
            <w:r w:rsidRPr="003A700C">
              <w:rPr>
                <w:rFonts w:ascii="Times New Roman" w:hAnsi="Times New Roman" w:cs="Times New Roman"/>
                <w:sz w:val="24"/>
                <w:szCs w:val="24"/>
              </w:rPr>
              <w:t>Rebeca Sotelo Aldama (principal), Rafaela Villanueva Ramos (igual</w:t>
            </w:r>
            <w:proofErr w:type="gramStart"/>
            <w:r w:rsidRPr="003A700C">
              <w:rPr>
                <w:rFonts w:ascii="Times New Roman" w:hAnsi="Times New Roman" w:cs="Times New Roman"/>
                <w:sz w:val="24"/>
                <w:szCs w:val="24"/>
              </w:rPr>
              <w:t>) ,</w:t>
            </w:r>
            <w:proofErr w:type="gramEnd"/>
            <w:r w:rsidRPr="003A700C">
              <w:rPr>
                <w:rFonts w:ascii="Times New Roman" w:hAnsi="Times New Roman" w:cs="Times New Roman"/>
                <w:sz w:val="24"/>
                <w:szCs w:val="24"/>
              </w:rPr>
              <w:t xml:space="preserve"> Sandra Quintana Ponce (igual), Rocío Guadalupe Hernández Nava (que apoya) y Nicolas Rogelio Eric </w:t>
            </w:r>
            <w:proofErr w:type="spellStart"/>
            <w:r w:rsidRPr="003A700C">
              <w:rPr>
                <w:rFonts w:ascii="Times New Roman" w:hAnsi="Times New Roman" w:cs="Times New Roman"/>
                <w:sz w:val="24"/>
                <w:szCs w:val="24"/>
              </w:rPr>
              <w:t>Barlandas</w:t>
            </w:r>
            <w:proofErr w:type="spellEnd"/>
            <w:r w:rsidRPr="003A700C">
              <w:rPr>
                <w:rFonts w:ascii="Times New Roman" w:hAnsi="Times New Roman" w:cs="Times New Roman"/>
                <w:sz w:val="24"/>
                <w:szCs w:val="24"/>
              </w:rPr>
              <w:t xml:space="preserve"> Rendón (que apoya).</w:t>
            </w:r>
          </w:p>
        </w:tc>
      </w:tr>
      <w:tr w:rsidR="003A700C" w:rsidRPr="003A700C" w14:paraId="622C9A77" w14:textId="77777777" w:rsidTr="003A700C">
        <w:trPr>
          <w:jc w:val="center"/>
        </w:trPr>
        <w:tc>
          <w:tcPr>
            <w:tcW w:w="3045" w:type="dxa"/>
            <w:shd w:val="clear" w:color="auto" w:fill="auto"/>
            <w:tcMar>
              <w:top w:w="100" w:type="dxa"/>
              <w:left w:w="100" w:type="dxa"/>
              <w:bottom w:w="100" w:type="dxa"/>
              <w:right w:w="100" w:type="dxa"/>
            </w:tcMar>
          </w:tcPr>
          <w:p w14:paraId="68814919" w14:textId="77777777" w:rsidR="003A700C" w:rsidRPr="003A700C" w:rsidRDefault="003A700C" w:rsidP="003A700C">
            <w:pPr>
              <w:widowControl w:val="0"/>
              <w:spacing w:after="0" w:line="240" w:lineRule="auto"/>
              <w:rPr>
                <w:rFonts w:ascii="Times New Roman" w:hAnsi="Times New Roman" w:cs="Times New Roman"/>
                <w:sz w:val="24"/>
                <w:szCs w:val="24"/>
              </w:rPr>
            </w:pPr>
            <w:r w:rsidRPr="003A700C">
              <w:rPr>
                <w:rFonts w:ascii="Times New Roman" w:hAnsi="Times New Roman" w:cs="Times New Roman"/>
                <w:sz w:val="24"/>
                <w:szCs w:val="24"/>
              </w:rPr>
              <w:t>Supervisión</w:t>
            </w:r>
          </w:p>
        </w:tc>
        <w:tc>
          <w:tcPr>
            <w:tcW w:w="6315" w:type="dxa"/>
            <w:shd w:val="clear" w:color="auto" w:fill="auto"/>
            <w:tcMar>
              <w:top w:w="100" w:type="dxa"/>
              <w:left w:w="100" w:type="dxa"/>
              <w:bottom w:w="100" w:type="dxa"/>
              <w:right w:w="100" w:type="dxa"/>
            </w:tcMar>
          </w:tcPr>
          <w:p w14:paraId="42DE388F" w14:textId="77777777" w:rsidR="003A700C" w:rsidRPr="003A700C" w:rsidRDefault="003A700C" w:rsidP="003A700C">
            <w:pPr>
              <w:widowControl w:val="0"/>
              <w:spacing w:after="0" w:line="240" w:lineRule="auto"/>
              <w:rPr>
                <w:rFonts w:ascii="Times New Roman" w:hAnsi="Times New Roman" w:cs="Times New Roman"/>
                <w:sz w:val="24"/>
                <w:szCs w:val="24"/>
              </w:rPr>
            </w:pPr>
            <w:r w:rsidRPr="003A700C">
              <w:rPr>
                <w:rFonts w:ascii="Times New Roman" w:hAnsi="Times New Roman" w:cs="Times New Roman"/>
                <w:sz w:val="24"/>
                <w:szCs w:val="24"/>
              </w:rPr>
              <w:t xml:space="preserve">Sandra Quintana Ponce (principal), Rocío Guadalupe Hernández Nava (que apoya) y Nicolas Rogelio Eric </w:t>
            </w:r>
            <w:proofErr w:type="spellStart"/>
            <w:r w:rsidRPr="003A700C">
              <w:rPr>
                <w:rFonts w:ascii="Times New Roman" w:hAnsi="Times New Roman" w:cs="Times New Roman"/>
                <w:sz w:val="24"/>
                <w:szCs w:val="24"/>
              </w:rPr>
              <w:t>Barlandas</w:t>
            </w:r>
            <w:proofErr w:type="spellEnd"/>
            <w:r w:rsidRPr="003A700C">
              <w:rPr>
                <w:rFonts w:ascii="Times New Roman" w:hAnsi="Times New Roman" w:cs="Times New Roman"/>
                <w:sz w:val="24"/>
                <w:szCs w:val="24"/>
              </w:rPr>
              <w:t xml:space="preserve"> Rendón (que apoya).</w:t>
            </w:r>
          </w:p>
        </w:tc>
      </w:tr>
      <w:tr w:rsidR="003A700C" w:rsidRPr="003A700C" w14:paraId="5F35EC26" w14:textId="77777777" w:rsidTr="003A700C">
        <w:trPr>
          <w:jc w:val="center"/>
        </w:trPr>
        <w:tc>
          <w:tcPr>
            <w:tcW w:w="3045" w:type="dxa"/>
            <w:shd w:val="clear" w:color="auto" w:fill="auto"/>
            <w:tcMar>
              <w:top w:w="100" w:type="dxa"/>
              <w:left w:w="100" w:type="dxa"/>
              <w:bottom w:w="100" w:type="dxa"/>
              <w:right w:w="100" w:type="dxa"/>
            </w:tcMar>
          </w:tcPr>
          <w:p w14:paraId="642EC33C" w14:textId="77777777" w:rsidR="003A700C" w:rsidRPr="003A700C" w:rsidRDefault="003A700C" w:rsidP="003A700C">
            <w:pPr>
              <w:widowControl w:val="0"/>
              <w:spacing w:after="0" w:line="240" w:lineRule="auto"/>
              <w:rPr>
                <w:rFonts w:ascii="Times New Roman" w:hAnsi="Times New Roman" w:cs="Times New Roman"/>
                <w:sz w:val="24"/>
                <w:szCs w:val="24"/>
              </w:rPr>
            </w:pPr>
            <w:r w:rsidRPr="003A700C">
              <w:rPr>
                <w:rFonts w:ascii="Times New Roman" w:hAnsi="Times New Roman" w:cs="Times New Roman"/>
                <w:sz w:val="24"/>
                <w:szCs w:val="24"/>
              </w:rPr>
              <w:t>Administración de Proyectos</w:t>
            </w:r>
          </w:p>
        </w:tc>
        <w:tc>
          <w:tcPr>
            <w:tcW w:w="6315" w:type="dxa"/>
            <w:shd w:val="clear" w:color="auto" w:fill="auto"/>
            <w:tcMar>
              <w:top w:w="100" w:type="dxa"/>
              <w:left w:w="100" w:type="dxa"/>
              <w:bottom w:w="100" w:type="dxa"/>
              <w:right w:w="100" w:type="dxa"/>
            </w:tcMar>
          </w:tcPr>
          <w:p w14:paraId="7104C63C" w14:textId="77777777" w:rsidR="003A700C" w:rsidRPr="003A700C" w:rsidRDefault="003A700C" w:rsidP="003A700C">
            <w:pPr>
              <w:widowControl w:val="0"/>
              <w:spacing w:after="0" w:line="240" w:lineRule="auto"/>
              <w:rPr>
                <w:rFonts w:ascii="Times New Roman" w:hAnsi="Times New Roman" w:cs="Times New Roman"/>
                <w:sz w:val="24"/>
                <w:szCs w:val="24"/>
              </w:rPr>
            </w:pPr>
            <w:r w:rsidRPr="003A700C">
              <w:rPr>
                <w:rFonts w:ascii="Times New Roman" w:hAnsi="Times New Roman" w:cs="Times New Roman"/>
                <w:sz w:val="24"/>
                <w:szCs w:val="24"/>
              </w:rPr>
              <w:t xml:space="preserve">Sandra Quintana Ponce y Nicolas Rogelio Eric </w:t>
            </w:r>
            <w:proofErr w:type="spellStart"/>
            <w:r w:rsidRPr="003A700C">
              <w:rPr>
                <w:rFonts w:ascii="Times New Roman" w:hAnsi="Times New Roman" w:cs="Times New Roman"/>
                <w:sz w:val="24"/>
                <w:szCs w:val="24"/>
              </w:rPr>
              <w:t>Barlandas</w:t>
            </w:r>
            <w:proofErr w:type="spellEnd"/>
            <w:r w:rsidRPr="003A700C">
              <w:rPr>
                <w:rFonts w:ascii="Times New Roman" w:hAnsi="Times New Roman" w:cs="Times New Roman"/>
                <w:sz w:val="24"/>
                <w:szCs w:val="24"/>
              </w:rPr>
              <w:t xml:space="preserve"> Rendón.</w:t>
            </w:r>
          </w:p>
        </w:tc>
      </w:tr>
      <w:tr w:rsidR="003A700C" w:rsidRPr="003A700C" w14:paraId="4B79E1E5" w14:textId="77777777" w:rsidTr="003A700C">
        <w:trPr>
          <w:jc w:val="center"/>
        </w:trPr>
        <w:tc>
          <w:tcPr>
            <w:tcW w:w="3045" w:type="dxa"/>
            <w:shd w:val="clear" w:color="auto" w:fill="auto"/>
            <w:tcMar>
              <w:top w:w="100" w:type="dxa"/>
              <w:left w:w="100" w:type="dxa"/>
              <w:bottom w:w="100" w:type="dxa"/>
              <w:right w:w="100" w:type="dxa"/>
            </w:tcMar>
          </w:tcPr>
          <w:p w14:paraId="32B14D7D" w14:textId="77777777" w:rsidR="003A700C" w:rsidRPr="003A700C" w:rsidRDefault="003A700C" w:rsidP="003A700C">
            <w:pPr>
              <w:widowControl w:val="0"/>
              <w:spacing w:after="0" w:line="240" w:lineRule="auto"/>
              <w:rPr>
                <w:rFonts w:ascii="Times New Roman" w:hAnsi="Times New Roman" w:cs="Times New Roman"/>
                <w:sz w:val="24"/>
                <w:szCs w:val="24"/>
              </w:rPr>
            </w:pPr>
            <w:r w:rsidRPr="003A700C">
              <w:rPr>
                <w:rFonts w:ascii="Times New Roman" w:hAnsi="Times New Roman" w:cs="Times New Roman"/>
                <w:sz w:val="24"/>
                <w:szCs w:val="24"/>
              </w:rPr>
              <w:lastRenderedPageBreak/>
              <w:t>Adquisición de fondos</w:t>
            </w:r>
          </w:p>
        </w:tc>
        <w:tc>
          <w:tcPr>
            <w:tcW w:w="6315" w:type="dxa"/>
            <w:shd w:val="clear" w:color="auto" w:fill="auto"/>
            <w:tcMar>
              <w:top w:w="100" w:type="dxa"/>
              <w:left w:w="100" w:type="dxa"/>
              <w:bottom w:w="100" w:type="dxa"/>
              <w:right w:w="100" w:type="dxa"/>
            </w:tcMar>
          </w:tcPr>
          <w:p w14:paraId="56F68C86" w14:textId="77777777" w:rsidR="003A700C" w:rsidRPr="003A700C" w:rsidRDefault="003A700C" w:rsidP="003A700C">
            <w:pPr>
              <w:widowControl w:val="0"/>
              <w:spacing w:after="0" w:line="240" w:lineRule="auto"/>
              <w:rPr>
                <w:rFonts w:ascii="Times New Roman" w:hAnsi="Times New Roman" w:cs="Times New Roman"/>
                <w:sz w:val="24"/>
                <w:szCs w:val="24"/>
              </w:rPr>
            </w:pPr>
            <w:r w:rsidRPr="003A700C">
              <w:rPr>
                <w:rFonts w:ascii="Times New Roman" w:hAnsi="Times New Roman" w:cs="Times New Roman"/>
                <w:sz w:val="24"/>
                <w:szCs w:val="24"/>
              </w:rPr>
              <w:t xml:space="preserve">Sandra Quintana Ponce y Nicolas Rogelio Eric </w:t>
            </w:r>
            <w:proofErr w:type="spellStart"/>
            <w:r w:rsidRPr="003A700C">
              <w:rPr>
                <w:rFonts w:ascii="Times New Roman" w:hAnsi="Times New Roman" w:cs="Times New Roman"/>
                <w:sz w:val="24"/>
                <w:szCs w:val="24"/>
              </w:rPr>
              <w:t>Barlandas</w:t>
            </w:r>
            <w:proofErr w:type="spellEnd"/>
            <w:r w:rsidRPr="003A700C">
              <w:rPr>
                <w:rFonts w:ascii="Times New Roman" w:hAnsi="Times New Roman" w:cs="Times New Roman"/>
                <w:sz w:val="24"/>
                <w:szCs w:val="24"/>
              </w:rPr>
              <w:t xml:space="preserve"> Rendón. </w:t>
            </w:r>
          </w:p>
        </w:tc>
      </w:tr>
    </w:tbl>
    <w:p w14:paraId="654FE80A" w14:textId="77777777" w:rsidR="003A700C" w:rsidRPr="003E284C" w:rsidRDefault="003A700C" w:rsidP="002A7BBB">
      <w:pPr>
        <w:widowControl w:val="0"/>
        <w:autoSpaceDE w:val="0"/>
        <w:autoSpaceDN w:val="0"/>
        <w:adjustRightInd w:val="0"/>
        <w:spacing w:line="360" w:lineRule="auto"/>
        <w:ind w:left="640" w:hanging="640"/>
        <w:jc w:val="center"/>
        <w:rPr>
          <w:rStyle w:val="Hipervnculo"/>
          <w:rFonts w:ascii="Times New Roman" w:hAnsi="Times New Roman" w:cs="Times New Roman"/>
          <w:b/>
          <w:bCs/>
          <w:color w:val="auto"/>
          <w:sz w:val="32"/>
          <w:szCs w:val="32"/>
          <w:u w:val="none"/>
          <w:lang w:val="es-ES"/>
        </w:rPr>
      </w:pPr>
    </w:p>
    <w:sectPr w:rsidR="003A700C" w:rsidRPr="003E284C" w:rsidSect="008E437D">
      <w:headerReference w:type="default" r:id="rId39"/>
      <w:footerReference w:type="default" r:id="rId40"/>
      <w:pgSz w:w="12240" w:h="15840"/>
      <w:pgMar w:top="1134" w:right="1701" w:bottom="709"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D91A2" w14:textId="77777777" w:rsidR="008E437D" w:rsidRDefault="008E437D" w:rsidP="00846908">
      <w:pPr>
        <w:spacing w:after="0" w:line="240" w:lineRule="auto"/>
      </w:pPr>
      <w:r>
        <w:separator/>
      </w:r>
    </w:p>
  </w:endnote>
  <w:endnote w:type="continuationSeparator" w:id="0">
    <w:p w14:paraId="2F8F3343" w14:textId="77777777" w:rsidR="008E437D" w:rsidRDefault="008E437D" w:rsidP="0084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402FA" w14:textId="2312D670" w:rsidR="0018154D" w:rsidRDefault="0018154D">
    <w:pPr>
      <w:pStyle w:val="Piedepgina"/>
    </w:pPr>
    <w:r>
      <w:t xml:space="preserve">         </w:t>
    </w:r>
    <w:r>
      <w:rPr>
        <w:noProof/>
        <w:lang w:eastAsia="es-MX"/>
      </w:rPr>
      <w:drawing>
        <wp:inline distT="0" distB="0" distL="0" distR="0" wp14:anchorId="7BC75BC8" wp14:editId="2A18FB0C">
          <wp:extent cx="1600200" cy="419100"/>
          <wp:effectExtent l="0" t="0" r="0" b="0"/>
          <wp:docPr id="1199080911" name="Imagen 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30EEF">
      <w:rPr>
        <w:rFonts w:cstheme="minorHAnsi"/>
        <w:b/>
      </w:rPr>
      <w:t>Vol. 12, Núm. 2</w:t>
    </w:r>
    <w:r>
      <w:rPr>
        <w:rFonts w:cstheme="minorHAnsi"/>
        <w:b/>
      </w:rPr>
      <w:t>4</w:t>
    </w:r>
    <w:r w:rsidRPr="00930EEF">
      <w:rPr>
        <w:rFonts w:cstheme="minorHAnsi"/>
        <w:b/>
      </w:rPr>
      <w:t xml:space="preserve">                  </w:t>
    </w:r>
    <w:r>
      <w:rPr>
        <w:rFonts w:cstheme="minorHAnsi"/>
        <w:b/>
      </w:rPr>
      <w:t>Julio - Diciembre</w:t>
    </w:r>
    <w:r w:rsidRPr="00930EEF">
      <w:rPr>
        <w:rFonts w:cstheme="minorHAnsi"/>
        <w:b/>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9A79A" w14:textId="77777777" w:rsidR="008E437D" w:rsidRDefault="008E437D" w:rsidP="00846908">
      <w:pPr>
        <w:spacing w:after="0" w:line="240" w:lineRule="auto"/>
      </w:pPr>
      <w:r>
        <w:separator/>
      </w:r>
    </w:p>
  </w:footnote>
  <w:footnote w:type="continuationSeparator" w:id="0">
    <w:p w14:paraId="2BC4C745" w14:textId="77777777" w:rsidR="008E437D" w:rsidRDefault="008E437D" w:rsidP="0084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42036" w14:textId="68617879" w:rsidR="0018154D" w:rsidRDefault="0018154D" w:rsidP="0018154D">
    <w:pPr>
      <w:pStyle w:val="Encabezado"/>
      <w:jc w:val="center"/>
    </w:pPr>
    <w:r>
      <w:rPr>
        <w:noProof/>
        <w:lang w:eastAsia="es-MX"/>
      </w:rPr>
      <w:drawing>
        <wp:inline distT="0" distB="0" distL="0" distR="0" wp14:anchorId="7E57AE18" wp14:editId="3DAEA461">
          <wp:extent cx="5612130" cy="666599"/>
          <wp:effectExtent l="0" t="0" r="0" b="635"/>
          <wp:docPr id="730061252" name="Imagen 3"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tip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6665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D39A2"/>
    <w:multiLevelType w:val="hybridMultilevel"/>
    <w:tmpl w:val="66F64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8118B6"/>
    <w:multiLevelType w:val="hybridMultilevel"/>
    <w:tmpl w:val="2EDAC012"/>
    <w:lvl w:ilvl="0" w:tplc="0E3683BC">
      <w:start w:val="1"/>
      <w:numFmt w:val="upperLetter"/>
      <w:lvlText w:val="%1."/>
      <w:lvlJc w:val="left"/>
      <w:pPr>
        <w:ind w:left="720" w:hanging="360"/>
      </w:pPr>
      <w:rPr>
        <w:rFonts w:ascii="Times New Roman" w:hAnsi="Times New Roman"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2F35325"/>
    <w:multiLevelType w:val="hybridMultilevel"/>
    <w:tmpl w:val="E00E08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5583BB0"/>
    <w:multiLevelType w:val="hybridMultilevel"/>
    <w:tmpl w:val="EF54EC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46074A59"/>
    <w:multiLevelType w:val="hybridMultilevel"/>
    <w:tmpl w:val="E7449F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BDC7BDC"/>
    <w:multiLevelType w:val="hybridMultilevel"/>
    <w:tmpl w:val="F0126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DD56D6A"/>
    <w:multiLevelType w:val="hybridMultilevel"/>
    <w:tmpl w:val="98EE9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203526C"/>
    <w:multiLevelType w:val="hybridMultilevel"/>
    <w:tmpl w:val="A4A6F8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62FF0EC0"/>
    <w:multiLevelType w:val="hybridMultilevel"/>
    <w:tmpl w:val="1E9E0E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305041E"/>
    <w:multiLevelType w:val="hybridMultilevel"/>
    <w:tmpl w:val="1EAC23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1C72821"/>
    <w:multiLevelType w:val="hybridMultilevel"/>
    <w:tmpl w:val="7A3E19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23517283">
    <w:abstractNumId w:val="9"/>
  </w:num>
  <w:num w:numId="2" w16cid:durableId="951475138">
    <w:abstractNumId w:val="5"/>
  </w:num>
  <w:num w:numId="3" w16cid:durableId="2023507663">
    <w:abstractNumId w:val="8"/>
  </w:num>
  <w:num w:numId="4" w16cid:durableId="1121800276">
    <w:abstractNumId w:val="6"/>
  </w:num>
  <w:num w:numId="5" w16cid:durableId="1034381373">
    <w:abstractNumId w:val="2"/>
  </w:num>
  <w:num w:numId="6" w16cid:durableId="1386445990">
    <w:abstractNumId w:val="4"/>
  </w:num>
  <w:num w:numId="7" w16cid:durableId="84498920">
    <w:abstractNumId w:val="0"/>
  </w:num>
  <w:num w:numId="8" w16cid:durableId="580255850">
    <w:abstractNumId w:val="3"/>
  </w:num>
  <w:num w:numId="9" w16cid:durableId="538860885">
    <w:abstractNumId w:val="7"/>
  </w:num>
  <w:num w:numId="10" w16cid:durableId="1416172351">
    <w:abstractNumId w:val="10"/>
  </w:num>
  <w:num w:numId="11" w16cid:durableId="492645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7A"/>
    <w:rsid w:val="000003A4"/>
    <w:rsid w:val="0000308B"/>
    <w:rsid w:val="00004CE6"/>
    <w:rsid w:val="00005216"/>
    <w:rsid w:val="000060F9"/>
    <w:rsid w:val="0001797A"/>
    <w:rsid w:val="000343E0"/>
    <w:rsid w:val="000409DE"/>
    <w:rsid w:val="00061B7D"/>
    <w:rsid w:val="00066F03"/>
    <w:rsid w:val="0007116F"/>
    <w:rsid w:val="00071222"/>
    <w:rsid w:val="00080898"/>
    <w:rsid w:val="000852E2"/>
    <w:rsid w:val="00086FD6"/>
    <w:rsid w:val="00092B24"/>
    <w:rsid w:val="00096B1E"/>
    <w:rsid w:val="000A28B9"/>
    <w:rsid w:val="000B7A0E"/>
    <w:rsid w:val="000C42A0"/>
    <w:rsid w:val="000C5C98"/>
    <w:rsid w:val="000D0899"/>
    <w:rsid w:val="000E042D"/>
    <w:rsid w:val="000E3EE2"/>
    <w:rsid w:val="000E465E"/>
    <w:rsid w:val="000F0915"/>
    <w:rsid w:val="000F2617"/>
    <w:rsid w:val="0010057E"/>
    <w:rsid w:val="001014EC"/>
    <w:rsid w:val="00114636"/>
    <w:rsid w:val="0011521E"/>
    <w:rsid w:val="0011593F"/>
    <w:rsid w:val="00117F55"/>
    <w:rsid w:val="00123856"/>
    <w:rsid w:val="00124692"/>
    <w:rsid w:val="00126416"/>
    <w:rsid w:val="00134997"/>
    <w:rsid w:val="00136591"/>
    <w:rsid w:val="0015504A"/>
    <w:rsid w:val="00155226"/>
    <w:rsid w:val="00161470"/>
    <w:rsid w:val="00162AA1"/>
    <w:rsid w:val="00166FF7"/>
    <w:rsid w:val="0017007C"/>
    <w:rsid w:val="00172E35"/>
    <w:rsid w:val="00174BF5"/>
    <w:rsid w:val="001773ED"/>
    <w:rsid w:val="0018053F"/>
    <w:rsid w:val="0018154D"/>
    <w:rsid w:val="0018254C"/>
    <w:rsid w:val="00182C7F"/>
    <w:rsid w:val="0018735A"/>
    <w:rsid w:val="00187E45"/>
    <w:rsid w:val="00193B84"/>
    <w:rsid w:val="0019578E"/>
    <w:rsid w:val="001A6CE8"/>
    <w:rsid w:val="001A7369"/>
    <w:rsid w:val="001B1EAE"/>
    <w:rsid w:val="001B5A78"/>
    <w:rsid w:val="001C6B91"/>
    <w:rsid w:val="001D1889"/>
    <w:rsid w:val="001D4F05"/>
    <w:rsid w:val="001E26EC"/>
    <w:rsid w:val="001F7BB2"/>
    <w:rsid w:val="00214F26"/>
    <w:rsid w:val="002216CB"/>
    <w:rsid w:val="0022377E"/>
    <w:rsid w:val="00235851"/>
    <w:rsid w:val="002360EC"/>
    <w:rsid w:val="00251458"/>
    <w:rsid w:val="00255FBB"/>
    <w:rsid w:val="00262436"/>
    <w:rsid w:val="00265BCB"/>
    <w:rsid w:val="00266085"/>
    <w:rsid w:val="00274EB0"/>
    <w:rsid w:val="002806DA"/>
    <w:rsid w:val="0028201E"/>
    <w:rsid w:val="00282FDB"/>
    <w:rsid w:val="002904D1"/>
    <w:rsid w:val="00291D65"/>
    <w:rsid w:val="002A13D1"/>
    <w:rsid w:val="002A38FC"/>
    <w:rsid w:val="002A7480"/>
    <w:rsid w:val="002A7BBB"/>
    <w:rsid w:val="002A7DF3"/>
    <w:rsid w:val="002B3BCA"/>
    <w:rsid w:val="002B78FF"/>
    <w:rsid w:val="002B79CE"/>
    <w:rsid w:val="002C27F6"/>
    <w:rsid w:val="002C3E30"/>
    <w:rsid w:val="002C690D"/>
    <w:rsid w:val="002D064E"/>
    <w:rsid w:val="002E012D"/>
    <w:rsid w:val="002F200E"/>
    <w:rsid w:val="002F3504"/>
    <w:rsid w:val="002F4B6B"/>
    <w:rsid w:val="00300DCE"/>
    <w:rsid w:val="003017C1"/>
    <w:rsid w:val="00304420"/>
    <w:rsid w:val="00312E14"/>
    <w:rsid w:val="00320FD7"/>
    <w:rsid w:val="003312F3"/>
    <w:rsid w:val="0033181C"/>
    <w:rsid w:val="003320B8"/>
    <w:rsid w:val="003404A0"/>
    <w:rsid w:val="003431B5"/>
    <w:rsid w:val="003436A2"/>
    <w:rsid w:val="00344FD0"/>
    <w:rsid w:val="003520E2"/>
    <w:rsid w:val="003524C8"/>
    <w:rsid w:val="003709F8"/>
    <w:rsid w:val="00371784"/>
    <w:rsid w:val="00372B11"/>
    <w:rsid w:val="00374489"/>
    <w:rsid w:val="00375F3A"/>
    <w:rsid w:val="00382A85"/>
    <w:rsid w:val="0038536A"/>
    <w:rsid w:val="00385B85"/>
    <w:rsid w:val="00391003"/>
    <w:rsid w:val="00391387"/>
    <w:rsid w:val="003A3676"/>
    <w:rsid w:val="003A700C"/>
    <w:rsid w:val="003B245D"/>
    <w:rsid w:val="003B3B29"/>
    <w:rsid w:val="003B44B0"/>
    <w:rsid w:val="003B4546"/>
    <w:rsid w:val="003B47D8"/>
    <w:rsid w:val="003C1913"/>
    <w:rsid w:val="003C197E"/>
    <w:rsid w:val="003C32B7"/>
    <w:rsid w:val="003C5060"/>
    <w:rsid w:val="003D1F21"/>
    <w:rsid w:val="003D2FFC"/>
    <w:rsid w:val="003D3744"/>
    <w:rsid w:val="003D4915"/>
    <w:rsid w:val="003D73AE"/>
    <w:rsid w:val="003E284C"/>
    <w:rsid w:val="003F13D9"/>
    <w:rsid w:val="003F22C0"/>
    <w:rsid w:val="0040433F"/>
    <w:rsid w:val="00407E72"/>
    <w:rsid w:val="00415C04"/>
    <w:rsid w:val="004241F4"/>
    <w:rsid w:val="0042553F"/>
    <w:rsid w:val="00434DA9"/>
    <w:rsid w:val="00436AF9"/>
    <w:rsid w:val="00440218"/>
    <w:rsid w:val="00442BAB"/>
    <w:rsid w:val="00456A9D"/>
    <w:rsid w:val="00456C25"/>
    <w:rsid w:val="00466DC1"/>
    <w:rsid w:val="004741FC"/>
    <w:rsid w:val="00480C8A"/>
    <w:rsid w:val="00483346"/>
    <w:rsid w:val="0049034E"/>
    <w:rsid w:val="00491223"/>
    <w:rsid w:val="00493701"/>
    <w:rsid w:val="00496013"/>
    <w:rsid w:val="00496DA8"/>
    <w:rsid w:val="004A030F"/>
    <w:rsid w:val="004A2384"/>
    <w:rsid w:val="004C3D8C"/>
    <w:rsid w:val="004C585E"/>
    <w:rsid w:val="004D49D0"/>
    <w:rsid w:val="004D5CB4"/>
    <w:rsid w:val="004D7E28"/>
    <w:rsid w:val="004E05F3"/>
    <w:rsid w:val="004E335D"/>
    <w:rsid w:val="004F0052"/>
    <w:rsid w:val="004F2376"/>
    <w:rsid w:val="004F3C01"/>
    <w:rsid w:val="004F4C0F"/>
    <w:rsid w:val="0050402B"/>
    <w:rsid w:val="00510F91"/>
    <w:rsid w:val="00516A08"/>
    <w:rsid w:val="00524C81"/>
    <w:rsid w:val="00525DD4"/>
    <w:rsid w:val="005261AD"/>
    <w:rsid w:val="005279AC"/>
    <w:rsid w:val="0053153E"/>
    <w:rsid w:val="005328E7"/>
    <w:rsid w:val="005355BE"/>
    <w:rsid w:val="00553406"/>
    <w:rsid w:val="00553D72"/>
    <w:rsid w:val="00554FB9"/>
    <w:rsid w:val="00563993"/>
    <w:rsid w:val="00565D94"/>
    <w:rsid w:val="00580B15"/>
    <w:rsid w:val="00586625"/>
    <w:rsid w:val="00587A20"/>
    <w:rsid w:val="005904F4"/>
    <w:rsid w:val="00591FEB"/>
    <w:rsid w:val="00592190"/>
    <w:rsid w:val="00593182"/>
    <w:rsid w:val="005A1471"/>
    <w:rsid w:val="005A3DCD"/>
    <w:rsid w:val="005B1BA0"/>
    <w:rsid w:val="005B1DE7"/>
    <w:rsid w:val="005B2B14"/>
    <w:rsid w:val="005B2D46"/>
    <w:rsid w:val="005B67CE"/>
    <w:rsid w:val="005C38E8"/>
    <w:rsid w:val="005C3B45"/>
    <w:rsid w:val="005C4307"/>
    <w:rsid w:val="005D3B9F"/>
    <w:rsid w:val="005D6A00"/>
    <w:rsid w:val="005E06D4"/>
    <w:rsid w:val="005F38B0"/>
    <w:rsid w:val="005F55D4"/>
    <w:rsid w:val="005F5645"/>
    <w:rsid w:val="00605A16"/>
    <w:rsid w:val="0061092C"/>
    <w:rsid w:val="00614B5F"/>
    <w:rsid w:val="0061657C"/>
    <w:rsid w:val="00630066"/>
    <w:rsid w:val="006354FB"/>
    <w:rsid w:val="006424BE"/>
    <w:rsid w:val="0064789D"/>
    <w:rsid w:val="00652C00"/>
    <w:rsid w:val="006576FF"/>
    <w:rsid w:val="0066590E"/>
    <w:rsid w:val="0066705E"/>
    <w:rsid w:val="00667620"/>
    <w:rsid w:val="006677AC"/>
    <w:rsid w:val="00667CEF"/>
    <w:rsid w:val="0067407A"/>
    <w:rsid w:val="00675ED1"/>
    <w:rsid w:val="006800A5"/>
    <w:rsid w:val="006836B8"/>
    <w:rsid w:val="006850E9"/>
    <w:rsid w:val="00690418"/>
    <w:rsid w:val="00691640"/>
    <w:rsid w:val="00693CFB"/>
    <w:rsid w:val="00694DCE"/>
    <w:rsid w:val="006A115A"/>
    <w:rsid w:val="006A2F40"/>
    <w:rsid w:val="006A3B79"/>
    <w:rsid w:val="006A69E5"/>
    <w:rsid w:val="006B6350"/>
    <w:rsid w:val="006B73E6"/>
    <w:rsid w:val="006C597A"/>
    <w:rsid w:val="006D0E56"/>
    <w:rsid w:val="006D1042"/>
    <w:rsid w:val="006D6B3D"/>
    <w:rsid w:val="006E2873"/>
    <w:rsid w:val="006E3EC0"/>
    <w:rsid w:val="006E43EE"/>
    <w:rsid w:val="006E4725"/>
    <w:rsid w:val="006E5D4B"/>
    <w:rsid w:val="006E6535"/>
    <w:rsid w:val="006F166A"/>
    <w:rsid w:val="00702480"/>
    <w:rsid w:val="00703763"/>
    <w:rsid w:val="007071F7"/>
    <w:rsid w:val="00710823"/>
    <w:rsid w:val="007158E6"/>
    <w:rsid w:val="007174F0"/>
    <w:rsid w:val="007202EC"/>
    <w:rsid w:val="007278B1"/>
    <w:rsid w:val="007306FA"/>
    <w:rsid w:val="007326B4"/>
    <w:rsid w:val="0074183A"/>
    <w:rsid w:val="007510C6"/>
    <w:rsid w:val="0075299C"/>
    <w:rsid w:val="00757892"/>
    <w:rsid w:val="0076031D"/>
    <w:rsid w:val="00765680"/>
    <w:rsid w:val="007658D9"/>
    <w:rsid w:val="007659C4"/>
    <w:rsid w:val="00766BA8"/>
    <w:rsid w:val="00766DB5"/>
    <w:rsid w:val="00773B42"/>
    <w:rsid w:val="00774704"/>
    <w:rsid w:val="00775423"/>
    <w:rsid w:val="0077798B"/>
    <w:rsid w:val="007802E3"/>
    <w:rsid w:val="007833EF"/>
    <w:rsid w:val="0078344B"/>
    <w:rsid w:val="00785C47"/>
    <w:rsid w:val="0079005D"/>
    <w:rsid w:val="00790516"/>
    <w:rsid w:val="0079519A"/>
    <w:rsid w:val="007955D5"/>
    <w:rsid w:val="00797429"/>
    <w:rsid w:val="007A735A"/>
    <w:rsid w:val="007B0D00"/>
    <w:rsid w:val="007C6261"/>
    <w:rsid w:val="007C779D"/>
    <w:rsid w:val="007D2103"/>
    <w:rsid w:val="007D2230"/>
    <w:rsid w:val="007D65F0"/>
    <w:rsid w:val="007E210F"/>
    <w:rsid w:val="007E30F9"/>
    <w:rsid w:val="007F0CFA"/>
    <w:rsid w:val="007F3F44"/>
    <w:rsid w:val="007F4E8D"/>
    <w:rsid w:val="007F6101"/>
    <w:rsid w:val="007F730B"/>
    <w:rsid w:val="007F7FA1"/>
    <w:rsid w:val="008010C9"/>
    <w:rsid w:val="00812D52"/>
    <w:rsid w:val="00821304"/>
    <w:rsid w:val="0082428F"/>
    <w:rsid w:val="00825FFA"/>
    <w:rsid w:val="00831EC3"/>
    <w:rsid w:val="00833608"/>
    <w:rsid w:val="008357BE"/>
    <w:rsid w:val="008364B8"/>
    <w:rsid w:val="00843A12"/>
    <w:rsid w:val="00843E97"/>
    <w:rsid w:val="00846908"/>
    <w:rsid w:val="00861AB7"/>
    <w:rsid w:val="00861BB0"/>
    <w:rsid w:val="00863D0B"/>
    <w:rsid w:val="008654C0"/>
    <w:rsid w:val="008804AB"/>
    <w:rsid w:val="00883A87"/>
    <w:rsid w:val="008933F6"/>
    <w:rsid w:val="008937AD"/>
    <w:rsid w:val="00896927"/>
    <w:rsid w:val="008A22DE"/>
    <w:rsid w:val="008A51F5"/>
    <w:rsid w:val="008B6226"/>
    <w:rsid w:val="008D10A3"/>
    <w:rsid w:val="008D6F13"/>
    <w:rsid w:val="008E36DA"/>
    <w:rsid w:val="008E437D"/>
    <w:rsid w:val="008E4F4D"/>
    <w:rsid w:val="008E69DA"/>
    <w:rsid w:val="008F1FA5"/>
    <w:rsid w:val="008F2C0C"/>
    <w:rsid w:val="008F6FBB"/>
    <w:rsid w:val="008F7836"/>
    <w:rsid w:val="009020DA"/>
    <w:rsid w:val="009030CE"/>
    <w:rsid w:val="009054BD"/>
    <w:rsid w:val="00911106"/>
    <w:rsid w:val="009119C1"/>
    <w:rsid w:val="00915472"/>
    <w:rsid w:val="0091646E"/>
    <w:rsid w:val="00920035"/>
    <w:rsid w:val="00921E96"/>
    <w:rsid w:val="00923ACF"/>
    <w:rsid w:val="00924E6D"/>
    <w:rsid w:val="00930C8A"/>
    <w:rsid w:val="00931DEB"/>
    <w:rsid w:val="009375BC"/>
    <w:rsid w:val="00945560"/>
    <w:rsid w:val="00952335"/>
    <w:rsid w:val="00952ADA"/>
    <w:rsid w:val="00965985"/>
    <w:rsid w:val="00966D00"/>
    <w:rsid w:val="00977D2C"/>
    <w:rsid w:val="00980E5B"/>
    <w:rsid w:val="00986AC2"/>
    <w:rsid w:val="00995A46"/>
    <w:rsid w:val="009979B3"/>
    <w:rsid w:val="009A1F3A"/>
    <w:rsid w:val="009A5592"/>
    <w:rsid w:val="009A6AA1"/>
    <w:rsid w:val="009B10C8"/>
    <w:rsid w:val="009B2CDE"/>
    <w:rsid w:val="009B3BB2"/>
    <w:rsid w:val="009C3B78"/>
    <w:rsid w:val="009C414F"/>
    <w:rsid w:val="009D3D82"/>
    <w:rsid w:val="009D7961"/>
    <w:rsid w:val="009E23DD"/>
    <w:rsid w:val="009E2C52"/>
    <w:rsid w:val="009E6427"/>
    <w:rsid w:val="009F0D33"/>
    <w:rsid w:val="009F405E"/>
    <w:rsid w:val="009F50A0"/>
    <w:rsid w:val="009F52FD"/>
    <w:rsid w:val="009F5FFD"/>
    <w:rsid w:val="00A05A72"/>
    <w:rsid w:val="00A074DD"/>
    <w:rsid w:val="00A17877"/>
    <w:rsid w:val="00A228CB"/>
    <w:rsid w:val="00A242D1"/>
    <w:rsid w:val="00A24310"/>
    <w:rsid w:val="00A30C9C"/>
    <w:rsid w:val="00A3683D"/>
    <w:rsid w:val="00A372C6"/>
    <w:rsid w:val="00A43D32"/>
    <w:rsid w:val="00A55143"/>
    <w:rsid w:val="00A572B8"/>
    <w:rsid w:val="00A66348"/>
    <w:rsid w:val="00A67546"/>
    <w:rsid w:val="00A769A0"/>
    <w:rsid w:val="00A80C62"/>
    <w:rsid w:val="00A94A70"/>
    <w:rsid w:val="00AA31FF"/>
    <w:rsid w:val="00AB5856"/>
    <w:rsid w:val="00AC131D"/>
    <w:rsid w:val="00AC28CC"/>
    <w:rsid w:val="00AC3C5E"/>
    <w:rsid w:val="00AD6026"/>
    <w:rsid w:val="00AE1531"/>
    <w:rsid w:val="00AE50B9"/>
    <w:rsid w:val="00AE6AC6"/>
    <w:rsid w:val="00AE6FE0"/>
    <w:rsid w:val="00AF3662"/>
    <w:rsid w:val="00AF4960"/>
    <w:rsid w:val="00AF6268"/>
    <w:rsid w:val="00AF65B3"/>
    <w:rsid w:val="00AF7071"/>
    <w:rsid w:val="00B00FE8"/>
    <w:rsid w:val="00B046BB"/>
    <w:rsid w:val="00B06F60"/>
    <w:rsid w:val="00B113B6"/>
    <w:rsid w:val="00B1756F"/>
    <w:rsid w:val="00B206E8"/>
    <w:rsid w:val="00B32BF3"/>
    <w:rsid w:val="00B46E8A"/>
    <w:rsid w:val="00B50C7E"/>
    <w:rsid w:val="00B556AE"/>
    <w:rsid w:val="00B611AC"/>
    <w:rsid w:val="00B630F6"/>
    <w:rsid w:val="00B711B8"/>
    <w:rsid w:val="00B72157"/>
    <w:rsid w:val="00B846F7"/>
    <w:rsid w:val="00B8777D"/>
    <w:rsid w:val="00B94030"/>
    <w:rsid w:val="00B96789"/>
    <w:rsid w:val="00BA23A8"/>
    <w:rsid w:val="00BA540E"/>
    <w:rsid w:val="00BA627B"/>
    <w:rsid w:val="00BA7096"/>
    <w:rsid w:val="00BB68BF"/>
    <w:rsid w:val="00BB7832"/>
    <w:rsid w:val="00BC12B1"/>
    <w:rsid w:val="00BC141D"/>
    <w:rsid w:val="00BC4476"/>
    <w:rsid w:val="00BC6029"/>
    <w:rsid w:val="00BD3332"/>
    <w:rsid w:val="00BD3722"/>
    <w:rsid w:val="00BD38DA"/>
    <w:rsid w:val="00BD518A"/>
    <w:rsid w:val="00BD5A7C"/>
    <w:rsid w:val="00BD6DD5"/>
    <w:rsid w:val="00BE0BD8"/>
    <w:rsid w:val="00BE0E9C"/>
    <w:rsid w:val="00BE1435"/>
    <w:rsid w:val="00BE7BE3"/>
    <w:rsid w:val="00BF373F"/>
    <w:rsid w:val="00BF4B8D"/>
    <w:rsid w:val="00BF7E99"/>
    <w:rsid w:val="00C0012D"/>
    <w:rsid w:val="00C007A4"/>
    <w:rsid w:val="00C024D5"/>
    <w:rsid w:val="00C07318"/>
    <w:rsid w:val="00C1602A"/>
    <w:rsid w:val="00C17674"/>
    <w:rsid w:val="00C2478B"/>
    <w:rsid w:val="00C2569E"/>
    <w:rsid w:val="00C25862"/>
    <w:rsid w:val="00C330D7"/>
    <w:rsid w:val="00C46200"/>
    <w:rsid w:val="00C54212"/>
    <w:rsid w:val="00C546D0"/>
    <w:rsid w:val="00C615FD"/>
    <w:rsid w:val="00C627A2"/>
    <w:rsid w:val="00C67C13"/>
    <w:rsid w:val="00C74E63"/>
    <w:rsid w:val="00C76EC0"/>
    <w:rsid w:val="00C80BB3"/>
    <w:rsid w:val="00C838FC"/>
    <w:rsid w:val="00CA21C7"/>
    <w:rsid w:val="00CA487A"/>
    <w:rsid w:val="00CB047C"/>
    <w:rsid w:val="00CC0D10"/>
    <w:rsid w:val="00CC6E3B"/>
    <w:rsid w:val="00CD7C69"/>
    <w:rsid w:val="00CE13E4"/>
    <w:rsid w:val="00CE145F"/>
    <w:rsid w:val="00CE7C83"/>
    <w:rsid w:val="00CF3C72"/>
    <w:rsid w:val="00D011A3"/>
    <w:rsid w:val="00D02B5F"/>
    <w:rsid w:val="00D13791"/>
    <w:rsid w:val="00D20E07"/>
    <w:rsid w:val="00D33F00"/>
    <w:rsid w:val="00D371B8"/>
    <w:rsid w:val="00D37E09"/>
    <w:rsid w:val="00D431F3"/>
    <w:rsid w:val="00D44CD7"/>
    <w:rsid w:val="00D5471C"/>
    <w:rsid w:val="00D606CF"/>
    <w:rsid w:val="00D627DD"/>
    <w:rsid w:val="00D62E6D"/>
    <w:rsid w:val="00D63457"/>
    <w:rsid w:val="00D66AD2"/>
    <w:rsid w:val="00D820A7"/>
    <w:rsid w:val="00D93919"/>
    <w:rsid w:val="00D963EB"/>
    <w:rsid w:val="00DA4751"/>
    <w:rsid w:val="00DA6224"/>
    <w:rsid w:val="00DB1D11"/>
    <w:rsid w:val="00DC1432"/>
    <w:rsid w:val="00DC3419"/>
    <w:rsid w:val="00DD0A86"/>
    <w:rsid w:val="00DD3B8F"/>
    <w:rsid w:val="00DD720B"/>
    <w:rsid w:val="00DE3A54"/>
    <w:rsid w:val="00DE4937"/>
    <w:rsid w:val="00DE5894"/>
    <w:rsid w:val="00DE7591"/>
    <w:rsid w:val="00DF649C"/>
    <w:rsid w:val="00E00DD8"/>
    <w:rsid w:val="00E1228E"/>
    <w:rsid w:val="00E1355A"/>
    <w:rsid w:val="00E150CA"/>
    <w:rsid w:val="00E17865"/>
    <w:rsid w:val="00E2199D"/>
    <w:rsid w:val="00E335CE"/>
    <w:rsid w:val="00E34105"/>
    <w:rsid w:val="00E345FA"/>
    <w:rsid w:val="00E404B5"/>
    <w:rsid w:val="00E41228"/>
    <w:rsid w:val="00E57E1E"/>
    <w:rsid w:val="00E60B67"/>
    <w:rsid w:val="00E67E28"/>
    <w:rsid w:val="00E7309B"/>
    <w:rsid w:val="00E74676"/>
    <w:rsid w:val="00E84146"/>
    <w:rsid w:val="00E94268"/>
    <w:rsid w:val="00E94423"/>
    <w:rsid w:val="00EA4C0E"/>
    <w:rsid w:val="00EA53D8"/>
    <w:rsid w:val="00EA7886"/>
    <w:rsid w:val="00EB051F"/>
    <w:rsid w:val="00EB3C61"/>
    <w:rsid w:val="00EC00A7"/>
    <w:rsid w:val="00EC14DF"/>
    <w:rsid w:val="00EC1E40"/>
    <w:rsid w:val="00EC4FBA"/>
    <w:rsid w:val="00EC6AC4"/>
    <w:rsid w:val="00ED3342"/>
    <w:rsid w:val="00ED4317"/>
    <w:rsid w:val="00EE0CA9"/>
    <w:rsid w:val="00EE3B64"/>
    <w:rsid w:val="00EE4F20"/>
    <w:rsid w:val="00EE5276"/>
    <w:rsid w:val="00EE7462"/>
    <w:rsid w:val="00EF3FC3"/>
    <w:rsid w:val="00EF443B"/>
    <w:rsid w:val="00EF5F2E"/>
    <w:rsid w:val="00F002B6"/>
    <w:rsid w:val="00F0200A"/>
    <w:rsid w:val="00F033CF"/>
    <w:rsid w:val="00F23077"/>
    <w:rsid w:val="00F252BC"/>
    <w:rsid w:val="00F37B39"/>
    <w:rsid w:val="00F44933"/>
    <w:rsid w:val="00F45BDD"/>
    <w:rsid w:val="00F50521"/>
    <w:rsid w:val="00F51723"/>
    <w:rsid w:val="00F5385E"/>
    <w:rsid w:val="00F73142"/>
    <w:rsid w:val="00F8268A"/>
    <w:rsid w:val="00F843EC"/>
    <w:rsid w:val="00F85C67"/>
    <w:rsid w:val="00F902B7"/>
    <w:rsid w:val="00F91587"/>
    <w:rsid w:val="00F91867"/>
    <w:rsid w:val="00F91E41"/>
    <w:rsid w:val="00F930D1"/>
    <w:rsid w:val="00F94AC2"/>
    <w:rsid w:val="00FA798D"/>
    <w:rsid w:val="00FB72A4"/>
    <w:rsid w:val="00FD21B4"/>
    <w:rsid w:val="00FD3A92"/>
    <w:rsid w:val="00FD4AA5"/>
    <w:rsid w:val="00FE21E2"/>
    <w:rsid w:val="00FE4A32"/>
    <w:rsid w:val="00FE5E55"/>
    <w:rsid w:val="00FF08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3AF3C"/>
  <w15:docId w15:val="{ADBDF434-7E86-4CE8-AC11-81FCE30A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908"/>
    <w:rPr>
      <w:rFonts w:eastAsiaTheme="minorHAnsi"/>
    </w:rPr>
  </w:style>
  <w:style w:type="paragraph" w:styleId="Ttulo1">
    <w:name w:val="heading 1"/>
    <w:basedOn w:val="Normal"/>
    <w:next w:val="Normal"/>
    <w:link w:val="Ttulo1Car"/>
    <w:uiPriority w:val="9"/>
    <w:qFormat/>
    <w:rsid w:val="00667620"/>
    <w:pPr>
      <w:keepNext/>
      <w:keepLines/>
      <w:spacing w:before="480" w:after="120"/>
      <w:jc w:val="both"/>
      <w:outlineLvl w:val="0"/>
    </w:pPr>
    <w:rPr>
      <w:rFonts w:ascii="Arial" w:eastAsia="Arial" w:hAnsi="Arial" w:cs="Arial"/>
      <w:b/>
      <w:sz w:val="48"/>
      <w:szCs w:val="48"/>
      <w:lang w:val="es-ES" w:eastAsia="es-MX"/>
    </w:rPr>
  </w:style>
  <w:style w:type="paragraph" w:styleId="Ttulo3">
    <w:name w:val="heading 3"/>
    <w:basedOn w:val="Normal"/>
    <w:next w:val="Normal"/>
    <w:link w:val="Ttulo3Car"/>
    <w:uiPriority w:val="9"/>
    <w:semiHidden/>
    <w:unhideWhenUsed/>
    <w:qFormat/>
    <w:rsid w:val="003A70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link w:val="normalCar"/>
    <w:qFormat/>
    <w:rsid w:val="0067407A"/>
    <w:pPr>
      <w:spacing w:after="0" w:line="360" w:lineRule="auto"/>
      <w:ind w:firstLine="709"/>
      <w:jc w:val="both"/>
    </w:pPr>
    <w:rPr>
      <w:rFonts w:ascii="Times New Roman" w:eastAsia="Times New Roman" w:hAnsi="Times New Roman" w:cs="Times New Roman"/>
      <w:color w:val="000000"/>
      <w:sz w:val="24"/>
      <w:szCs w:val="24"/>
      <w:lang w:eastAsia="es-MX"/>
    </w:rPr>
  </w:style>
  <w:style w:type="character" w:customStyle="1" w:styleId="normalCar">
    <w:name w:val="normal Car"/>
    <w:basedOn w:val="Fuentedeprrafopredeter"/>
    <w:link w:val="Normal1"/>
    <w:rsid w:val="0067407A"/>
    <w:rPr>
      <w:rFonts w:ascii="Times New Roman" w:eastAsia="Times New Roman" w:hAnsi="Times New Roman" w:cs="Times New Roman"/>
      <w:color w:val="000000"/>
      <w:sz w:val="24"/>
      <w:szCs w:val="24"/>
      <w:lang w:eastAsia="es-MX"/>
    </w:rPr>
  </w:style>
  <w:style w:type="character" w:styleId="Hipervnculo">
    <w:name w:val="Hyperlink"/>
    <w:basedOn w:val="Fuentedeprrafopredeter"/>
    <w:uiPriority w:val="99"/>
    <w:unhideWhenUsed/>
    <w:rsid w:val="00952335"/>
    <w:rPr>
      <w:color w:val="0563C1" w:themeColor="hyperlink"/>
      <w:u w:val="single"/>
    </w:rPr>
  </w:style>
  <w:style w:type="character" w:customStyle="1" w:styleId="Ttulo1Car">
    <w:name w:val="Título 1 Car"/>
    <w:basedOn w:val="Fuentedeprrafopredeter"/>
    <w:link w:val="Ttulo1"/>
    <w:uiPriority w:val="9"/>
    <w:rsid w:val="00667620"/>
    <w:rPr>
      <w:rFonts w:ascii="Arial" w:eastAsia="Arial" w:hAnsi="Arial" w:cs="Arial"/>
      <w:b/>
      <w:sz w:val="48"/>
      <w:szCs w:val="48"/>
      <w:lang w:val="es-ES" w:eastAsia="es-MX"/>
    </w:rPr>
  </w:style>
  <w:style w:type="paragraph" w:styleId="Prrafodelista">
    <w:name w:val="List Paragraph"/>
    <w:basedOn w:val="Normal"/>
    <w:uiPriority w:val="34"/>
    <w:qFormat/>
    <w:rsid w:val="00667620"/>
    <w:pPr>
      <w:ind w:left="720"/>
      <w:contextualSpacing/>
    </w:pPr>
  </w:style>
  <w:style w:type="character" w:styleId="Refdecomentario">
    <w:name w:val="annotation reference"/>
    <w:basedOn w:val="Fuentedeprrafopredeter"/>
    <w:uiPriority w:val="99"/>
    <w:semiHidden/>
    <w:unhideWhenUsed/>
    <w:rsid w:val="00667620"/>
    <w:rPr>
      <w:sz w:val="16"/>
      <w:szCs w:val="16"/>
    </w:rPr>
  </w:style>
  <w:style w:type="paragraph" w:styleId="Textocomentario">
    <w:name w:val="annotation text"/>
    <w:basedOn w:val="Normal"/>
    <w:link w:val="TextocomentarioCar"/>
    <w:uiPriority w:val="99"/>
    <w:unhideWhenUsed/>
    <w:rsid w:val="00667620"/>
    <w:pPr>
      <w:spacing w:line="240" w:lineRule="auto"/>
    </w:pPr>
    <w:rPr>
      <w:sz w:val="20"/>
      <w:szCs w:val="20"/>
    </w:rPr>
  </w:style>
  <w:style w:type="character" w:customStyle="1" w:styleId="TextocomentarioCar">
    <w:name w:val="Texto comentario Car"/>
    <w:basedOn w:val="Fuentedeprrafopredeter"/>
    <w:link w:val="Textocomentario"/>
    <w:uiPriority w:val="99"/>
    <w:rsid w:val="00667620"/>
    <w:rPr>
      <w:rFonts w:eastAsiaTheme="minorHAnsi"/>
      <w:sz w:val="20"/>
      <w:szCs w:val="20"/>
    </w:rPr>
  </w:style>
  <w:style w:type="paragraph" w:styleId="Asuntodelcomentario">
    <w:name w:val="annotation subject"/>
    <w:basedOn w:val="Textocomentario"/>
    <w:next w:val="Textocomentario"/>
    <w:link w:val="AsuntodelcomentarioCar"/>
    <w:uiPriority w:val="99"/>
    <w:semiHidden/>
    <w:unhideWhenUsed/>
    <w:rsid w:val="00667620"/>
    <w:rPr>
      <w:b/>
      <w:bCs/>
    </w:rPr>
  </w:style>
  <w:style w:type="character" w:customStyle="1" w:styleId="AsuntodelcomentarioCar">
    <w:name w:val="Asunto del comentario Car"/>
    <w:basedOn w:val="TextocomentarioCar"/>
    <w:link w:val="Asuntodelcomentario"/>
    <w:uiPriority w:val="99"/>
    <w:semiHidden/>
    <w:rsid w:val="00667620"/>
    <w:rPr>
      <w:rFonts w:eastAsiaTheme="minorHAnsi"/>
      <w:b/>
      <w:bCs/>
      <w:sz w:val="20"/>
      <w:szCs w:val="20"/>
    </w:rPr>
  </w:style>
  <w:style w:type="paragraph" w:styleId="Textodeglobo">
    <w:name w:val="Balloon Text"/>
    <w:basedOn w:val="Normal"/>
    <w:link w:val="TextodegloboCar"/>
    <w:uiPriority w:val="99"/>
    <w:semiHidden/>
    <w:unhideWhenUsed/>
    <w:rsid w:val="006676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7620"/>
    <w:rPr>
      <w:rFonts w:ascii="Tahoma" w:eastAsiaTheme="minorHAnsi" w:hAnsi="Tahoma" w:cs="Tahoma"/>
      <w:sz w:val="16"/>
      <w:szCs w:val="16"/>
    </w:rPr>
  </w:style>
  <w:style w:type="character" w:styleId="Textodelmarcadordeposicin">
    <w:name w:val="Placeholder Text"/>
    <w:basedOn w:val="Fuentedeprrafopredeter"/>
    <w:uiPriority w:val="99"/>
    <w:semiHidden/>
    <w:rsid w:val="00667620"/>
    <w:rPr>
      <w:color w:val="808080"/>
    </w:rPr>
  </w:style>
  <w:style w:type="paragraph" w:styleId="Revisin">
    <w:name w:val="Revision"/>
    <w:hidden/>
    <w:uiPriority w:val="99"/>
    <w:semiHidden/>
    <w:rsid w:val="00667620"/>
    <w:pPr>
      <w:spacing w:after="0" w:line="240" w:lineRule="auto"/>
    </w:pPr>
    <w:rPr>
      <w:rFonts w:eastAsiaTheme="minorHAnsi"/>
    </w:rPr>
  </w:style>
  <w:style w:type="paragraph" w:styleId="Encabezado">
    <w:name w:val="header"/>
    <w:basedOn w:val="Normal"/>
    <w:link w:val="EncabezadoCar"/>
    <w:uiPriority w:val="99"/>
    <w:unhideWhenUsed/>
    <w:rsid w:val="006676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7620"/>
    <w:rPr>
      <w:rFonts w:eastAsiaTheme="minorHAnsi"/>
    </w:rPr>
  </w:style>
  <w:style w:type="paragraph" w:styleId="Piedepgina">
    <w:name w:val="footer"/>
    <w:basedOn w:val="Normal"/>
    <w:link w:val="PiedepginaCar"/>
    <w:uiPriority w:val="99"/>
    <w:unhideWhenUsed/>
    <w:rsid w:val="006676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7620"/>
    <w:rPr>
      <w:rFonts w:eastAsiaTheme="minorHAnsi"/>
    </w:rPr>
  </w:style>
  <w:style w:type="character" w:styleId="Textoennegrita">
    <w:name w:val="Strong"/>
    <w:basedOn w:val="Fuentedeprrafopredeter"/>
    <w:uiPriority w:val="22"/>
    <w:qFormat/>
    <w:rsid w:val="00667620"/>
    <w:rPr>
      <w:b/>
      <w:bCs/>
    </w:rPr>
  </w:style>
  <w:style w:type="table" w:styleId="Tablaconcuadrcula5oscura-nfasis4">
    <w:name w:val="Grid Table 5 Dark Accent 4"/>
    <w:basedOn w:val="Tablanormal"/>
    <w:uiPriority w:val="50"/>
    <w:rsid w:val="006676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6">
    <w:name w:val="Grid Table 5 Dark Accent 6"/>
    <w:basedOn w:val="Tablanormal"/>
    <w:uiPriority w:val="50"/>
    <w:rsid w:val="006676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Descripcin">
    <w:name w:val="caption"/>
    <w:basedOn w:val="Normal"/>
    <w:next w:val="Normal"/>
    <w:uiPriority w:val="35"/>
    <w:unhideWhenUsed/>
    <w:qFormat/>
    <w:rsid w:val="00667620"/>
    <w:pPr>
      <w:spacing w:after="200" w:line="240" w:lineRule="auto"/>
      <w:jc w:val="both"/>
    </w:pPr>
    <w:rPr>
      <w:rFonts w:ascii="Arial" w:eastAsia="Arial" w:hAnsi="Arial" w:cs="Arial"/>
      <w:i/>
      <w:iCs/>
      <w:color w:val="44546A" w:themeColor="text2"/>
      <w:sz w:val="18"/>
      <w:szCs w:val="18"/>
      <w:lang w:val="es-ES" w:eastAsia="es-MX"/>
    </w:rPr>
  </w:style>
  <w:style w:type="paragraph" w:styleId="NormalWeb">
    <w:name w:val="Normal (Web)"/>
    <w:basedOn w:val="Normal"/>
    <w:uiPriority w:val="99"/>
    <w:unhideWhenUsed/>
    <w:rsid w:val="000E465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Mencinsinresolver">
    <w:name w:val="Unresolved Mention"/>
    <w:basedOn w:val="Fuentedeprrafopredeter"/>
    <w:uiPriority w:val="99"/>
    <w:semiHidden/>
    <w:unhideWhenUsed/>
    <w:rsid w:val="007202EC"/>
    <w:rPr>
      <w:color w:val="605E5C"/>
      <w:shd w:val="clear" w:color="auto" w:fill="E1DFDD"/>
    </w:rPr>
  </w:style>
  <w:style w:type="character" w:styleId="Hipervnculovisitado">
    <w:name w:val="FollowedHyperlink"/>
    <w:basedOn w:val="Fuentedeprrafopredeter"/>
    <w:uiPriority w:val="99"/>
    <w:semiHidden/>
    <w:unhideWhenUsed/>
    <w:rsid w:val="00D02B5F"/>
    <w:rPr>
      <w:color w:val="954F72" w:themeColor="followedHyperlink"/>
      <w:u w:val="single"/>
    </w:rPr>
  </w:style>
  <w:style w:type="character" w:customStyle="1" w:styleId="elsevieritemautor">
    <w:name w:val="elsevieritemautor"/>
    <w:basedOn w:val="Fuentedeprrafopredeter"/>
    <w:rsid w:val="002B78FF"/>
  </w:style>
  <w:style w:type="character" w:customStyle="1" w:styleId="elsevieritemautorrelaciones">
    <w:name w:val="elsevieritemautorrelaciones"/>
    <w:basedOn w:val="Fuentedeprrafopredeter"/>
    <w:rsid w:val="002B78FF"/>
  </w:style>
  <w:style w:type="character" w:customStyle="1" w:styleId="elsevierstylesup">
    <w:name w:val="elsevierstylesup"/>
    <w:basedOn w:val="Fuentedeprrafopredeter"/>
    <w:rsid w:val="002B78FF"/>
  </w:style>
  <w:style w:type="table" w:styleId="Tablaconcuadrcula">
    <w:name w:val="Table Grid"/>
    <w:basedOn w:val="Tablanormal"/>
    <w:uiPriority w:val="39"/>
    <w:rsid w:val="001A6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Fuentedeprrafopredeter"/>
    <w:rsid w:val="00BD6DD5"/>
  </w:style>
  <w:style w:type="character" w:customStyle="1" w:styleId="HTMLconformatoprevioCar">
    <w:name w:val="HTML con formato previo Car"/>
    <w:basedOn w:val="Fuentedeprrafopredeter"/>
    <w:link w:val="HTMLconformatoprevio"/>
    <w:uiPriority w:val="99"/>
    <w:qFormat/>
    <w:rsid w:val="0018154D"/>
    <w:rPr>
      <w:rFonts w:ascii="Courier New" w:eastAsia="Times New Roman" w:hAnsi="Courier New" w:cs="Courier New"/>
      <w:sz w:val="20"/>
      <w:szCs w:val="20"/>
      <w:lang w:eastAsia="es-MX"/>
    </w:rPr>
  </w:style>
  <w:style w:type="paragraph" w:styleId="HTMLconformatoprevio">
    <w:name w:val="HTML Preformatted"/>
    <w:basedOn w:val="Normal"/>
    <w:link w:val="HTMLconformatoprevioCar"/>
    <w:uiPriority w:val="99"/>
    <w:unhideWhenUsed/>
    <w:qFormat/>
    <w:rsid w:val="00181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es-MX"/>
    </w:rPr>
  </w:style>
  <w:style w:type="character" w:customStyle="1" w:styleId="HTMLconformatoprevioCar1">
    <w:name w:val="HTML con formato previo Car1"/>
    <w:basedOn w:val="Fuentedeprrafopredeter"/>
    <w:uiPriority w:val="99"/>
    <w:semiHidden/>
    <w:rsid w:val="0018154D"/>
    <w:rPr>
      <w:rFonts w:ascii="Consolas" w:eastAsiaTheme="minorHAnsi" w:hAnsi="Consolas"/>
      <w:sz w:val="20"/>
      <w:szCs w:val="20"/>
    </w:rPr>
  </w:style>
  <w:style w:type="character" w:customStyle="1" w:styleId="Ttulo3Car">
    <w:name w:val="Título 3 Car"/>
    <w:basedOn w:val="Fuentedeprrafopredeter"/>
    <w:link w:val="Ttulo3"/>
    <w:uiPriority w:val="9"/>
    <w:semiHidden/>
    <w:rsid w:val="003A700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11077">
      <w:bodyDiv w:val="1"/>
      <w:marLeft w:val="0"/>
      <w:marRight w:val="0"/>
      <w:marTop w:val="0"/>
      <w:marBottom w:val="0"/>
      <w:divBdr>
        <w:top w:val="none" w:sz="0" w:space="0" w:color="auto"/>
        <w:left w:val="none" w:sz="0" w:space="0" w:color="auto"/>
        <w:bottom w:val="none" w:sz="0" w:space="0" w:color="auto"/>
        <w:right w:val="none" w:sz="0" w:space="0" w:color="auto"/>
      </w:divBdr>
      <w:divsChild>
        <w:div w:id="2141416924">
          <w:marLeft w:val="0"/>
          <w:marRight w:val="0"/>
          <w:marTop w:val="0"/>
          <w:marBottom w:val="0"/>
          <w:divBdr>
            <w:top w:val="none" w:sz="0" w:space="0" w:color="auto"/>
            <w:left w:val="none" w:sz="0" w:space="0" w:color="auto"/>
            <w:bottom w:val="none" w:sz="0" w:space="0" w:color="auto"/>
            <w:right w:val="none" w:sz="0" w:space="0" w:color="auto"/>
          </w:divBdr>
        </w:div>
        <w:div w:id="871647779">
          <w:marLeft w:val="0"/>
          <w:marRight w:val="0"/>
          <w:marTop w:val="0"/>
          <w:marBottom w:val="0"/>
          <w:divBdr>
            <w:top w:val="none" w:sz="0" w:space="0" w:color="auto"/>
            <w:left w:val="none" w:sz="0" w:space="0" w:color="auto"/>
            <w:bottom w:val="none" w:sz="0" w:space="0" w:color="auto"/>
            <w:right w:val="none" w:sz="0" w:space="0" w:color="auto"/>
          </w:divBdr>
        </w:div>
        <w:div w:id="1227838657">
          <w:marLeft w:val="0"/>
          <w:marRight w:val="0"/>
          <w:marTop w:val="0"/>
          <w:marBottom w:val="0"/>
          <w:divBdr>
            <w:top w:val="none" w:sz="0" w:space="0" w:color="auto"/>
            <w:left w:val="none" w:sz="0" w:space="0" w:color="auto"/>
            <w:bottom w:val="none" w:sz="0" w:space="0" w:color="auto"/>
            <w:right w:val="none" w:sz="0" w:space="0" w:color="auto"/>
          </w:divBdr>
        </w:div>
      </w:divsChild>
    </w:div>
    <w:div w:id="254559125">
      <w:bodyDiv w:val="1"/>
      <w:marLeft w:val="0"/>
      <w:marRight w:val="0"/>
      <w:marTop w:val="0"/>
      <w:marBottom w:val="0"/>
      <w:divBdr>
        <w:top w:val="none" w:sz="0" w:space="0" w:color="auto"/>
        <w:left w:val="none" w:sz="0" w:space="0" w:color="auto"/>
        <w:bottom w:val="none" w:sz="0" w:space="0" w:color="auto"/>
        <w:right w:val="none" w:sz="0" w:space="0" w:color="auto"/>
      </w:divBdr>
      <w:divsChild>
        <w:div w:id="710107341">
          <w:marLeft w:val="0"/>
          <w:marRight w:val="0"/>
          <w:marTop w:val="0"/>
          <w:marBottom w:val="0"/>
          <w:divBdr>
            <w:top w:val="none" w:sz="0" w:space="0" w:color="auto"/>
            <w:left w:val="none" w:sz="0" w:space="0" w:color="auto"/>
            <w:bottom w:val="none" w:sz="0" w:space="0" w:color="auto"/>
            <w:right w:val="none" w:sz="0" w:space="0" w:color="auto"/>
          </w:divBdr>
        </w:div>
        <w:div w:id="772555792">
          <w:marLeft w:val="0"/>
          <w:marRight w:val="0"/>
          <w:marTop w:val="0"/>
          <w:marBottom w:val="0"/>
          <w:divBdr>
            <w:top w:val="none" w:sz="0" w:space="0" w:color="auto"/>
            <w:left w:val="none" w:sz="0" w:space="0" w:color="auto"/>
            <w:bottom w:val="none" w:sz="0" w:space="0" w:color="auto"/>
            <w:right w:val="none" w:sz="0" w:space="0" w:color="auto"/>
          </w:divBdr>
        </w:div>
        <w:div w:id="947354661">
          <w:marLeft w:val="0"/>
          <w:marRight w:val="0"/>
          <w:marTop w:val="0"/>
          <w:marBottom w:val="0"/>
          <w:divBdr>
            <w:top w:val="none" w:sz="0" w:space="0" w:color="auto"/>
            <w:left w:val="none" w:sz="0" w:space="0" w:color="auto"/>
            <w:bottom w:val="none" w:sz="0" w:space="0" w:color="auto"/>
            <w:right w:val="none" w:sz="0" w:space="0" w:color="auto"/>
          </w:divBdr>
        </w:div>
        <w:div w:id="1073813691">
          <w:marLeft w:val="0"/>
          <w:marRight w:val="0"/>
          <w:marTop w:val="0"/>
          <w:marBottom w:val="0"/>
          <w:divBdr>
            <w:top w:val="none" w:sz="0" w:space="0" w:color="auto"/>
            <w:left w:val="none" w:sz="0" w:space="0" w:color="auto"/>
            <w:bottom w:val="none" w:sz="0" w:space="0" w:color="auto"/>
            <w:right w:val="none" w:sz="0" w:space="0" w:color="auto"/>
          </w:divBdr>
        </w:div>
        <w:div w:id="1272973913">
          <w:marLeft w:val="0"/>
          <w:marRight w:val="0"/>
          <w:marTop w:val="0"/>
          <w:marBottom w:val="0"/>
          <w:divBdr>
            <w:top w:val="none" w:sz="0" w:space="0" w:color="auto"/>
            <w:left w:val="none" w:sz="0" w:space="0" w:color="auto"/>
            <w:bottom w:val="none" w:sz="0" w:space="0" w:color="auto"/>
            <w:right w:val="none" w:sz="0" w:space="0" w:color="auto"/>
          </w:divBdr>
        </w:div>
        <w:div w:id="1498568413">
          <w:marLeft w:val="0"/>
          <w:marRight w:val="0"/>
          <w:marTop w:val="0"/>
          <w:marBottom w:val="0"/>
          <w:divBdr>
            <w:top w:val="none" w:sz="0" w:space="0" w:color="auto"/>
            <w:left w:val="none" w:sz="0" w:space="0" w:color="auto"/>
            <w:bottom w:val="none" w:sz="0" w:space="0" w:color="auto"/>
            <w:right w:val="none" w:sz="0" w:space="0" w:color="auto"/>
          </w:divBdr>
        </w:div>
        <w:div w:id="1960641527">
          <w:marLeft w:val="0"/>
          <w:marRight w:val="0"/>
          <w:marTop w:val="0"/>
          <w:marBottom w:val="0"/>
          <w:divBdr>
            <w:top w:val="none" w:sz="0" w:space="0" w:color="auto"/>
            <w:left w:val="none" w:sz="0" w:space="0" w:color="auto"/>
            <w:bottom w:val="none" w:sz="0" w:space="0" w:color="auto"/>
            <w:right w:val="none" w:sz="0" w:space="0" w:color="auto"/>
          </w:divBdr>
        </w:div>
      </w:divsChild>
    </w:div>
    <w:div w:id="534662524">
      <w:bodyDiv w:val="1"/>
      <w:marLeft w:val="0"/>
      <w:marRight w:val="0"/>
      <w:marTop w:val="0"/>
      <w:marBottom w:val="0"/>
      <w:divBdr>
        <w:top w:val="none" w:sz="0" w:space="0" w:color="auto"/>
        <w:left w:val="none" w:sz="0" w:space="0" w:color="auto"/>
        <w:bottom w:val="none" w:sz="0" w:space="0" w:color="auto"/>
        <w:right w:val="none" w:sz="0" w:space="0" w:color="auto"/>
      </w:divBdr>
    </w:div>
    <w:div w:id="626937346">
      <w:bodyDiv w:val="1"/>
      <w:marLeft w:val="0"/>
      <w:marRight w:val="0"/>
      <w:marTop w:val="0"/>
      <w:marBottom w:val="0"/>
      <w:divBdr>
        <w:top w:val="none" w:sz="0" w:space="0" w:color="auto"/>
        <w:left w:val="none" w:sz="0" w:space="0" w:color="auto"/>
        <w:bottom w:val="none" w:sz="0" w:space="0" w:color="auto"/>
        <w:right w:val="none" w:sz="0" w:space="0" w:color="auto"/>
      </w:divBdr>
      <w:divsChild>
        <w:div w:id="1765301049">
          <w:marLeft w:val="0"/>
          <w:marRight w:val="0"/>
          <w:marTop w:val="15"/>
          <w:marBottom w:val="0"/>
          <w:divBdr>
            <w:top w:val="single" w:sz="48" w:space="0" w:color="auto"/>
            <w:left w:val="single" w:sz="48" w:space="0" w:color="auto"/>
            <w:bottom w:val="single" w:sz="48" w:space="0" w:color="auto"/>
            <w:right w:val="single" w:sz="48" w:space="0" w:color="auto"/>
          </w:divBdr>
          <w:divsChild>
            <w:div w:id="694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22923">
      <w:bodyDiv w:val="1"/>
      <w:marLeft w:val="0"/>
      <w:marRight w:val="0"/>
      <w:marTop w:val="0"/>
      <w:marBottom w:val="0"/>
      <w:divBdr>
        <w:top w:val="none" w:sz="0" w:space="0" w:color="auto"/>
        <w:left w:val="none" w:sz="0" w:space="0" w:color="auto"/>
        <w:bottom w:val="none" w:sz="0" w:space="0" w:color="auto"/>
        <w:right w:val="none" w:sz="0" w:space="0" w:color="auto"/>
      </w:divBdr>
      <w:divsChild>
        <w:div w:id="1934436423">
          <w:marLeft w:val="0"/>
          <w:marRight w:val="0"/>
          <w:marTop w:val="0"/>
          <w:marBottom w:val="0"/>
          <w:divBdr>
            <w:top w:val="none" w:sz="0" w:space="0" w:color="auto"/>
            <w:left w:val="none" w:sz="0" w:space="0" w:color="auto"/>
            <w:bottom w:val="none" w:sz="0" w:space="0" w:color="auto"/>
            <w:right w:val="none" w:sz="0" w:space="0" w:color="auto"/>
          </w:divBdr>
          <w:divsChild>
            <w:div w:id="693730599">
              <w:marLeft w:val="0"/>
              <w:marRight w:val="0"/>
              <w:marTop w:val="0"/>
              <w:marBottom w:val="0"/>
              <w:divBdr>
                <w:top w:val="none" w:sz="0" w:space="0" w:color="auto"/>
                <w:left w:val="none" w:sz="0" w:space="0" w:color="auto"/>
                <w:bottom w:val="none" w:sz="0" w:space="0" w:color="auto"/>
                <w:right w:val="none" w:sz="0" w:space="0" w:color="auto"/>
              </w:divBdr>
            </w:div>
          </w:divsChild>
        </w:div>
        <w:div w:id="821967457">
          <w:marLeft w:val="0"/>
          <w:marRight w:val="0"/>
          <w:marTop w:val="0"/>
          <w:marBottom w:val="0"/>
          <w:divBdr>
            <w:top w:val="none" w:sz="0" w:space="0" w:color="auto"/>
            <w:left w:val="none" w:sz="0" w:space="0" w:color="auto"/>
            <w:bottom w:val="none" w:sz="0" w:space="0" w:color="auto"/>
            <w:right w:val="none" w:sz="0" w:space="0" w:color="auto"/>
          </w:divBdr>
          <w:divsChild>
            <w:div w:id="126657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19017">
      <w:bodyDiv w:val="1"/>
      <w:marLeft w:val="0"/>
      <w:marRight w:val="0"/>
      <w:marTop w:val="0"/>
      <w:marBottom w:val="0"/>
      <w:divBdr>
        <w:top w:val="none" w:sz="0" w:space="0" w:color="auto"/>
        <w:left w:val="none" w:sz="0" w:space="0" w:color="auto"/>
        <w:bottom w:val="none" w:sz="0" w:space="0" w:color="auto"/>
        <w:right w:val="none" w:sz="0" w:space="0" w:color="auto"/>
      </w:divBdr>
    </w:div>
    <w:div w:id="1792894435">
      <w:bodyDiv w:val="1"/>
      <w:marLeft w:val="0"/>
      <w:marRight w:val="0"/>
      <w:marTop w:val="0"/>
      <w:marBottom w:val="0"/>
      <w:divBdr>
        <w:top w:val="none" w:sz="0" w:space="0" w:color="auto"/>
        <w:left w:val="none" w:sz="0" w:space="0" w:color="auto"/>
        <w:bottom w:val="none" w:sz="0" w:space="0" w:color="auto"/>
        <w:right w:val="none" w:sz="0" w:space="0" w:color="auto"/>
      </w:divBdr>
      <w:divsChild>
        <w:div w:id="170343555">
          <w:marLeft w:val="0"/>
          <w:marRight w:val="0"/>
          <w:marTop w:val="0"/>
          <w:marBottom w:val="0"/>
          <w:divBdr>
            <w:top w:val="none" w:sz="0" w:space="0" w:color="auto"/>
            <w:left w:val="none" w:sz="0" w:space="0" w:color="auto"/>
            <w:bottom w:val="none" w:sz="0" w:space="0" w:color="auto"/>
            <w:right w:val="none" w:sz="0" w:space="0" w:color="auto"/>
          </w:divBdr>
        </w:div>
        <w:div w:id="397869101">
          <w:marLeft w:val="0"/>
          <w:marRight w:val="0"/>
          <w:marTop w:val="0"/>
          <w:marBottom w:val="0"/>
          <w:divBdr>
            <w:top w:val="none" w:sz="0" w:space="0" w:color="auto"/>
            <w:left w:val="none" w:sz="0" w:space="0" w:color="auto"/>
            <w:bottom w:val="none" w:sz="0" w:space="0" w:color="auto"/>
            <w:right w:val="none" w:sz="0" w:space="0" w:color="auto"/>
          </w:divBdr>
        </w:div>
        <w:div w:id="1122193425">
          <w:marLeft w:val="0"/>
          <w:marRight w:val="0"/>
          <w:marTop w:val="0"/>
          <w:marBottom w:val="0"/>
          <w:divBdr>
            <w:top w:val="none" w:sz="0" w:space="0" w:color="auto"/>
            <w:left w:val="none" w:sz="0" w:space="0" w:color="auto"/>
            <w:bottom w:val="none" w:sz="0" w:space="0" w:color="auto"/>
            <w:right w:val="none" w:sz="0" w:space="0" w:color="auto"/>
          </w:divBdr>
        </w:div>
        <w:div w:id="1293055985">
          <w:marLeft w:val="0"/>
          <w:marRight w:val="0"/>
          <w:marTop w:val="0"/>
          <w:marBottom w:val="0"/>
          <w:divBdr>
            <w:top w:val="none" w:sz="0" w:space="0" w:color="auto"/>
            <w:left w:val="none" w:sz="0" w:space="0" w:color="auto"/>
            <w:bottom w:val="none" w:sz="0" w:space="0" w:color="auto"/>
            <w:right w:val="none" w:sz="0" w:space="0" w:color="auto"/>
          </w:divBdr>
        </w:div>
        <w:div w:id="356125158">
          <w:marLeft w:val="0"/>
          <w:marRight w:val="0"/>
          <w:marTop w:val="0"/>
          <w:marBottom w:val="0"/>
          <w:divBdr>
            <w:top w:val="none" w:sz="0" w:space="0" w:color="auto"/>
            <w:left w:val="none" w:sz="0" w:space="0" w:color="auto"/>
            <w:bottom w:val="none" w:sz="0" w:space="0" w:color="auto"/>
            <w:right w:val="none" w:sz="0" w:space="0" w:color="auto"/>
          </w:divBdr>
        </w:div>
        <w:div w:id="1438058202">
          <w:marLeft w:val="0"/>
          <w:marRight w:val="0"/>
          <w:marTop w:val="0"/>
          <w:marBottom w:val="0"/>
          <w:divBdr>
            <w:top w:val="none" w:sz="0" w:space="0" w:color="auto"/>
            <w:left w:val="none" w:sz="0" w:space="0" w:color="auto"/>
            <w:bottom w:val="none" w:sz="0" w:space="0" w:color="auto"/>
            <w:right w:val="none" w:sz="0" w:space="0" w:color="auto"/>
          </w:divBdr>
        </w:div>
      </w:divsChild>
    </w:div>
    <w:div w:id="1825975500">
      <w:bodyDiv w:val="1"/>
      <w:marLeft w:val="0"/>
      <w:marRight w:val="0"/>
      <w:marTop w:val="0"/>
      <w:marBottom w:val="0"/>
      <w:divBdr>
        <w:top w:val="none" w:sz="0" w:space="0" w:color="auto"/>
        <w:left w:val="none" w:sz="0" w:space="0" w:color="auto"/>
        <w:bottom w:val="none" w:sz="0" w:space="0" w:color="auto"/>
        <w:right w:val="none" w:sz="0" w:space="0" w:color="auto"/>
      </w:divBdr>
      <w:divsChild>
        <w:div w:id="140969129">
          <w:marLeft w:val="0"/>
          <w:marRight w:val="0"/>
          <w:marTop w:val="0"/>
          <w:marBottom w:val="0"/>
          <w:divBdr>
            <w:top w:val="none" w:sz="0" w:space="0" w:color="auto"/>
            <w:left w:val="none" w:sz="0" w:space="0" w:color="auto"/>
            <w:bottom w:val="none" w:sz="0" w:space="0" w:color="auto"/>
            <w:right w:val="none" w:sz="0" w:space="0" w:color="auto"/>
          </w:divBdr>
        </w:div>
        <w:div w:id="1528299639">
          <w:marLeft w:val="0"/>
          <w:marRight w:val="0"/>
          <w:marTop w:val="0"/>
          <w:marBottom w:val="0"/>
          <w:divBdr>
            <w:top w:val="none" w:sz="0" w:space="0" w:color="auto"/>
            <w:left w:val="none" w:sz="0" w:space="0" w:color="auto"/>
            <w:bottom w:val="none" w:sz="0" w:space="0" w:color="auto"/>
            <w:right w:val="none" w:sz="0" w:space="0" w:color="auto"/>
          </w:divBdr>
        </w:div>
      </w:divsChild>
    </w:div>
    <w:div w:id="1872449387">
      <w:bodyDiv w:val="1"/>
      <w:marLeft w:val="0"/>
      <w:marRight w:val="0"/>
      <w:marTop w:val="0"/>
      <w:marBottom w:val="0"/>
      <w:divBdr>
        <w:top w:val="none" w:sz="0" w:space="0" w:color="auto"/>
        <w:left w:val="none" w:sz="0" w:space="0" w:color="auto"/>
        <w:bottom w:val="none" w:sz="0" w:space="0" w:color="auto"/>
        <w:right w:val="none" w:sz="0" w:space="0" w:color="auto"/>
      </w:divBdr>
    </w:div>
    <w:div w:id="2004892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22Vergara%20Arana%20A%22%5bAuthor%5d&amp;itool=EntrezSystem2.PEntrez.Pubmed.Pubmed_ResultsPanel.Pubmed_RVAbstract" TargetMode="External"/><Relationship Id="rId18" Type="http://schemas.openxmlformats.org/officeDocument/2006/relationships/hyperlink" Target="https://doi.org/10.59420/remus.6.2021.16" TargetMode="External"/><Relationship Id="rId26" Type="http://schemas.openxmlformats.org/officeDocument/2006/relationships/hyperlink" Target="https://doi.org/10.1016/j.semerg.2016.11.009" TargetMode="External"/><Relationship Id="rId39" Type="http://schemas.openxmlformats.org/officeDocument/2006/relationships/header" Target="header1.xml"/><Relationship Id="rId21" Type="http://schemas.openxmlformats.org/officeDocument/2006/relationships/hyperlink" Target="https://doi.org/10.1016/j.nefro.2021.07.010" TargetMode="External"/><Relationship Id="rId34" Type="http://schemas.openxmlformats.org/officeDocument/2006/relationships/hyperlink" Target="https://pubmed.ncbi.nlm.nih.gov/?term=%22Martinez%20Castelao%20A%22%5bAuthor%5d&amp;itool=EntrezSystem2.PEntrez.Pubmed.Pubmed_ResultsPanel.Pubmed_RVAbstract"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evistanefrologia.com/es-estudios-funcion-renal-funcion-glomerular-articulo-X1888970009000355" TargetMode="External"/><Relationship Id="rId20" Type="http://schemas.openxmlformats.org/officeDocument/2006/relationships/hyperlink" Target="http://www.revfinlay.sld.cu/index.php/finlay/article/view/658" TargetMode="External"/><Relationship Id="rId29" Type="http://schemas.openxmlformats.org/officeDocument/2006/relationships/hyperlink" Target="http://scielo.sld.cu/scielo.php?script=sci_arttext&amp;pid=S1029-3043202000010008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hyperlink" Target="https://www.inegi.org.mx/contenidos/saladeprensa/boletines/2023/EDR/EDR2022-Dft.pdf" TargetMode="External"/><Relationship Id="rId32" Type="http://schemas.openxmlformats.org/officeDocument/2006/relationships/hyperlink" Target="https://doi.org/10.35366/94025" TargetMode="External"/><Relationship Id="rId37" Type="http://schemas.openxmlformats.org/officeDocument/2006/relationships/hyperlink" Target="https://pubmed.ncbi.nlm.nih.gov/?term=%22Navarro%20Gonzalez%20J%22%5bAuthor%5d&amp;itool=EntrezSystem2.PEntrez.Pubmed.Pubmed_ResultsPanel.Pubmed_RVAbstract"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oi.org/10.24875/GMM.19005292" TargetMode="External"/><Relationship Id="rId23" Type="http://schemas.openxmlformats.org/officeDocument/2006/relationships/hyperlink" Target="https://revistanefrologia.com/en-chronic-kidney-disease-in-spain-articulo-S201325141830141X" TargetMode="External"/><Relationship Id="rId28" Type="http://schemas.openxmlformats.org/officeDocument/2006/relationships/hyperlink" Target="https://doi.org/10.1016/j.aprim.2012.11.003" TargetMode="External"/><Relationship Id="rId36" Type="http://schemas.openxmlformats.org/officeDocument/2006/relationships/hyperlink" Target="https://pubmed.ncbi.nlm.nih.gov/?term=%22de%20Alvaro%20Moreno%20F%22%5bAuthor%5d&amp;itool=EntrezSystem2.PEntrez.Pubmed.Pubmed_ResultsPanel.Pubmed_RVAbstract" TargetMode="External"/><Relationship Id="rId10" Type="http://schemas.openxmlformats.org/officeDocument/2006/relationships/endnotes" Target="endnotes.xml"/><Relationship Id="rId19" Type="http://schemas.openxmlformats.org/officeDocument/2006/relationships/hyperlink" Target="https://doi.org/10.1016/S0300-8932(09)70371-9" TargetMode="External"/><Relationship Id="rId31" Type="http://schemas.openxmlformats.org/officeDocument/2006/relationships/hyperlink" Target="https://dialnet.unirioja.es/servlet/articulo?codigo=746787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22517/25395203.24001" TargetMode="External"/><Relationship Id="rId22" Type="http://schemas.openxmlformats.org/officeDocument/2006/relationships/hyperlink" Target="https://nefrologiaaldia.org/es-articulo-acido-urico-enfermedad-renal-cronica-200" TargetMode="External"/><Relationship Id="rId27" Type="http://schemas.openxmlformats.org/officeDocument/2006/relationships/hyperlink" Target="http://www.revmedicaelectronica.sld.cu/index.php/rme/article/view/3223/4310" TargetMode="External"/><Relationship Id="rId30" Type="http://schemas.openxmlformats.org/officeDocument/2006/relationships/hyperlink" Target="https://doi.org/10.21149/14425" TargetMode="External"/><Relationship Id="rId35" Type="http://schemas.openxmlformats.org/officeDocument/2006/relationships/hyperlink" Target="https://pubmed.ncbi.nlm.nih.gov/?term=%22Gorriz%20Teruel%20JL%22%5bAuthor%5d&amp;itool=EntrezSystem2.PEntrez.Pubmed.Pubmed_ResultsPanel.Pubmed_RVAbstrac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hart" Target="charts/chart2.xml"/><Relationship Id="rId17" Type="http://schemas.openxmlformats.org/officeDocument/2006/relationships/hyperlink" Target="https://www.cdc.gov/kidneydisease/spanish/ckd-national-facts.html" TargetMode="External"/><Relationship Id="rId25" Type="http://schemas.openxmlformats.org/officeDocument/2006/relationships/hyperlink" Target="https://www.revistanefrologia.com/es-insuficiencia-renal-oculta-atencion-primaria--articulo-X0211699507022086" TargetMode="External"/><Relationship Id="rId33" Type="http://schemas.openxmlformats.org/officeDocument/2006/relationships/hyperlink" Target="https://pubmed.ncbi.nlm.nih.gov/?term=%22Vergara%20Arana%20A%22%5bAuthor%5d&amp;itool=EntrezSystem2.PEntrez.Pubmed.Pubmed_ResultsPanel.Pubmed_RVAbstract" TargetMode="External"/><Relationship Id="rId38" Type="http://schemas.openxmlformats.org/officeDocument/2006/relationships/hyperlink" Target="https://pubmed.ncbi.nlm.nih.gov/?term=%22Soler%20Romeo%20MJ%22%5bAuthor%5d&amp;itool=EntrezSystem2.PEntrez.Pubmed.Pubmed_ResultsPanel.Pubmed_RVAbstrac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Ventas</c:v>
                </c:pt>
              </c:strCache>
            </c:strRef>
          </c:tx>
          <c:dPt>
            <c:idx val="0"/>
            <c:bubble3D val="0"/>
            <c:spPr>
              <a:solidFill>
                <a:schemeClr val="accent2"/>
              </a:solidFill>
              <a:ln w="44450">
                <a:solidFill>
                  <a:schemeClr val="accent2"/>
                </a:solidFill>
              </a:ln>
              <a:effectLst/>
            </c:spPr>
            <c:extLst>
              <c:ext xmlns:c16="http://schemas.microsoft.com/office/drawing/2014/chart" uri="{C3380CC4-5D6E-409C-BE32-E72D297353CC}">
                <c16:uniqueId val="{00000001-D2C4-4486-9B4F-E84B37B87D82}"/>
              </c:ext>
            </c:extLst>
          </c:dPt>
          <c:dPt>
            <c:idx val="1"/>
            <c:bubble3D val="0"/>
            <c:spPr>
              <a:solidFill>
                <a:schemeClr val="accent4"/>
              </a:solidFill>
              <a:ln w="50800">
                <a:solidFill>
                  <a:schemeClr val="accent4"/>
                </a:solidFill>
              </a:ln>
              <a:effectLst/>
            </c:spPr>
            <c:extLst>
              <c:ext xmlns:c16="http://schemas.microsoft.com/office/drawing/2014/chart" uri="{C3380CC4-5D6E-409C-BE32-E72D297353CC}">
                <c16:uniqueId val="{00000002-D2C4-4486-9B4F-E84B37B87D82}"/>
              </c:ext>
            </c:extLst>
          </c:dPt>
          <c:dPt>
            <c:idx val="2"/>
            <c:bubble3D val="0"/>
            <c:spPr>
              <a:solidFill>
                <a:schemeClr val="accent1"/>
              </a:solidFill>
              <a:ln w="50800">
                <a:solidFill>
                  <a:schemeClr val="accent1"/>
                </a:solidFill>
              </a:ln>
              <a:effectLst/>
            </c:spPr>
            <c:extLst>
              <c:ext xmlns:c16="http://schemas.microsoft.com/office/drawing/2014/chart" uri="{C3380CC4-5D6E-409C-BE32-E72D297353CC}">
                <c16:uniqueId val="{00000003-D2C4-4486-9B4F-E84B37B87D82}"/>
              </c:ext>
            </c:extLst>
          </c:dPt>
          <c:dLbls>
            <c:dLbl>
              <c:idx val="0"/>
              <c:tx>
                <c:rich>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fld id="{ED86E79E-FFD5-430F-8017-36157E5932C9}" type="VALUE">
                      <a:rPr lang="en-US">
                        <a:solidFill>
                          <a:sysClr val="windowText" lastClr="000000"/>
                        </a:solidFill>
                      </a:rPr>
                      <a:pPr>
                        <a:defRPr sz="1050" b="1">
                          <a:solidFill>
                            <a:sysClr val="windowText" lastClr="000000"/>
                          </a:solidFill>
                        </a:defRPr>
                      </a:pPr>
                      <a:t>[VALOR]</a:t>
                    </a:fld>
                    <a:r>
                      <a:rPr lang="en-US">
                        <a:solidFill>
                          <a:sysClr val="windowText" lastClr="000000"/>
                        </a:solidFill>
                      </a:rPr>
                      <a:t>%</a:t>
                    </a:r>
                  </a:p>
                </c:rich>
              </c:tx>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es-MX"/>
                </a:p>
              </c:txPr>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2C4-4486-9B4F-E84B37B87D82}"/>
                </c:ext>
              </c:extLst>
            </c:dLbl>
            <c:dLbl>
              <c:idx val="1"/>
              <c:layout>
                <c:manualLayout>
                  <c:x val="0.10763980023330413"/>
                  <c:y val="-1.9997500312460944E-2"/>
                </c:manualLayout>
              </c:layout>
              <c:tx>
                <c:rich>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fld id="{F0DFD127-EFEC-45FA-B062-0C19F2BE9294}" type="VALUE">
                      <a:rPr lang="en-US">
                        <a:solidFill>
                          <a:sysClr val="windowText" lastClr="000000"/>
                        </a:solidFill>
                      </a:rPr>
                      <a:pPr>
                        <a:defRPr sz="1050" b="1">
                          <a:solidFill>
                            <a:sysClr val="windowText" lastClr="000000"/>
                          </a:solidFill>
                        </a:defRPr>
                      </a:pPr>
                      <a:t>[VALOR]</a:t>
                    </a:fld>
                    <a:r>
                      <a:rPr lang="en-US">
                        <a:solidFill>
                          <a:sysClr val="windowText" lastClr="000000"/>
                        </a:solidFill>
                      </a:rPr>
                      <a:t>%</a:t>
                    </a:r>
                  </a:p>
                </c:rich>
              </c:tx>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es-MX"/>
                </a:p>
              </c:txPr>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2C4-4486-9B4F-E84B37B87D82}"/>
                </c:ext>
              </c:extLst>
            </c:dLbl>
            <c:dLbl>
              <c:idx val="2"/>
              <c:layout>
                <c:manualLayout>
                  <c:x val="1.5636665208515518E-2"/>
                  <c:y val="6.9044494438195214E-2"/>
                </c:manualLayout>
              </c:layout>
              <c:tx>
                <c:rich>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fld id="{31ADFB21-9D5D-4ECD-AAD5-610A948F5BDA}" type="VALUE">
                      <a:rPr lang="en-US" b="1">
                        <a:solidFill>
                          <a:sysClr val="windowText" lastClr="000000"/>
                        </a:solidFill>
                      </a:rPr>
                      <a:pPr>
                        <a:defRPr sz="1050" b="1">
                          <a:solidFill>
                            <a:sysClr val="windowText" lastClr="000000"/>
                          </a:solidFill>
                        </a:defRPr>
                      </a:pPr>
                      <a:t>[VALOR]</a:t>
                    </a:fld>
                    <a:r>
                      <a:rPr lang="en-US">
                        <a:solidFill>
                          <a:sysClr val="windowText" lastClr="000000"/>
                        </a:solidFill>
                      </a:rPr>
                      <a:t> %</a:t>
                    </a:r>
                  </a:p>
                </c:rich>
              </c:tx>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es-MX"/>
                </a:p>
              </c:txPr>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2C4-4486-9B4F-E84B37B87D82}"/>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s-MX"/>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3"/>
                <c:pt idx="0">
                  <c:v>Con diabetes</c:v>
                </c:pt>
                <c:pt idx="1">
                  <c:v>Sin diabetes</c:v>
                </c:pt>
                <c:pt idx="2">
                  <c:v>Con prediabetes</c:v>
                </c:pt>
              </c:strCache>
            </c:strRef>
          </c:cat>
          <c:val>
            <c:numRef>
              <c:f>Hoja1!$B$2:$B$4</c:f>
              <c:numCache>
                <c:formatCode>General</c:formatCode>
                <c:ptCount val="3"/>
                <c:pt idx="0">
                  <c:v>50.6</c:v>
                </c:pt>
                <c:pt idx="1">
                  <c:v>45.1</c:v>
                </c:pt>
                <c:pt idx="2">
                  <c:v>4.2</c:v>
                </c:pt>
              </c:numCache>
            </c:numRef>
          </c:val>
          <c:extLst>
            <c:ext xmlns:c16="http://schemas.microsoft.com/office/drawing/2014/chart" uri="{C3380CC4-5D6E-409C-BE32-E72D297353CC}">
              <c16:uniqueId val="{00000000-D2C4-4486-9B4F-E84B37B87D8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Ventas</c:v>
                </c:pt>
              </c:strCache>
            </c:strRef>
          </c:tx>
          <c:dPt>
            <c:idx val="0"/>
            <c:bubble3D val="0"/>
            <c:spPr>
              <a:solidFill>
                <a:schemeClr val="accent1"/>
              </a:solidFill>
              <a:ln w="50800">
                <a:solidFill>
                  <a:schemeClr val="accent1"/>
                </a:solidFill>
              </a:ln>
              <a:effectLst/>
            </c:spPr>
            <c:extLst>
              <c:ext xmlns:c16="http://schemas.microsoft.com/office/drawing/2014/chart" uri="{C3380CC4-5D6E-409C-BE32-E72D297353CC}">
                <c16:uniqueId val="{00000001-2F0C-4559-B33B-679281F03C91}"/>
              </c:ext>
            </c:extLst>
          </c:dPt>
          <c:dPt>
            <c:idx val="1"/>
            <c:bubble3D val="0"/>
            <c:spPr>
              <a:solidFill>
                <a:schemeClr val="accent2"/>
              </a:solidFill>
              <a:ln w="50800">
                <a:solidFill>
                  <a:schemeClr val="accent2"/>
                </a:solidFill>
              </a:ln>
              <a:effectLst/>
            </c:spPr>
            <c:extLst>
              <c:ext xmlns:c16="http://schemas.microsoft.com/office/drawing/2014/chart" uri="{C3380CC4-5D6E-409C-BE32-E72D297353CC}">
                <c16:uniqueId val="{00000003-2F0C-4559-B33B-679281F03C91}"/>
              </c:ext>
            </c:extLst>
          </c:dPt>
          <c:dPt>
            <c:idx val="2"/>
            <c:bubble3D val="0"/>
            <c:spPr>
              <a:solidFill>
                <a:schemeClr val="accent3"/>
              </a:solidFill>
              <a:ln w="50800">
                <a:solidFill>
                  <a:schemeClr val="accent3"/>
                </a:solidFill>
              </a:ln>
              <a:effectLst/>
            </c:spPr>
            <c:extLst>
              <c:ext xmlns:c16="http://schemas.microsoft.com/office/drawing/2014/chart" uri="{C3380CC4-5D6E-409C-BE32-E72D297353CC}">
                <c16:uniqueId val="{00000005-2F0C-4559-B33B-679281F03C91}"/>
              </c:ext>
            </c:extLst>
          </c:dPt>
          <c:dLbls>
            <c:dLbl>
              <c:idx val="0"/>
              <c:layout>
                <c:manualLayout>
                  <c:x val="2.2035761154855643E-2"/>
                  <c:y val="-4.3472690913635799E-3"/>
                </c:manualLayout>
              </c:layout>
              <c:tx>
                <c:rich>
                  <a:bodyPr/>
                  <a:lstStyle/>
                  <a:p>
                    <a:r>
                      <a:rPr lang="en-US"/>
                      <a:t>ERO</a:t>
                    </a:r>
                  </a:p>
                  <a:p>
                    <a:fld id="{65CEB647-4A1A-47F7-B6F1-38C20F638D2E}" type="VALUE">
                      <a:rPr lang="en-US"/>
                      <a:pPr/>
                      <a:t>[VALOR]</a:t>
                    </a:fld>
                    <a:r>
                      <a:rPr lang="en-US"/>
                      <a:t> %</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F0C-4559-B33B-679281F03C91}"/>
                </c:ext>
              </c:extLst>
            </c:dLbl>
            <c:dLbl>
              <c:idx val="1"/>
              <c:layout>
                <c:manualLayout>
                  <c:x val="-5.7931977252843395E-2"/>
                  <c:y val="0.13584864391951007"/>
                </c:manualLayout>
              </c:layout>
              <c:tx>
                <c:rich>
                  <a:bodyPr/>
                  <a:lstStyle/>
                  <a:p>
                    <a:r>
                      <a:rPr lang="en-US"/>
                      <a:t>Sin daño</a:t>
                    </a:r>
                    <a:r>
                      <a:rPr lang="en-US" baseline="0"/>
                      <a:t> renal </a:t>
                    </a:r>
                  </a:p>
                  <a:p>
                    <a:fld id="{95F48826-24E0-44C1-B877-16E605FC453E}" type="VALUE">
                      <a:rPr lang="en-US"/>
                      <a:pPr/>
                      <a:t>[VALOR]</a:t>
                    </a:fld>
                    <a:r>
                      <a:rPr lang="en-US"/>
                      <a:t> %</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F0C-4559-B33B-679281F03C91}"/>
                </c:ext>
              </c:extLst>
            </c:dLbl>
            <c:dLbl>
              <c:idx val="2"/>
              <c:layout>
                <c:manualLayout>
                  <c:x val="2.0881999125109362E-2"/>
                  <c:y val="-4.9929696287964002E-2"/>
                </c:manualLayout>
              </c:layout>
              <c:tx>
                <c:rich>
                  <a:bodyPr/>
                  <a:lstStyle/>
                  <a:p>
                    <a:r>
                      <a:rPr lang="en-US"/>
                      <a:t>ER</a:t>
                    </a:r>
                  </a:p>
                  <a:p>
                    <a:fld id="{0DC6650A-2361-4F92-AE7F-A6D055105D6E}" type="VALUE">
                      <a:rPr lang="en-US"/>
                      <a:pPr/>
                      <a:t>[VALOR]</a:t>
                    </a:fld>
                    <a:r>
                      <a:rPr lang="en-US"/>
                      <a:t> %</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F0C-4559-B33B-679281F03C9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s-MX"/>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3"/>
                <c:pt idx="0">
                  <c:v>FG Bajo - creatinina normal</c:v>
                </c:pt>
                <c:pt idx="1">
                  <c:v>FG Normal - creatinina normal</c:v>
                </c:pt>
                <c:pt idx="2">
                  <c:v>FG Bajo - creatinina elevada</c:v>
                </c:pt>
              </c:strCache>
            </c:strRef>
          </c:cat>
          <c:val>
            <c:numRef>
              <c:f>Hoja1!$B$2:$B$4</c:f>
              <c:numCache>
                <c:formatCode>General</c:formatCode>
                <c:ptCount val="3"/>
                <c:pt idx="0">
                  <c:v>3.4</c:v>
                </c:pt>
                <c:pt idx="1">
                  <c:v>94</c:v>
                </c:pt>
                <c:pt idx="2">
                  <c:v>2.27</c:v>
                </c:pt>
              </c:numCache>
            </c:numRef>
          </c:val>
          <c:extLst>
            <c:ext xmlns:c16="http://schemas.microsoft.com/office/drawing/2014/chart" uri="{C3380CC4-5D6E-409C-BE32-E72D297353CC}">
              <c16:uniqueId val="{00000006-2F0C-4559-B33B-679281F03C91}"/>
            </c:ext>
          </c:extLst>
        </c:ser>
        <c:dLbls>
          <c:dLblPos val="bestFit"/>
          <c:showLegendKey val="0"/>
          <c:showVal val="1"/>
          <c:showCatName val="0"/>
          <c:showSerName val="0"/>
          <c:showPercent val="0"/>
          <c:showBubbleSize val="0"/>
          <c:showLeaderLines val="1"/>
        </c:dLbls>
        <c:firstSliceAng val="70"/>
      </c:pieChart>
      <c:spPr>
        <a:noFill/>
        <a:ln>
          <a:noFill/>
        </a:ln>
        <a:effectLst/>
      </c:spPr>
    </c:plotArea>
    <c:legend>
      <c:legendPos val="l"/>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4D273370F60E545870F6AEC326AE09D" ma:contentTypeVersion="2" ma:contentTypeDescription="Crear nuevo documento." ma:contentTypeScope="" ma:versionID="5b03cd47da5b54a1993c25800c8bfca1">
  <xsd:schema xmlns:xsd="http://www.w3.org/2001/XMLSchema" xmlns:xs="http://www.w3.org/2001/XMLSchema" xmlns:p="http://schemas.microsoft.com/office/2006/metadata/properties" xmlns:ns3="dc2cca98-4e87-4ad4-88f9-a5fb78779a38" targetNamespace="http://schemas.microsoft.com/office/2006/metadata/properties" ma:root="true" ma:fieldsID="9d389b43439e5ceffda1ba16ac1719b4" ns3:_="">
    <xsd:import namespace="dc2cca98-4e87-4ad4-88f9-a5fb78779a3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cca98-4e87-4ad4-88f9-a5fb78779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54CB35-3E9B-3E4E-B60C-98FC22CC3917}">
  <ds:schemaRefs>
    <ds:schemaRef ds:uri="http://schemas.openxmlformats.org/officeDocument/2006/bibliography"/>
  </ds:schemaRefs>
</ds:datastoreItem>
</file>

<file path=customXml/itemProps2.xml><?xml version="1.0" encoding="utf-8"?>
<ds:datastoreItem xmlns:ds="http://schemas.openxmlformats.org/officeDocument/2006/customXml" ds:itemID="{29A759F0-EAF1-4383-BE98-A59F2A4FB278}">
  <ds:schemaRefs>
    <ds:schemaRef ds:uri="http://schemas.microsoft.com/sharepoint/v3/contenttype/forms"/>
  </ds:schemaRefs>
</ds:datastoreItem>
</file>

<file path=customXml/itemProps3.xml><?xml version="1.0" encoding="utf-8"?>
<ds:datastoreItem xmlns:ds="http://schemas.openxmlformats.org/officeDocument/2006/customXml" ds:itemID="{BAF31C13-7672-48F1-803F-694D62ED5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cca98-4e87-4ad4-88f9-a5fb78779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5994EC-18AA-4BD7-9D6E-633CA38686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23</Pages>
  <Words>13001</Words>
  <Characters>71511</Characters>
  <Application>Microsoft Office Word</Application>
  <DocSecurity>0</DocSecurity>
  <Lines>595</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Sotelo Aldama</dc:creator>
  <cp:keywords/>
  <dc:description/>
  <cp:lastModifiedBy>Gustavo Toledo</cp:lastModifiedBy>
  <cp:revision>8</cp:revision>
  <dcterms:created xsi:type="dcterms:W3CDTF">2024-02-12T18:50:00Z</dcterms:created>
  <dcterms:modified xsi:type="dcterms:W3CDTF">2024-02-13T05:19:00Z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0x010100C4D273370F60E545870F6AEC326AE09D</vt:lpwstr>
  </property>
  <property fmtid="{D5CDD505-2E9C-101B-9397-08002B2CF9AE}" pid="3" name="_DocHome">
    <vt:i4>-1679943389</vt:i4>
  </property>
</Properties>
</file>